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9644B2"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62336" behindDoc="0" locked="0" layoutInCell="1" allowOverlap="1" wp14:anchorId="5F305BE1" wp14:editId="5D41BC13">
            <wp:simplePos x="0" y="0"/>
            <wp:positionH relativeFrom="column">
              <wp:posOffset>0</wp:posOffset>
            </wp:positionH>
            <wp:positionV relativeFrom="paragraph">
              <wp:posOffset>-281940</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0F3C17">
        <w:rPr>
          <w:rFonts w:asciiTheme="minorHAnsi" w:hAnsiTheme="minorHAnsi"/>
        </w:rPr>
        <w:t xml:space="preserve"> </w:t>
      </w:r>
      <w:r w:rsidR="00DA38A6">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273FC"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14:anchorId="4B86D307" wp14:editId="0E5A95E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type w14:anchorId="4B86D30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RPr="00F44686" w:rsidTr="002A48C1">
        <w:tc>
          <w:tcPr>
            <w:tcW w:w="9016" w:type="dxa"/>
          </w:tcPr>
          <w:p w:rsidR="00C3799F" w:rsidRDefault="00CC7AD8" w:rsidP="00CC7AD8">
            <w:pPr>
              <w:pStyle w:val="ListParagraph"/>
              <w:numPr>
                <w:ilvl w:val="0"/>
                <w:numId w:val="2"/>
              </w:numPr>
              <w:spacing w:line="360" w:lineRule="auto"/>
              <w:ind w:left="873" w:hanging="851"/>
              <w:rPr>
                <w:rFonts w:ascii="Arial" w:hAnsi="Arial" w:cs="Arial"/>
                <w:sz w:val="24"/>
                <w:szCs w:val="24"/>
              </w:rPr>
            </w:pPr>
            <w:r>
              <w:rPr>
                <w:rFonts w:ascii="Arial" w:hAnsi="Arial" w:cs="Arial"/>
                <w:sz w:val="24"/>
                <w:szCs w:val="24"/>
              </w:rPr>
              <w:t>The difference types of financial risks are as follows:</w:t>
            </w:r>
          </w:p>
          <w:p w:rsidR="00CC7AD8" w:rsidRPr="00C3799F" w:rsidRDefault="00CC7AD8" w:rsidP="00CC7AD8">
            <w:pPr>
              <w:pStyle w:val="ListParagraph"/>
              <w:spacing w:line="360" w:lineRule="auto"/>
              <w:ind w:left="873"/>
              <w:rPr>
                <w:rFonts w:ascii="Arial" w:hAnsi="Arial" w:cs="Arial"/>
                <w:sz w:val="24"/>
                <w:szCs w:val="24"/>
              </w:rPr>
            </w:pPr>
          </w:p>
          <w:p w:rsidR="00C3799F" w:rsidRDefault="00CC7AD8" w:rsidP="00C3799F">
            <w:pPr>
              <w:pStyle w:val="ListParagraph"/>
              <w:numPr>
                <w:ilvl w:val="0"/>
                <w:numId w:val="27"/>
              </w:numPr>
              <w:spacing w:line="360" w:lineRule="auto"/>
              <w:ind w:left="1298" w:hanging="425"/>
              <w:rPr>
                <w:rFonts w:ascii="Arial" w:hAnsi="Arial" w:cs="Arial"/>
                <w:sz w:val="24"/>
                <w:szCs w:val="24"/>
              </w:rPr>
            </w:pPr>
            <w:r>
              <w:rPr>
                <w:rFonts w:ascii="Arial" w:hAnsi="Arial" w:cs="Arial"/>
                <w:sz w:val="24"/>
                <w:szCs w:val="24"/>
              </w:rPr>
              <w:t>Funding R</w:t>
            </w:r>
            <w:r w:rsidR="00C3799F">
              <w:rPr>
                <w:rFonts w:ascii="Arial" w:hAnsi="Arial" w:cs="Arial"/>
                <w:sz w:val="24"/>
                <w:szCs w:val="24"/>
              </w:rPr>
              <w:t>isk</w:t>
            </w:r>
            <w:r>
              <w:rPr>
                <w:rFonts w:ascii="Arial" w:hAnsi="Arial" w:cs="Arial"/>
                <w:sz w:val="24"/>
                <w:szCs w:val="24"/>
              </w:rPr>
              <w:t>, for borrowers, refers to the inability of borrowers to meet instalment plans on capital and interest payments and having to pay fixed charges on the business assets.</w:t>
            </w:r>
          </w:p>
          <w:p w:rsidR="00CC7AD8" w:rsidRDefault="00CC7AD8" w:rsidP="00CC7AD8">
            <w:pPr>
              <w:pStyle w:val="ListParagraph"/>
              <w:spacing w:line="360" w:lineRule="auto"/>
              <w:ind w:left="1298"/>
              <w:rPr>
                <w:rFonts w:ascii="Arial" w:hAnsi="Arial" w:cs="Arial"/>
                <w:sz w:val="24"/>
                <w:szCs w:val="24"/>
              </w:rPr>
            </w:pPr>
          </w:p>
          <w:p w:rsidR="00CC7AD8" w:rsidRDefault="00CC7AD8" w:rsidP="00C3799F">
            <w:pPr>
              <w:pStyle w:val="ListParagraph"/>
              <w:numPr>
                <w:ilvl w:val="0"/>
                <w:numId w:val="27"/>
              </w:numPr>
              <w:spacing w:line="360" w:lineRule="auto"/>
              <w:ind w:left="1298" w:hanging="425"/>
              <w:rPr>
                <w:rFonts w:ascii="Arial" w:hAnsi="Arial" w:cs="Arial"/>
                <w:sz w:val="24"/>
                <w:szCs w:val="24"/>
              </w:rPr>
            </w:pPr>
            <w:r>
              <w:rPr>
                <w:rFonts w:ascii="Arial" w:hAnsi="Arial" w:cs="Arial"/>
                <w:sz w:val="24"/>
                <w:szCs w:val="24"/>
              </w:rPr>
              <w:t>Credit Risk arises due to the inability of customers to pay for good</w:t>
            </w:r>
            <w:r w:rsidR="00DA38A6">
              <w:rPr>
                <w:rFonts w:ascii="Arial" w:hAnsi="Arial" w:cs="Arial"/>
                <w:sz w:val="24"/>
                <w:szCs w:val="24"/>
              </w:rPr>
              <w:t>s/services</w:t>
            </w:r>
            <w:r>
              <w:rPr>
                <w:rFonts w:ascii="Arial" w:hAnsi="Arial" w:cs="Arial"/>
                <w:sz w:val="24"/>
                <w:szCs w:val="24"/>
              </w:rPr>
              <w:t xml:space="preserve"> supplied to them.</w:t>
            </w:r>
          </w:p>
          <w:p w:rsidR="00CC7AD8" w:rsidRPr="00CC7AD8" w:rsidRDefault="00CC7AD8" w:rsidP="00CC7AD8">
            <w:pPr>
              <w:spacing w:line="360" w:lineRule="auto"/>
              <w:rPr>
                <w:rFonts w:ascii="Arial" w:hAnsi="Arial" w:cs="Arial"/>
                <w:sz w:val="24"/>
                <w:szCs w:val="24"/>
              </w:rPr>
            </w:pPr>
          </w:p>
          <w:p w:rsidR="00CC7AD8" w:rsidRDefault="00CC7AD8" w:rsidP="00C3799F">
            <w:pPr>
              <w:pStyle w:val="ListParagraph"/>
              <w:numPr>
                <w:ilvl w:val="0"/>
                <w:numId w:val="27"/>
              </w:numPr>
              <w:spacing w:line="360" w:lineRule="auto"/>
              <w:ind w:left="1298" w:hanging="425"/>
              <w:rPr>
                <w:rFonts w:ascii="Arial" w:hAnsi="Arial" w:cs="Arial"/>
                <w:sz w:val="24"/>
                <w:szCs w:val="24"/>
              </w:rPr>
            </w:pPr>
            <w:r>
              <w:rPr>
                <w:rFonts w:ascii="Arial" w:hAnsi="Arial" w:cs="Arial"/>
                <w:sz w:val="24"/>
                <w:szCs w:val="24"/>
              </w:rPr>
              <w:t xml:space="preserve">Interest Rate Risk affects the disposable income of the consumers and it can result in a decline of trade for many companies.  It also causes inflation </w:t>
            </w:r>
            <w:r w:rsidR="00DA38A6">
              <w:rPr>
                <w:rFonts w:ascii="Arial" w:hAnsi="Arial" w:cs="Arial"/>
                <w:sz w:val="24"/>
                <w:szCs w:val="24"/>
              </w:rPr>
              <w:t>for</w:t>
            </w:r>
            <w:r>
              <w:rPr>
                <w:rFonts w:ascii="Arial" w:hAnsi="Arial" w:cs="Arial"/>
                <w:sz w:val="24"/>
                <w:szCs w:val="24"/>
              </w:rPr>
              <w:t xml:space="preserve"> investment projects in terms of cash flows and the discount rate over the lif</w:t>
            </w:r>
            <w:r w:rsidR="00DA38A6">
              <w:rPr>
                <w:rFonts w:ascii="Arial" w:hAnsi="Arial" w:cs="Arial"/>
                <w:sz w:val="24"/>
                <w:szCs w:val="24"/>
              </w:rPr>
              <w:t>e</w:t>
            </w:r>
            <w:r>
              <w:rPr>
                <w:rFonts w:ascii="Arial" w:hAnsi="Arial" w:cs="Arial"/>
                <w:sz w:val="24"/>
                <w:szCs w:val="24"/>
              </w:rPr>
              <w:t xml:space="preserve"> of the project.</w:t>
            </w:r>
          </w:p>
          <w:p w:rsidR="00CC7AD8" w:rsidRPr="00CC7AD8" w:rsidRDefault="00CC7AD8" w:rsidP="00CC7AD8">
            <w:pPr>
              <w:spacing w:line="360" w:lineRule="auto"/>
              <w:rPr>
                <w:rFonts w:ascii="Arial" w:hAnsi="Arial" w:cs="Arial"/>
                <w:sz w:val="24"/>
                <w:szCs w:val="24"/>
              </w:rPr>
            </w:pPr>
          </w:p>
          <w:p w:rsidR="00CC7AD8" w:rsidRDefault="00CC7AD8" w:rsidP="00C3799F">
            <w:pPr>
              <w:pStyle w:val="ListParagraph"/>
              <w:numPr>
                <w:ilvl w:val="0"/>
                <w:numId w:val="27"/>
              </w:numPr>
              <w:spacing w:line="360" w:lineRule="auto"/>
              <w:ind w:left="1298" w:hanging="425"/>
              <w:rPr>
                <w:rFonts w:ascii="Arial" w:hAnsi="Arial" w:cs="Arial"/>
                <w:sz w:val="24"/>
                <w:szCs w:val="24"/>
              </w:rPr>
            </w:pPr>
            <w:r>
              <w:rPr>
                <w:rFonts w:ascii="Arial" w:hAnsi="Arial" w:cs="Arial"/>
                <w:sz w:val="24"/>
                <w:szCs w:val="24"/>
              </w:rPr>
              <w:t xml:space="preserve">Currency Risk </w:t>
            </w:r>
            <w:r w:rsidR="00DA38A6">
              <w:rPr>
                <w:rFonts w:ascii="Arial" w:hAnsi="Arial" w:cs="Arial"/>
                <w:sz w:val="24"/>
                <w:szCs w:val="24"/>
              </w:rPr>
              <w:t>in</w:t>
            </w:r>
            <w:r>
              <w:rPr>
                <w:rFonts w:ascii="Arial" w:hAnsi="Arial" w:cs="Arial"/>
                <w:sz w:val="24"/>
                <w:szCs w:val="24"/>
              </w:rPr>
              <w:t xml:space="preserve"> terms of changes in exchange rates and </w:t>
            </w:r>
            <w:r w:rsidR="00DA38A6">
              <w:rPr>
                <w:rFonts w:ascii="Arial" w:hAnsi="Arial" w:cs="Arial"/>
                <w:sz w:val="24"/>
                <w:szCs w:val="24"/>
              </w:rPr>
              <w:t xml:space="preserve">may </w:t>
            </w:r>
            <w:r>
              <w:rPr>
                <w:rFonts w:ascii="Arial" w:hAnsi="Arial" w:cs="Arial"/>
                <w:sz w:val="24"/>
                <w:szCs w:val="24"/>
              </w:rPr>
              <w:t>affect expected cash flows from foreign investments.</w:t>
            </w:r>
          </w:p>
          <w:p w:rsidR="00CC7AD8" w:rsidRPr="00CC7AD8" w:rsidRDefault="00CC7AD8" w:rsidP="00CC7AD8">
            <w:pPr>
              <w:spacing w:line="360" w:lineRule="auto"/>
              <w:rPr>
                <w:rFonts w:ascii="Arial" w:hAnsi="Arial" w:cs="Arial"/>
                <w:sz w:val="24"/>
                <w:szCs w:val="24"/>
              </w:rPr>
            </w:pPr>
          </w:p>
          <w:p w:rsidR="00CC7AD8" w:rsidRDefault="00CC7AD8" w:rsidP="00C3799F">
            <w:pPr>
              <w:pStyle w:val="ListParagraph"/>
              <w:numPr>
                <w:ilvl w:val="0"/>
                <w:numId w:val="27"/>
              </w:numPr>
              <w:spacing w:line="360" w:lineRule="auto"/>
              <w:ind w:left="1298" w:hanging="425"/>
              <w:rPr>
                <w:rFonts w:ascii="Arial" w:hAnsi="Arial" w:cs="Arial"/>
                <w:sz w:val="24"/>
                <w:szCs w:val="24"/>
              </w:rPr>
            </w:pPr>
            <w:r>
              <w:rPr>
                <w:rFonts w:ascii="Arial" w:hAnsi="Arial" w:cs="Arial"/>
                <w:sz w:val="24"/>
                <w:szCs w:val="24"/>
              </w:rPr>
              <w:t xml:space="preserve">Outsourcing Risk comes from a counterparty that has breached </w:t>
            </w:r>
            <w:r w:rsidR="00DA38A6">
              <w:rPr>
                <w:rFonts w:ascii="Arial" w:hAnsi="Arial" w:cs="Arial"/>
                <w:sz w:val="24"/>
                <w:szCs w:val="24"/>
              </w:rPr>
              <w:t>contractual</w:t>
            </w:r>
            <w:r>
              <w:rPr>
                <w:rFonts w:ascii="Arial" w:hAnsi="Arial" w:cs="Arial"/>
                <w:sz w:val="24"/>
                <w:szCs w:val="24"/>
              </w:rPr>
              <w:t xml:space="preserve"> conditions, </w:t>
            </w:r>
            <w:r w:rsidR="00DA38A6">
              <w:rPr>
                <w:rFonts w:ascii="Arial" w:hAnsi="Arial" w:cs="Arial"/>
                <w:sz w:val="24"/>
                <w:szCs w:val="24"/>
              </w:rPr>
              <w:t xml:space="preserve">possibly </w:t>
            </w:r>
            <w:r>
              <w:rPr>
                <w:rFonts w:ascii="Arial" w:hAnsi="Arial" w:cs="Arial"/>
                <w:sz w:val="24"/>
                <w:szCs w:val="24"/>
              </w:rPr>
              <w:t>failed to deliver goods on time, or gone into liquidation.</w:t>
            </w:r>
          </w:p>
          <w:p w:rsidR="00CC7AD8" w:rsidRPr="00CC7AD8" w:rsidRDefault="00CC7AD8" w:rsidP="00CC7AD8">
            <w:pPr>
              <w:spacing w:line="360" w:lineRule="auto"/>
              <w:rPr>
                <w:rFonts w:ascii="Arial" w:hAnsi="Arial" w:cs="Arial"/>
                <w:sz w:val="24"/>
                <w:szCs w:val="24"/>
              </w:rPr>
            </w:pPr>
          </w:p>
          <w:p w:rsidR="00CC7AD8" w:rsidRDefault="00CC7AD8" w:rsidP="00C3799F">
            <w:pPr>
              <w:pStyle w:val="ListParagraph"/>
              <w:numPr>
                <w:ilvl w:val="0"/>
                <w:numId w:val="27"/>
              </w:numPr>
              <w:spacing w:line="360" w:lineRule="auto"/>
              <w:ind w:left="1298" w:hanging="425"/>
              <w:rPr>
                <w:rFonts w:ascii="Arial" w:hAnsi="Arial" w:cs="Arial"/>
                <w:sz w:val="24"/>
                <w:szCs w:val="24"/>
              </w:rPr>
            </w:pPr>
            <w:r>
              <w:rPr>
                <w:rFonts w:ascii="Arial" w:hAnsi="Arial" w:cs="Arial"/>
                <w:sz w:val="24"/>
                <w:szCs w:val="24"/>
              </w:rPr>
              <w:t xml:space="preserve">Systems Risk is when a loss is caused by </w:t>
            </w:r>
            <w:r w:rsidR="00DA38A6">
              <w:rPr>
                <w:rFonts w:ascii="Arial" w:hAnsi="Arial" w:cs="Arial"/>
                <w:sz w:val="24"/>
                <w:szCs w:val="24"/>
              </w:rPr>
              <w:t>a breakdown</w:t>
            </w:r>
            <w:r>
              <w:rPr>
                <w:rFonts w:ascii="Arial" w:hAnsi="Arial" w:cs="Arial"/>
                <w:sz w:val="24"/>
                <w:szCs w:val="24"/>
              </w:rPr>
              <w:t xml:space="preserve"> of business processes, procedures, systems and controls.</w:t>
            </w:r>
          </w:p>
          <w:p w:rsidR="00CC7AD8" w:rsidRPr="00CC7AD8" w:rsidRDefault="00CC7AD8" w:rsidP="00CC7AD8">
            <w:pPr>
              <w:spacing w:line="360" w:lineRule="auto"/>
              <w:rPr>
                <w:rFonts w:ascii="Arial" w:hAnsi="Arial" w:cs="Arial"/>
                <w:sz w:val="24"/>
                <w:szCs w:val="24"/>
              </w:rPr>
            </w:pPr>
          </w:p>
          <w:p w:rsidR="00CC7AD8" w:rsidRDefault="00CC7AD8" w:rsidP="00C3799F">
            <w:pPr>
              <w:pStyle w:val="ListParagraph"/>
              <w:numPr>
                <w:ilvl w:val="0"/>
                <w:numId w:val="27"/>
              </w:numPr>
              <w:spacing w:line="360" w:lineRule="auto"/>
              <w:ind w:left="1298" w:hanging="425"/>
              <w:rPr>
                <w:rFonts w:ascii="Arial" w:hAnsi="Arial" w:cs="Arial"/>
                <w:sz w:val="24"/>
                <w:szCs w:val="24"/>
              </w:rPr>
            </w:pPr>
            <w:r>
              <w:rPr>
                <w:rFonts w:ascii="Arial" w:hAnsi="Arial" w:cs="Arial"/>
                <w:sz w:val="24"/>
                <w:szCs w:val="24"/>
              </w:rPr>
              <w:lastRenderedPageBreak/>
              <w:t>Foreign Investment Risk includes limits on the right to repatriate funds, high levels of taxation on profit</w:t>
            </w:r>
            <w:r w:rsidR="003E5990">
              <w:rPr>
                <w:rFonts w:ascii="Arial" w:hAnsi="Arial" w:cs="Arial"/>
                <w:sz w:val="24"/>
                <w:szCs w:val="24"/>
              </w:rPr>
              <w:t>s</w:t>
            </w:r>
            <w:r>
              <w:rPr>
                <w:rFonts w:ascii="Arial" w:hAnsi="Arial" w:cs="Arial"/>
                <w:sz w:val="24"/>
                <w:szCs w:val="24"/>
              </w:rPr>
              <w:t xml:space="preserve"> sent overseas, the expropriation of assets or the short-term freezing of bank account balances.</w:t>
            </w:r>
          </w:p>
          <w:p w:rsidR="00CC7AD8" w:rsidRPr="00CC7AD8" w:rsidRDefault="00CC7AD8" w:rsidP="00CC7AD8">
            <w:pPr>
              <w:spacing w:line="360" w:lineRule="auto"/>
              <w:rPr>
                <w:rFonts w:ascii="Arial" w:hAnsi="Arial" w:cs="Arial"/>
                <w:sz w:val="24"/>
                <w:szCs w:val="24"/>
              </w:rPr>
            </w:pPr>
          </w:p>
          <w:p w:rsidR="00CC7AD8" w:rsidRDefault="00CC7AD8" w:rsidP="00C3799F">
            <w:pPr>
              <w:pStyle w:val="ListParagraph"/>
              <w:numPr>
                <w:ilvl w:val="0"/>
                <w:numId w:val="27"/>
              </w:numPr>
              <w:spacing w:line="360" w:lineRule="auto"/>
              <w:ind w:left="1298" w:hanging="425"/>
              <w:rPr>
                <w:rFonts w:ascii="Arial" w:hAnsi="Arial" w:cs="Arial"/>
                <w:sz w:val="24"/>
                <w:szCs w:val="24"/>
              </w:rPr>
            </w:pPr>
            <w:r>
              <w:rPr>
                <w:rFonts w:ascii="Arial" w:hAnsi="Arial" w:cs="Arial"/>
                <w:sz w:val="24"/>
                <w:szCs w:val="24"/>
              </w:rPr>
              <w:t>Liquidity Risk arises from not being in a financial position to meet financial obligations in the short-term, such as staff salary payments, suppliers</w:t>
            </w:r>
            <w:r w:rsidR="003E5990">
              <w:rPr>
                <w:rFonts w:ascii="Arial" w:hAnsi="Arial" w:cs="Arial"/>
                <w:sz w:val="24"/>
                <w:szCs w:val="24"/>
              </w:rPr>
              <w:t>, one’s tax obligations</w:t>
            </w:r>
            <w:r>
              <w:rPr>
                <w:rFonts w:ascii="Arial" w:hAnsi="Arial" w:cs="Arial"/>
                <w:sz w:val="24"/>
                <w:szCs w:val="24"/>
              </w:rPr>
              <w:t xml:space="preserve"> or the rental.</w:t>
            </w:r>
          </w:p>
          <w:p w:rsidR="004967EE" w:rsidRDefault="004967EE" w:rsidP="004967EE">
            <w:pPr>
              <w:pStyle w:val="ListParagraph"/>
              <w:spacing w:line="360" w:lineRule="auto"/>
              <w:ind w:left="589"/>
              <w:rPr>
                <w:rFonts w:ascii="Arial" w:hAnsi="Arial" w:cs="Arial"/>
                <w:sz w:val="24"/>
                <w:szCs w:val="24"/>
              </w:rPr>
            </w:pPr>
          </w:p>
          <w:p w:rsidR="008F7450" w:rsidRPr="004967EE" w:rsidRDefault="008F7450" w:rsidP="008F7450">
            <w:pPr>
              <w:pStyle w:val="ListParagraph"/>
              <w:tabs>
                <w:tab w:val="left" w:pos="1156"/>
              </w:tabs>
              <w:spacing w:line="360" w:lineRule="auto"/>
              <w:ind w:left="1156"/>
              <w:rPr>
                <w:rFonts w:ascii="Arial" w:hAnsi="Arial" w:cs="Arial"/>
                <w:sz w:val="24"/>
                <w:szCs w:val="24"/>
              </w:rPr>
            </w:pPr>
          </w:p>
          <w:p w:rsidR="00C3799F" w:rsidRDefault="00CC7AD8" w:rsidP="00C3799F">
            <w:pPr>
              <w:pStyle w:val="ListParagraph"/>
              <w:numPr>
                <w:ilvl w:val="0"/>
                <w:numId w:val="2"/>
              </w:numPr>
              <w:tabs>
                <w:tab w:val="left" w:pos="1230"/>
              </w:tabs>
              <w:spacing w:line="360" w:lineRule="auto"/>
              <w:ind w:left="873" w:hanging="851"/>
              <w:rPr>
                <w:rFonts w:ascii="Arial" w:hAnsi="Arial" w:cs="Arial"/>
                <w:sz w:val="24"/>
                <w:szCs w:val="24"/>
              </w:rPr>
            </w:pPr>
            <w:r>
              <w:rPr>
                <w:rFonts w:ascii="Arial" w:hAnsi="Arial" w:cs="Arial"/>
                <w:sz w:val="24"/>
                <w:szCs w:val="24"/>
              </w:rPr>
              <w:t>The benefits of financial risk management are as follows:</w:t>
            </w:r>
          </w:p>
          <w:p w:rsidR="00C3799F" w:rsidRDefault="00C3799F" w:rsidP="00C3799F">
            <w:pPr>
              <w:pStyle w:val="ListParagraph"/>
              <w:tabs>
                <w:tab w:val="left" w:pos="1230"/>
              </w:tabs>
              <w:spacing w:line="360" w:lineRule="auto"/>
              <w:ind w:left="873"/>
              <w:rPr>
                <w:rFonts w:ascii="Arial" w:hAnsi="Arial" w:cs="Arial"/>
                <w:sz w:val="24"/>
                <w:szCs w:val="24"/>
              </w:rPr>
            </w:pPr>
          </w:p>
          <w:p w:rsidR="008D6A00" w:rsidRDefault="00CC7AD8" w:rsidP="008D6A00">
            <w:pPr>
              <w:pStyle w:val="ListParagraph"/>
              <w:numPr>
                <w:ilvl w:val="0"/>
                <w:numId w:val="15"/>
              </w:numPr>
              <w:tabs>
                <w:tab w:val="left" w:pos="1156"/>
              </w:tabs>
              <w:spacing w:line="360" w:lineRule="auto"/>
              <w:ind w:left="1156" w:hanging="283"/>
              <w:rPr>
                <w:rFonts w:ascii="Arial" w:hAnsi="Arial" w:cs="Arial"/>
                <w:sz w:val="24"/>
                <w:szCs w:val="24"/>
              </w:rPr>
            </w:pPr>
            <w:r>
              <w:rPr>
                <w:rFonts w:ascii="Arial" w:hAnsi="Arial" w:cs="Arial"/>
                <w:sz w:val="24"/>
                <w:szCs w:val="24"/>
              </w:rPr>
              <w:t xml:space="preserve">It improves financial planning and control, which is the </w:t>
            </w:r>
            <w:r w:rsidR="008D6A00">
              <w:rPr>
                <w:rFonts w:ascii="Arial" w:hAnsi="Arial" w:cs="Arial"/>
                <w:sz w:val="24"/>
                <w:szCs w:val="24"/>
              </w:rPr>
              <w:t>center</w:t>
            </w:r>
            <w:r>
              <w:rPr>
                <w:rFonts w:ascii="Arial" w:hAnsi="Arial" w:cs="Arial"/>
                <w:sz w:val="24"/>
                <w:szCs w:val="24"/>
              </w:rPr>
              <w:t xml:space="preserve"> point of corporate governance (Kings </w:t>
            </w:r>
            <w:r w:rsidR="008D6A00">
              <w:rPr>
                <w:rFonts w:ascii="Arial" w:hAnsi="Arial" w:cs="Arial"/>
                <w:sz w:val="24"/>
                <w:szCs w:val="24"/>
              </w:rPr>
              <w:t>I</w:t>
            </w:r>
            <w:r>
              <w:rPr>
                <w:rFonts w:ascii="Arial" w:hAnsi="Arial" w:cs="Arial"/>
                <w:sz w:val="24"/>
                <w:szCs w:val="24"/>
              </w:rPr>
              <w:t xml:space="preserve">II and now </w:t>
            </w:r>
            <w:r w:rsidR="002F0504">
              <w:rPr>
                <w:rFonts w:ascii="Arial" w:hAnsi="Arial" w:cs="Arial"/>
                <w:sz w:val="24"/>
                <w:szCs w:val="24"/>
              </w:rPr>
              <w:t xml:space="preserve">new Kings </w:t>
            </w:r>
            <w:r>
              <w:rPr>
                <w:rFonts w:ascii="Arial" w:hAnsi="Arial" w:cs="Arial"/>
                <w:sz w:val="24"/>
                <w:szCs w:val="24"/>
              </w:rPr>
              <w:t>IV)</w:t>
            </w:r>
            <w:r w:rsidR="008D6A00">
              <w:rPr>
                <w:rFonts w:ascii="Arial" w:hAnsi="Arial" w:cs="Arial"/>
                <w:sz w:val="24"/>
                <w:szCs w:val="24"/>
              </w:rPr>
              <w:t>.</w:t>
            </w:r>
          </w:p>
          <w:p w:rsidR="008D6A00" w:rsidRDefault="008D6A00" w:rsidP="008D6A00">
            <w:pPr>
              <w:pStyle w:val="ListParagraph"/>
              <w:tabs>
                <w:tab w:val="left" w:pos="1156"/>
              </w:tabs>
              <w:spacing w:line="360" w:lineRule="auto"/>
              <w:ind w:left="1156"/>
              <w:rPr>
                <w:rFonts w:ascii="Arial" w:hAnsi="Arial" w:cs="Arial"/>
                <w:sz w:val="24"/>
                <w:szCs w:val="24"/>
              </w:rPr>
            </w:pPr>
          </w:p>
          <w:p w:rsidR="008D6A00" w:rsidRDefault="008D6A00" w:rsidP="008D6A00">
            <w:pPr>
              <w:pStyle w:val="ListParagraph"/>
              <w:numPr>
                <w:ilvl w:val="0"/>
                <w:numId w:val="15"/>
              </w:numPr>
              <w:tabs>
                <w:tab w:val="left" w:pos="1156"/>
              </w:tabs>
              <w:spacing w:line="360" w:lineRule="auto"/>
              <w:ind w:left="1156" w:hanging="283"/>
              <w:rPr>
                <w:rFonts w:ascii="Arial" w:hAnsi="Arial" w:cs="Arial"/>
                <w:sz w:val="24"/>
                <w:szCs w:val="24"/>
              </w:rPr>
            </w:pPr>
            <w:r>
              <w:rPr>
                <w:rFonts w:ascii="Arial" w:hAnsi="Arial" w:cs="Arial"/>
                <w:sz w:val="24"/>
                <w:szCs w:val="24"/>
              </w:rPr>
              <w:t>It improves healthier investment choices.</w:t>
            </w:r>
          </w:p>
          <w:p w:rsidR="008D6A00" w:rsidRPr="008D6A00" w:rsidRDefault="008D6A00" w:rsidP="008D6A00">
            <w:pPr>
              <w:tabs>
                <w:tab w:val="left" w:pos="1156"/>
              </w:tabs>
              <w:spacing w:line="360" w:lineRule="auto"/>
              <w:rPr>
                <w:rFonts w:ascii="Arial" w:hAnsi="Arial" w:cs="Arial"/>
                <w:sz w:val="24"/>
                <w:szCs w:val="24"/>
              </w:rPr>
            </w:pPr>
          </w:p>
          <w:p w:rsidR="008D6A00" w:rsidRDefault="008D6A00" w:rsidP="008D6A00">
            <w:pPr>
              <w:pStyle w:val="ListParagraph"/>
              <w:numPr>
                <w:ilvl w:val="0"/>
                <w:numId w:val="15"/>
              </w:numPr>
              <w:tabs>
                <w:tab w:val="left" w:pos="1156"/>
              </w:tabs>
              <w:spacing w:line="360" w:lineRule="auto"/>
              <w:ind w:left="1156" w:hanging="283"/>
              <w:rPr>
                <w:rFonts w:ascii="Arial" w:hAnsi="Arial" w:cs="Arial"/>
                <w:sz w:val="24"/>
                <w:szCs w:val="24"/>
              </w:rPr>
            </w:pPr>
            <w:r>
              <w:rPr>
                <w:rFonts w:ascii="Arial" w:hAnsi="Arial" w:cs="Arial"/>
                <w:sz w:val="24"/>
                <w:szCs w:val="24"/>
              </w:rPr>
              <w:t>It advises hedging decisions.</w:t>
            </w:r>
          </w:p>
          <w:p w:rsidR="008D6A00" w:rsidRPr="008D6A00" w:rsidRDefault="008D6A00" w:rsidP="008D6A00">
            <w:pPr>
              <w:pStyle w:val="ListParagraph"/>
              <w:rPr>
                <w:rFonts w:ascii="Arial" w:hAnsi="Arial" w:cs="Arial"/>
                <w:sz w:val="24"/>
                <w:szCs w:val="24"/>
              </w:rPr>
            </w:pPr>
          </w:p>
          <w:p w:rsidR="008D6A00" w:rsidRDefault="008D6A00" w:rsidP="008D6A00">
            <w:pPr>
              <w:pStyle w:val="ListParagraph"/>
              <w:numPr>
                <w:ilvl w:val="0"/>
                <w:numId w:val="15"/>
              </w:numPr>
              <w:tabs>
                <w:tab w:val="left" w:pos="1156"/>
              </w:tabs>
              <w:spacing w:line="360" w:lineRule="auto"/>
              <w:ind w:left="1156" w:hanging="283"/>
              <w:rPr>
                <w:rFonts w:ascii="Arial" w:hAnsi="Arial" w:cs="Arial"/>
                <w:sz w:val="24"/>
                <w:szCs w:val="24"/>
              </w:rPr>
            </w:pPr>
            <w:r>
              <w:rPr>
                <w:rFonts w:ascii="Arial" w:hAnsi="Arial" w:cs="Arial"/>
                <w:sz w:val="24"/>
                <w:szCs w:val="24"/>
              </w:rPr>
              <w:t>It encourages the practice of due diligence when dealing with counterparties and outsourcing.</w:t>
            </w:r>
          </w:p>
          <w:p w:rsidR="008D6A00" w:rsidRPr="008D6A00" w:rsidRDefault="008D6A00" w:rsidP="008D6A00">
            <w:pPr>
              <w:pStyle w:val="ListParagraph"/>
              <w:rPr>
                <w:rFonts w:ascii="Arial" w:hAnsi="Arial" w:cs="Arial"/>
                <w:sz w:val="24"/>
                <w:szCs w:val="24"/>
              </w:rPr>
            </w:pPr>
          </w:p>
          <w:p w:rsidR="008D6A00" w:rsidRPr="008D6A00" w:rsidRDefault="008D6A00" w:rsidP="008D6A00">
            <w:pPr>
              <w:pStyle w:val="ListParagraph"/>
              <w:numPr>
                <w:ilvl w:val="0"/>
                <w:numId w:val="15"/>
              </w:numPr>
              <w:tabs>
                <w:tab w:val="left" w:pos="1156"/>
              </w:tabs>
              <w:spacing w:line="360" w:lineRule="auto"/>
              <w:ind w:left="1156" w:hanging="283"/>
              <w:rPr>
                <w:rFonts w:ascii="Arial" w:hAnsi="Arial" w:cs="Arial"/>
                <w:sz w:val="24"/>
                <w:szCs w:val="24"/>
              </w:rPr>
            </w:pPr>
            <w:r>
              <w:rPr>
                <w:rFonts w:ascii="Arial" w:hAnsi="Arial" w:cs="Arial"/>
                <w:sz w:val="24"/>
                <w:szCs w:val="24"/>
              </w:rPr>
              <w:t xml:space="preserve">It develops the much needed habit of constantly monitoring the economy and markets to assist in </w:t>
            </w:r>
            <w:r w:rsidR="002F0504">
              <w:rPr>
                <w:rFonts w:ascii="Arial" w:hAnsi="Arial" w:cs="Arial"/>
                <w:sz w:val="24"/>
                <w:szCs w:val="24"/>
              </w:rPr>
              <w:t xml:space="preserve">good </w:t>
            </w:r>
            <w:r>
              <w:rPr>
                <w:rFonts w:ascii="Arial" w:hAnsi="Arial" w:cs="Arial"/>
                <w:sz w:val="24"/>
                <w:szCs w:val="24"/>
              </w:rPr>
              <w:t>product</w:t>
            </w:r>
            <w:r w:rsidR="00B219E2">
              <w:rPr>
                <w:rFonts w:ascii="Arial" w:hAnsi="Arial" w:cs="Arial"/>
                <w:sz w:val="24"/>
                <w:szCs w:val="24"/>
              </w:rPr>
              <w:t>/project</w:t>
            </w:r>
            <w:r>
              <w:rPr>
                <w:rFonts w:ascii="Arial" w:hAnsi="Arial" w:cs="Arial"/>
                <w:sz w:val="24"/>
                <w:szCs w:val="24"/>
              </w:rPr>
              <w:t xml:space="preserve"> decision making.</w:t>
            </w:r>
          </w:p>
          <w:p w:rsidR="00B47162" w:rsidRPr="00D97AD0" w:rsidRDefault="00CC7AD8" w:rsidP="00CC7AD8">
            <w:pPr>
              <w:pStyle w:val="ListParagraph"/>
              <w:tabs>
                <w:tab w:val="left" w:pos="1156"/>
              </w:tabs>
              <w:spacing w:line="360" w:lineRule="auto"/>
              <w:ind w:left="1156"/>
              <w:rPr>
                <w:rFonts w:ascii="Arial" w:hAnsi="Arial" w:cs="Arial"/>
                <w:sz w:val="24"/>
                <w:szCs w:val="24"/>
              </w:rPr>
            </w:pPr>
            <w:r w:rsidRPr="00D97AD0">
              <w:rPr>
                <w:rFonts w:ascii="Arial" w:hAnsi="Arial" w:cs="Arial"/>
                <w:sz w:val="24"/>
                <w:szCs w:val="24"/>
              </w:rPr>
              <w:t xml:space="preserve"> </w:t>
            </w:r>
          </w:p>
          <w:p w:rsidR="00CC7AD8" w:rsidRDefault="008D6A00" w:rsidP="00CC7AD8">
            <w:pPr>
              <w:pStyle w:val="ListParagraph"/>
              <w:numPr>
                <w:ilvl w:val="0"/>
                <w:numId w:val="2"/>
              </w:numPr>
              <w:tabs>
                <w:tab w:val="left" w:pos="1230"/>
              </w:tabs>
              <w:spacing w:line="360" w:lineRule="auto"/>
              <w:ind w:left="873" w:hanging="851"/>
              <w:rPr>
                <w:rFonts w:ascii="Arial" w:hAnsi="Arial" w:cs="Arial"/>
                <w:sz w:val="24"/>
                <w:szCs w:val="24"/>
              </w:rPr>
            </w:pPr>
            <w:r>
              <w:rPr>
                <w:rFonts w:ascii="Arial" w:hAnsi="Arial" w:cs="Arial"/>
                <w:sz w:val="24"/>
                <w:szCs w:val="24"/>
              </w:rPr>
              <w:t>“Liquid</w:t>
            </w:r>
            <w:r w:rsidR="00EA27BC">
              <w:rPr>
                <w:rFonts w:ascii="Arial" w:hAnsi="Arial" w:cs="Arial"/>
                <w:sz w:val="24"/>
                <w:szCs w:val="24"/>
              </w:rPr>
              <w:t>ity</w:t>
            </w:r>
            <w:r>
              <w:rPr>
                <w:rFonts w:ascii="Arial" w:hAnsi="Arial" w:cs="Arial"/>
                <w:sz w:val="24"/>
                <w:szCs w:val="24"/>
              </w:rPr>
              <w:t xml:space="preserve"> Risk”</w:t>
            </w:r>
          </w:p>
          <w:p w:rsidR="008D6A00" w:rsidRDefault="008D6A00" w:rsidP="008D6A00">
            <w:pPr>
              <w:pStyle w:val="ListParagraph"/>
              <w:tabs>
                <w:tab w:val="left" w:pos="1230"/>
              </w:tabs>
              <w:spacing w:line="360" w:lineRule="auto"/>
              <w:ind w:left="873"/>
              <w:rPr>
                <w:rFonts w:ascii="Arial" w:hAnsi="Arial" w:cs="Arial"/>
                <w:sz w:val="24"/>
                <w:szCs w:val="24"/>
              </w:rPr>
            </w:pPr>
          </w:p>
          <w:p w:rsidR="008D6A00" w:rsidRDefault="008D6A00" w:rsidP="008D6A00">
            <w:pPr>
              <w:pStyle w:val="ListParagraph"/>
              <w:tabs>
                <w:tab w:val="left" w:pos="1230"/>
              </w:tabs>
              <w:spacing w:line="360" w:lineRule="auto"/>
              <w:ind w:left="873"/>
              <w:rPr>
                <w:rFonts w:ascii="Arial" w:hAnsi="Arial" w:cs="Arial"/>
                <w:sz w:val="24"/>
                <w:szCs w:val="24"/>
              </w:rPr>
            </w:pPr>
            <w:r>
              <w:rPr>
                <w:rFonts w:ascii="Arial" w:hAnsi="Arial" w:cs="Arial"/>
                <w:sz w:val="24"/>
                <w:szCs w:val="24"/>
              </w:rPr>
              <w:t xml:space="preserve">This is the risk that a business faces when not being able to acquire funds to meet its obligations as and when they are due, either by increasing </w:t>
            </w:r>
            <w:r w:rsidR="00EA27BC">
              <w:rPr>
                <w:rFonts w:ascii="Arial" w:hAnsi="Arial" w:cs="Arial"/>
                <w:sz w:val="24"/>
                <w:szCs w:val="24"/>
              </w:rPr>
              <w:t xml:space="preserve">its </w:t>
            </w:r>
            <w:r>
              <w:rPr>
                <w:rFonts w:ascii="Arial" w:hAnsi="Arial" w:cs="Arial"/>
                <w:sz w:val="24"/>
                <w:szCs w:val="24"/>
              </w:rPr>
              <w:t xml:space="preserve">liability or by converting assets into cash without losing value.  A more </w:t>
            </w:r>
            <w:r>
              <w:rPr>
                <w:rFonts w:ascii="Arial" w:hAnsi="Arial" w:cs="Arial"/>
                <w:sz w:val="24"/>
                <w:szCs w:val="24"/>
              </w:rPr>
              <w:lastRenderedPageBreak/>
              <w:t>liquid asset can be converted into money more easily and “near money” is an example of an asset that can be converted into liquid cash more quickly and at little cost (time deposits with banks or building societies are examples of “near money”).  Investors must give notice before they can withdraw money from a “time deposit” – often this can range from 21 days to 30 days, without being penalized.</w:t>
            </w:r>
          </w:p>
          <w:p w:rsidR="008D6A00" w:rsidRDefault="008D6A00" w:rsidP="008D6A00">
            <w:pPr>
              <w:pStyle w:val="ListParagraph"/>
              <w:tabs>
                <w:tab w:val="left" w:pos="1230"/>
              </w:tabs>
              <w:spacing w:line="360" w:lineRule="auto"/>
              <w:ind w:left="873"/>
              <w:rPr>
                <w:rFonts w:ascii="Arial" w:hAnsi="Arial" w:cs="Arial"/>
                <w:sz w:val="24"/>
                <w:szCs w:val="24"/>
              </w:rPr>
            </w:pPr>
          </w:p>
          <w:p w:rsidR="008D6A00" w:rsidRDefault="008D6A00" w:rsidP="008D6A00">
            <w:pPr>
              <w:pStyle w:val="ListParagraph"/>
              <w:tabs>
                <w:tab w:val="left" w:pos="1230"/>
              </w:tabs>
              <w:spacing w:line="360" w:lineRule="auto"/>
              <w:ind w:left="873"/>
              <w:rPr>
                <w:rFonts w:ascii="Arial" w:hAnsi="Arial" w:cs="Arial"/>
                <w:sz w:val="24"/>
                <w:szCs w:val="24"/>
              </w:rPr>
            </w:pPr>
            <w:r>
              <w:rPr>
                <w:rFonts w:ascii="Arial" w:hAnsi="Arial" w:cs="Arial"/>
                <w:sz w:val="24"/>
                <w:szCs w:val="24"/>
              </w:rPr>
              <w:t xml:space="preserve">The outcome of extreme liquidity is bankruptcy, which can be brought on by other business risks such as substantial losses due to a key customer defaulting on payment, </w:t>
            </w:r>
            <w:r w:rsidR="00EA27BC">
              <w:rPr>
                <w:rFonts w:ascii="Arial" w:hAnsi="Arial" w:cs="Arial"/>
                <w:sz w:val="24"/>
                <w:szCs w:val="24"/>
              </w:rPr>
              <w:t>which can also</w:t>
            </w:r>
            <w:r>
              <w:rPr>
                <w:rFonts w:ascii="Arial" w:hAnsi="Arial" w:cs="Arial"/>
                <w:sz w:val="24"/>
                <w:szCs w:val="24"/>
              </w:rPr>
              <w:t xml:space="preserve"> raise liquidity concerns about the future of the company.  Companies can only stay solvent by making sure that all cash obligations, such as salaries, rents, tax, etc. can be paid through a combination of investment liquidity, contingent liabilities, liabilities that can be terminated quickly and funding sources.</w:t>
            </w:r>
          </w:p>
          <w:p w:rsidR="008D6A00" w:rsidRDefault="008D6A00" w:rsidP="008D6A00">
            <w:pPr>
              <w:pStyle w:val="ListParagraph"/>
              <w:tabs>
                <w:tab w:val="left" w:pos="1230"/>
              </w:tabs>
              <w:spacing w:line="360" w:lineRule="auto"/>
              <w:ind w:left="873"/>
              <w:rPr>
                <w:rFonts w:ascii="Arial" w:hAnsi="Arial" w:cs="Arial"/>
                <w:sz w:val="24"/>
                <w:szCs w:val="24"/>
              </w:rPr>
            </w:pPr>
          </w:p>
          <w:p w:rsidR="008D6A00" w:rsidRDefault="008D6A00" w:rsidP="008D6A00">
            <w:pPr>
              <w:pStyle w:val="ListParagraph"/>
              <w:tabs>
                <w:tab w:val="left" w:pos="1230"/>
              </w:tabs>
              <w:spacing w:line="360" w:lineRule="auto"/>
              <w:ind w:left="873"/>
              <w:rPr>
                <w:rFonts w:ascii="Arial" w:hAnsi="Arial" w:cs="Arial"/>
                <w:sz w:val="24"/>
                <w:szCs w:val="24"/>
              </w:rPr>
            </w:pPr>
            <w:r>
              <w:rPr>
                <w:rFonts w:ascii="Arial" w:hAnsi="Arial" w:cs="Arial"/>
                <w:sz w:val="24"/>
                <w:szCs w:val="24"/>
              </w:rPr>
              <w:t xml:space="preserve">A simple measure of liquidity is using the </w:t>
            </w:r>
            <w:r w:rsidR="0061397F">
              <w:rPr>
                <w:rFonts w:ascii="Arial" w:hAnsi="Arial" w:cs="Arial"/>
                <w:sz w:val="24"/>
                <w:szCs w:val="24"/>
              </w:rPr>
              <w:t>“</w:t>
            </w:r>
            <w:r>
              <w:rPr>
                <w:rFonts w:ascii="Arial" w:hAnsi="Arial" w:cs="Arial"/>
                <w:sz w:val="24"/>
                <w:szCs w:val="24"/>
              </w:rPr>
              <w:t>current ratio</w:t>
            </w:r>
            <w:r w:rsidR="0061397F">
              <w:rPr>
                <w:rFonts w:ascii="Arial" w:hAnsi="Arial" w:cs="Arial"/>
                <w:sz w:val="24"/>
                <w:szCs w:val="24"/>
              </w:rPr>
              <w:t>”</w:t>
            </w:r>
            <w:r>
              <w:rPr>
                <w:rFonts w:ascii="Arial" w:hAnsi="Arial" w:cs="Arial"/>
                <w:sz w:val="24"/>
                <w:szCs w:val="24"/>
              </w:rPr>
              <w:t xml:space="preserve"> formula – this measures the correlation between current assets and current liabilities</w:t>
            </w:r>
            <w:r w:rsidR="0061397F">
              <w:rPr>
                <w:rFonts w:ascii="Arial" w:hAnsi="Arial" w:cs="Arial"/>
                <w:sz w:val="24"/>
                <w:szCs w:val="24"/>
              </w:rPr>
              <w:t xml:space="preserve"> of a business</w:t>
            </w:r>
            <w:r>
              <w:rPr>
                <w:rFonts w:ascii="Arial" w:hAnsi="Arial" w:cs="Arial"/>
                <w:sz w:val="24"/>
                <w:szCs w:val="24"/>
              </w:rPr>
              <w:t>.</w:t>
            </w:r>
          </w:p>
          <w:p w:rsidR="006F14E8" w:rsidRDefault="006F14E8" w:rsidP="008D6A00">
            <w:pPr>
              <w:pStyle w:val="ListParagraph"/>
              <w:tabs>
                <w:tab w:val="left" w:pos="1230"/>
              </w:tabs>
              <w:spacing w:line="360" w:lineRule="auto"/>
              <w:ind w:left="873"/>
              <w:rPr>
                <w:rFonts w:ascii="Arial" w:hAnsi="Arial" w:cs="Arial"/>
                <w:sz w:val="24"/>
                <w:szCs w:val="24"/>
              </w:rPr>
            </w:pPr>
          </w:p>
          <w:p w:rsidR="006F14E8" w:rsidRDefault="006F14E8" w:rsidP="006F14E8">
            <w:pPr>
              <w:tabs>
                <w:tab w:val="left" w:pos="1230"/>
              </w:tabs>
              <w:spacing w:line="360" w:lineRule="auto"/>
              <w:ind w:left="873" w:hanging="873"/>
              <w:rPr>
                <w:rFonts w:ascii="Arial" w:hAnsi="Arial" w:cs="Arial"/>
                <w:sz w:val="24"/>
                <w:szCs w:val="24"/>
              </w:rPr>
            </w:pPr>
            <w:r>
              <w:rPr>
                <w:rFonts w:ascii="Arial" w:hAnsi="Arial" w:cs="Arial"/>
                <w:sz w:val="24"/>
                <w:szCs w:val="24"/>
              </w:rPr>
              <w:t>2.          The difference between “Liquidity Risk” and “Credit Risk”</w:t>
            </w:r>
            <w:r w:rsidR="00DD57C6">
              <w:rPr>
                <w:rFonts w:ascii="Arial" w:hAnsi="Arial" w:cs="Arial"/>
                <w:sz w:val="24"/>
                <w:szCs w:val="24"/>
              </w:rPr>
              <w:t>:</w:t>
            </w:r>
          </w:p>
          <w:p w:rsidR="006F14E8" w:rsidRDefault="006F14E8" w:rsidP="006F14E8">
            <w:pPr>
              <w:tabs>
                <w:tab w:val="left" w:pos="1230"/>
              </w:tabs>
              <w:spacing w:line="360" w:lineRule="auto"/>
              <w:ind w:left="873" w:hanging="851"/>
              <w:rPr>
                <w:rFonts w:ascii="Arial" w:hAnsi="Arial" w:cs="Arial"/>
                <w:sz w:val="24"/>
                <w:szCs w:val="24"/>
              </w:rPr>
            </w:pPr>
          </w:p>
          <w:p w:rsidR="006F14E8" w:rsidRDefault="006F14E8" w:rsidP="006F14E8">
            <w:pPr>
              <w:tabs>
                <w:tab w:val="left" w:pos="1230"/>
              </w:tabs>
              <w:spacing w:line="360" w:lineRule="auto"/>
              <w:ind w:left="873"/>
              <w:rPr>
                <w:rFonts w:ascii="Arial" w:hAnsi="Arial" w:cs="Arial"/>
                <w:sz w:val="24"/>
                <w:szCs w:val="24"/>
              </w:rPr>
            </w:pPr>
            <w:r>
              <w:rPr>
                <w:rFonts w:ascii="Arial" w:hAnsi="Arial" w:cs="Arial"/>
                <w:sz w:val="24"/>
                <w:szCs w:val="24"/>
              </w:rPr>
              <w:t xml:space="preserve">“Liquidity Risk” refers to the </w:t>
            </w:r>
            <w:r w:rsidR="00DD57C6">
              <w:rPr>
                <w:rFonts w:ascii="Arial" w:hAnsi="Arial" w:cs="Arial"/>
                <w:sz w:val="24"/>
                <w:szCs w:val="24"/>
              </w:rPr>
              <w:t>chance that an entity (business) will have insufficient cash flow to meets its financial obligations (such as tax, monthly salaries, monthly rent, etc.).  This can be caused by the undesirability of an asset in the marketplace, such as a company’s products/service or fixed assets for liquidation.</w:t>
            </w:r>
          </w:p>
          <w:p w:rsidR="00DD57C6" w:rsidRDefault="00DD57C6" w:rsidP="006F14E8">
            <w:pPr>
              <w:tabs>
                <w:tab w:val="left" w:pos="1230"/>
              </w:tabs>
              <w:spacing w:line="360" w:lineRule="auto"/>
              <w:ind w:left="873"/>
              <w:rPr>
                <w:rFonts w:ascii="Arial" w:hAnsi="Arial" w:cs="Arial"/>
                <w:sz w:val="24"/>
                <w:szCs w:val="24"/>
              </w:rPr>
            </w:pPr>
          </w:p>
          <w:p w:rsidR="00DD57C6" w:rsidRDefault="00DD57C6" w:rsidP="006F14E8">
            <w:pPr>
              <w:tabs>
                <w:tab w:val="left" w:pos="1230"/>
              </w:tabs>
              <w:spacing w:line="360" w:lineRule="auto"/>
              <w:ind w:left="873"/>
              <w:rPr>
                <w:rFonts w:ascii="Arial" w:hAnsi="Arial" w:cs="Arial"/>
                <w:sz w:val="24"/>
                <w:szCs w:val="24"/>
              </w:rPr>
            </w:pPr>
            <w:r>
              <w:rPr>
                <w:rFonts w:ascii="Arial" w:hAnsi="Arial" w:cs="Arial"/>
                <w:sz w:val="24"/>
                <w:szCs w:val="24"/>
              </w:rPr>
              <w:t>“Credit Risk” on the other hand, is the risk</w:t>
            </w:r>
            <w:r w:rsidR="00A440F1">
              <w:rPr>
                <w:rFonts w:ascii="Arial" w:hAnsi="Arial" w:cs="Arial"/>
                <w:sz w:val="24"/>
                <w:szCs w:val="24"/>
              </w:rPr>
              <w:t xml:space="preserve"> of loss due to non-payment of debts owed by an entity.  Credit risk may be compounded by liquidity risk.</w:t>
            </w:r>
          </w:p>
          <w:p w:rsidR="006A6000" w:rsidRDefault="006A6000" w:rsidP="006F14E8">
            <w:pPr>
              <w:tabs>
                <w:tab w:val="left" w:pos="1230"/>
              </w:tabs>
              <w:spacing w:line="360" w:lineRule="auto"/>
              <w:ind w:left="873"/>
              <w:rPr>
                <w:rFonts w:ascii="Arial" w:hAnsi="Arial" w:cs="Arial"/>
                <w:sz w:val="24"/>
                <w:szCs w:val="24"/>
              </w:rPr>
            </w:pPr>
          </w:p>
          <w:p w:rsidR="006A6000" w:rsidRDefault="006A6000" w:rsidP="006F14E8">
            <w:pPr>
              <w:tabs>
                <w:tab w:val="left" w:pos="1230"/>
              </w:tabs>
              <w:spacing w:line="360" w:lineRule="auto"/>
              <w:ind w:left="873"/>
              <w:rPr>
                <w:rFonts w:ascii="Arial" w:hAnsi="Arial" w:cs="Arial"/>
                <w:sz w:val="24"/>
                <w:szCs w:val="24"/>
              </w:rPr>
            </w:pPr>
            <w:r>
              <w:rPr>
                <w:rFonts w:ascii="Arial" w:hAnsi="Arial" w:cs="Arial"/>
                <w:sz w:val="24"/>
                <w:szCs w:val="24"/>
              </w:rPr>
              <w:lastRenderedPageBreak/>
              <w:t xml:space="preserve">Although there is a difference between the two abovementioned financial risks, I </w:t>
            </w:r>
            <w:r w:rsidR="00ED1669">
              <w:rPr>
                <w:rFonts w:ascii="Arial" w:hAnsi="Arial" w:cs="Arial"/>
                <w:sz w:val="24"/>
                <w:szCs w:val="24"/>
              </w:rPr>
              <w:t>believe</w:t>
            </w:r>
            <w:r>
              <w:rPr>
                <w:rFonts w:ascii="Arial" w:hAnsi="Arial" w:cs="Arial"/>
                <w:sz w:val="24"/>
                <w:szCs w:val="24"/>
              </w:rPr>
              <w:t xml:space="preserve"> that it is important to study factors that may increase the level of risk that an entity </w:t>
            </w:r>
            <w:r w:rsidR="00ED1669">
              <w:rPr>
                <w:rFonts w:ascii="Arial" w:hAnsi="Arial" w:cs="Arial"/>
                <w:sz w:val="24"/>
                <w:szCs w:val="24"/>
              </w:rPr>
              <w:t xml:space="preserve">may </w:t>
            </w:r>
            <w:r>
              <w:rPr>
                <w:rFonts w:ascii="Arial" w:hAnsi="Arial" w:cs="Arial"/>
                <w:sz w:val="24"/>
                <w:szCs w:val="24"/>
              </w:rPr>
              <w:t xml:space="preserve">face.  </w:t>
            </w:r>
            <w:r w:rsidR="00ED1669">
              <w:rPr>
                <w:rFonts w:ascii="Arial" w:hAnsi="Arial" w:cs="Arial"/>
                <w:sz w:val="24"/>
                <w:szCs w:val="24"/>
              </w:rPr>
              <w:t>Although a</w:t>
            </w:r>
            <w:r>
              <w:rPr>
                <w:rFonts w:ascii="Arial" w:hAnsi="Arial" w:cs="Arial"/>
                <w:sz w:val="24"/>
                <w:szCs w:val="24"/>
              </w:rPr>
              <w:t xml:space="preserve">n entity may be liquid and be in a position to meets its financial obligations, it is wise for </w:t>
            </w:r>
            <w:r w:rsidR="00ED1669">
              <w:rPr>
                <w:rFonts w:ascii="Arial" w:hAnsi="Arial" w:cs="Arial"/>
                <w:sz w:val="24"/>
                <w:szCs w:val="24"/>
              </w:rPr>
              <w:t xml:space="preserve">senior </w:t>
            </w:r>
            <w:r>
              <w:rPr>
                <w:rFonts w:ascii="Arial" w:hAnsi="Arial" w:cs="Arial"/>
                <w:sz w:val="24"/>
                <w:szCs w:val="24"/>
              </w:rPr>
              <w:t xml:space="preserve">management to look forward and to predict the future market conditions that may adversely impact on </w:t>
            </w:r>
            <w:r w:rsidR="00ED1669">
              <w:rPr>
                <w:rFonts w:ascii="Arial" w:hAnsi="Arial" w:cs="Arial"/>
                <w:sz w:val="24"/>
                <w:szCs w:val="24"/>
              </w:rPr>
              <w:t xml:space="preserve">the </w:t>
            </w:r>
            <w:r>
              <w:rPr>
                <w:rFonts w:ascii="Arial" w:hAnsi="Arial" w:cs="Arial"/>
                <w:sz w:val="24"/>
                <w:szCs w:val="24"/>
              </w:rPr>
              <w:t>company’s ability to meet its financial obligations.</w:t>
            </w:r>
          </w:p>
          <w:p w:rsidR="006A6000" w:rsidRDefault="006A6000" w:rsidP="006A6000">
            <w:pPr>
              <w:tabs>
                <w:tab w:val="left" w:pos="1230"/>
              </w:tabs>
              <w:spacing w:line="360" w:lineRule="auto"/>
              <w:rPr>
                <w:rFonts w:ascii="Arial" w:hAnsi="Arial" w:cs="Arial"/>
                <w:sz w:val="24"/>
                <w:szCs w:val="24"/>
              </w:rPr>
            </w:pPr>
          </w:p>
          <w:p w:rsidR="006A6000" w:rsidRDefault="006A6000" w:rsidP="006A6000">
            <w:pPr>
              <w:tabs>
                <w:tab w:val="left" w:pos="1230"/>
              </w:tabs>
              <w:spacing w:line="360" w:lineRule="auto"/>
              <w:ind w:left="873" w:hanging="873"/>
              <w:rPr>
                <w:rFonts w:ascii="Arial" w:hAnsi="Arial" w:cs="Arial"/>
                <w:sz w:val="24"/>
                <w:szCs w:val="24"/>
              </w:rPr>
            </w:pPr>
            <w:r>
              <w:rPr>
                <w:rFonts w:ascii="Arial" w:hAnsi="Arial" w:cs="Arial"/>
                <w:sz w:val="24"/>
                <w:szCs w:val="24"/>
              </w:rPr>
              <w:t>3.          “Currency Risk”, is the risk that a business’ operations or an investment value will be affected by changes in exchange rates.  For example, if money must be converted into a different currency to make an investment, changes in the value of the currency relative to the American Dollar (USD $) will affect the total loss or gain on the investment when the money is converted back.  This risk usually affects business</w:t>
            </w:r>
            <w:r w:rsidR="00AA4BB3">
              <w:rPr>
                <w:rFonts w:ascii="Arial" w:hAnsi="Arial" w:cs="Arial"/>
                <w:sz w:val="24"/>
                <w:szCs w:val="24"/>
              </w:rPr>
              <w:t>es</w:t>
            </w:r>
            <w:r>
              <w:rPr>
                <w:rFonts w:ascii="Arial" w:hAnsi="Arial" w:cs="Arial"/>
                <w:sz w:val="24"/>
                <w:szCs w:val="24"/>
              </w:rPr>
              <w:t xml:space="preserve">, but it can </w:t>
            </w:r>
            <w:r w:rsidR="00AA4BB3">
              <w:rPr>
                <w:rFonts w:ascii="Arial" w:hAnsi="Arial" w:cs="Arial"/>
                <w:sz w:val="24"/>
                <w:szCs w:val="24"/>
              </w:rPr>
              <w:t xml:space="preserve">also </w:t>
            </w:r>
            <w:r>
              <w:rPr>
                <w:rFonts w:ascii="Arial" w:hAnsi="Arial" w:cs="Arial"/>
                <w:sz w:val="24"/>
                <w:szCs w:val="24"/>
              </w:rPr>
              <w:t>affect individual investors who make international investments.</w:t>
            </w:r>
          </w:p>
          <w:p w:rsidR="006A6000" w:rsidRDefault="006A6000" w:rsidP="006A6000">
            <w:pPr>
              <w:tabs>
                <w:tab w:val="left" w:pos="1230"/>
              </w:tabs>
              <w:spacing w:line="360" w:lineRule="auto"/>
              <w:ind w:left="873" w:hanging="873"/>
              <w:rPr>
                <w:rFonts w:ascii="Arial" w:hAnsi="Arial" w:cs="Arial"/>
                <w:sz w:val="24"/>
                <w:szCs w:val="24"/>
              </w:rPr>
            </w:pPr>
          </w:p>
          <w:p w:rsidR="006A6000" w:rsidRDefault="006A6000" w:rsidP="006A6000">
            <w:pPr>
              <w:tabs>
                <w:tab w:val="left" w:pos="1230"/>
              </w:tabs>
              <w:spacing w:line="360" w:lineRule="auto"/>
              <w:ind w:left="873"/>
              <w:rPr>
                <w:rFonts w:ascii="Arial" w:hAnsi="Arial" w:cs="Arial"/>
                <w:sz w:val="24"/>
                <w:szCs w:val="24"/>
              </w:rPr>
            </w:pPr>
            <w:r>
              <w:rPr>
                <w:rFonts w:ascii="Arial" w:hAnsi="Arial" w:cs="Arial"/>
                <w:sz w:val="24"/>
                <w:szCs w:val="24"/>
              </w:rPr>
              <w:t xml:space="preserve">The types of business operations that will expose a business to exchange rate risk include raising finance from overseas sources, the import or export of goods or services and the investing in overseas assets (such as </w:t>
            </w:r>
            <w:r w:rsidR="00AA4BB3">
              <w:rPr>
                <w:rFonts w:ascii="Arial" w:hAnsi="Arial" w:cs="Arial"/>
                <w:sz w:val="24"/>
                <w:szCs w:val="24"/>
              </w:rPr>
              <w:t>the setting up of a</w:t>
            </w:r>
            <w:r>
              <w:rPr>
                <w:rFonts w:ascii="Arial" w:hAnsi="Arial" w:cs="Arial"/>
                <w:sz w:val="24"/>
                <w:szCs w:val="24"/>
              </w:rPr>
              <w:t xml:space="preserve"> manufacturing concern</w:t>
            </w:r>
            <w:r w:rsidR="00AA4BB3">
              <w:rPr>
                <w:rFonts w:ascii="Arial" w:hAnsi="Arial" w:cs="Arial"/>
                <w:sz w:val="24"/>
                <w:szCs w:val="24"/>
              </w:rPr>
              <w:t xml:space="preserve"> in a different country </w:t>
            </w:r>
            <w:r>
              <w:rPr>
                <w:rFonts w:ascii="Arial" w:hAnsi="Arial" w:cs="Arial"/>
                <w:sz w:val="24"/>
                <w:szCs w:val="24"/>
              </w:rPr>
              <w:t>).</w:t>
            </w:r>
          </w:p>
          <w:p w:rsidR="006A6000" w:rsidRDefault="006A6000" w:rsidP="006A6000">
            <w:pPr>
              <w:tabs>
                <w:tab w:val="left" w:pos="1230"/>
              </w:tabs>
              <w:spacing w:line="360" w:lineRule="auto"/>
              <w:ind w:left="873"/>
              <w:rPr>
                <w:rFonts w:ascii="Arial" w:hAnsi="Arial" w:cs="Arial"/>
                <w:sz w:val="24"/>
                <w:szCs w:val="24"/>
              </w:rPr>
            </w:pPr>
          </w:p>
          <w:p w:rsidR="006A6000" w:rsidRDefault="006A6000" w:rsidP="006A6000">
            <w:pPr>
              <w:tabs>
                <w:tab w:val="left" w:pos="1230"/>
              </w:tabs>
              <w:spacing w:line="360" w:lineRule="auto"/>
              <w:ind w:left="873"/>
              <w:rPr>
                <w:rFonts w:ascii="Arial" w:hAnsi="Arial" w:cs="Arial"/>
                <w:sz w:val="24"/>
                <w:szCs w:val="24"/>
              </w:rPr>
            </w:pPr>
            <w:r>
              <w:rPr>
                <w:rFonts w:ascii="Arial" w:hAnsi="Arial" w:cs="Arial"/>
                <w:sz w:val="24"/>
                <w:szCs w:val="24"/>
              </w:rPr>
              <w:t xml:space="preserve">The </w:t>
            </w:r>
            <w:r w:rsidR="00AA4BB3">
              <w:rPr>
                <w:rFonts w:ascii="Arial" w:hAnsi="Arial" w:cs="Arial"/>
                <w:sz w:val="24"/>
                <w:szCs w:val="24"/>
              </w:rPr>
              <w:t>effects</w:t>
            </w:r>
            <w:r>
              <w:rPr>
                <w:rFonts w:ascii="Arial" w:hAnsi="Arial" w:cs="Arial"/>
                <w:sz w:val="24"/>
                <w:szCs w:val="24"/>
              </w:rPr>
              <w:t xml:space="preserve"> of currency risk can be reduced by adopting some form of hedging to minimize the risk.  Hedging against this type of risk is a type of derivative, or a financial investment that derives its value from an underlying asset and include</w:t>
            </w:r>
            <w:r w:rsidR="00AA4BB3">
              <w:rPr>
                <w:rFonts w:ascii="Arial" w:hAnsi="Arial" w:cs="Arial"/>
                <w:sz w:val="24"/>
                <w:szCs w:val="24"/>
              </w:rPr>
              <w:t>s</w:t>
            </w:r>
            <w:r>
              <w:rPr>
                <w:rFonts w:ascii="Arial" w:hAnsi="Arial" w:cs="Arial"/>
                <w:sz w:val="24"/>
                <w:szCs w:val="24"/>
              </w:rPr>
              <w:t xml:space="preserve"> such things as forward contracts and options.</w:t>
            </w:r>
          </w:p>
          <w:p w:rsidR="006A6000" w:rsidRDefault="006A6000" w:rsidP="006A6000">
            <w:pPr>
              <w:tabs>
                <w:tab w:val="left" w:pos="1230"/>
              </w:tabs>
              <w:spacing w:line="360" w:lineRule="auto"/>
              <w:ind w:left="873"/>
              <w:rPr>
                <w:rFonts w:ascii="Arial" w:hAnsi="Arial" w:cs="Arial"/>
                <w:sz w:val="24"/>
                <w:szCs w:val="24"/>
              </w:rPr>
            </w:pPr>
          </w:p>
          <w:p w:rsidR="006A6000" w:rsidRDefault="008C4D98" w:rsidP="006A6000">
            <w:pPr>
              <w:tabs>
                <w:tab w:val="left" w:pos="1230"/>
              </w:tabs>
              <w:spacing w:line="360" w:lineRule="auto"/>
              <w:ind w:left="873"/>
              <w:rPr>
                <w:rFonts w:ascii="Arial" w:hAnsi="Arial" w:cs="Arial"/>
                <w:sz w:val="24"/>
                <w:szCs w:val="24"/>
              </w:rPr>
            </w:pPr>
            <w:r>
              <w:rPr>
                <w:rFonts w:ascii="Arial" w:hAnsi="Arial" w:cs="Arial"/>
                <w:sz w:val="24"/>
                <w:szCs w:val="24"/>
              </w:rPr>
              <w:t>A forward contract</w:t>
            </w:r>
            <w:r w:rsidR="00AA4BB3">
              <w:rPr>
                <w:rFonts w:ascii="Arial" w:hAnsi="Arial" w:cs="Arial"/>
                <w:sz w:val="24"/>
                <w:szCs w:val="24"/>
              </w:rPr>
              <w:t xml:space="preserve"> </w:t>
            </w:r>
            <w:r>
              <w:rPr>
                <w:rFonts w:ascii="Arial" w:hAnsi="Arial" w:cs="Arial"/>
                <w:sz w:val="24"/>
                <w:szCs w:val="24"/>
              </w:rPr>
              <w:t>will lock in an exchange rate today</w:t>
            </w:r>
            <w:r w:rsidR="00AA4BB3">
              <w:rPr>
                <w:rFonts w:ascii="Arial" w:hAnsi="Arial" w:cs="Arial"/>
                <w:sz w:val="24"/>
                <w:szCs w:val="24"/>
              </w:rPr>
              <w:t>,</w:t>
            </w:r>
            <w:r>
              <w:rPr>
                <w:rFonts w:ascii="Arial" w:hAnsi="Arial" w:cs="Arial"/>
                <w:sz w:val="24"/>
                <w:szCs w:val="24"/>
              </w:rPr>
              <w:t xml:space="preserve"> w</w:t>
            </w:r>
            <w:r w:rsidR="00AA4BB3">
              <w:rPr>
                <w:rFonts w:ascii="Arial" w:hAnsi="Arial" w:cs="Arial"/>
                <w:sz w:val="24"/>
                <w:szCs w:val="24"/>
              </w:rPr>
              <w:t>here</w:t>
            </w:r>
            <w:r>
              <w:rPr>
                <w:rFonts w:ascii="Arial" w:hAnsi="Arial" w:cs="Arial"/>
                <w:sz w:val="24"/>
                <w:szCs w:val="24"/>
              </w:rPr>
              <w:t xml:space="preserve"> the currency transaction will occur at a later date.  Options, on the other hand, sets an exchange rate at which a company may choose to exchange currencies.  </w:t>
            </w:r>
            <w:r>
              <w:rPr>
                <w:rFonts w:ascii="Arial" w:hAnsi="Arial" w:cs="Arial"/>
                <w:sz w:val="24"/>
                <w:szCs w:val="24"/>
              </w:rPr>
              <w:lastRenderedPageBreak/>
              <w:t>If the current rate is more favourable, then the company will not exercise this option.</w:t>
            </w:r>
          </w:p>
          <w:p w:rsidR="008C4D98" w:rsidRDefault="008C4D98" w:rsidP="006A6000">
            <w:pPr>
              <w:tabs>
                <w:tab w:val="left" w:pos="1230"/>
              </w:tabs>
              <w:spacing w:line="360" w:lineRule="auto"/>
              <w:ind w:left="873"/>
              <w:rPr>
                <w:rFonts w:ascii="Arial" w:hAnsi="Arial" w:cs="Arial"/>
                <w:sz w:val="24"/>
                <w:szCs w:val="24"/>
              </w:rPr>
            </w:pPr>
          </w:p>
          <w:p w:rsidR="008C4D98" w:rsidRDefault="008C4D98" w:rsidP="008C4D98">
            <w:pPr>
              <w:tabs>
                <w:tab w:val="left" w:pos="1230"/>
              </w:tabs>
              <w:spacing w:line="360" w:lineRule="auto"/>
              <w:ind w:left="873"/>
              <w:rPr>
                <w:rFonts w:ascii="Arial" w:hAnsi="Arial" w:cs="Arial"/>
                <w:sz w:val="24"/>
                <w:szCs w:val="24"/>
              </w:rPr>
            </w:pPr>
            <w:r>
              <w:rPr>
                <w:rFonts w:ascii="Arial" w:hAnsi="Arial" w:cs="Arial"/>
                <w:sz w:val="24"/>
                <w:szCs w:val="24"/>
              </w:rPr>
              <w:t>Derivatives originate from the simple fact that they are financial products derived from some other existing product, such as shares, currencies, bonds and commodities (such as gold, nickel or wheat), with the main objective of such derivatives to redistribute the risk.</w:t>
            </w:r>
          </w:p>
          <w:p w:rsidR="008C4D98" w:rsidRDefault="008C4D98" w:rsidP="008C4D98">
            <w:pPr>
              <w:tabs>
                <w:tab w:val="left" w:pos="1230"/>
              </w:tabs>
              <w:spacing w:line="360" w:lineRule="auto"/>
              <w:ind w:left="873"/>
              <w:rPr>
                <w:rFonts w:ascii="Arial" w:hAnsi="Arial" w:cs="Arial"/>
                <w:sz w:val="24"/>
                <w:szCs w:val="24"/>
              </w:rPr>
            </w:pPr>
          </w:p>
          <w:p w:rsidR="008C4D98" w:rsidRDefault="008C4D98" w:rsidP="008C4D98">
            <w:pPr>
              <w:tabs>
                <w:tab w:val="left" w:pos="1230"/>
              </w:tabs>
              <w:spacing w:line="360" w:lineRule="auto"/>
              <w:ind w:left="873"/>
              <w:rPr>
                <w:rFonts w:ascii="Arial" w:hAnsi="Arial" w:cs="Arial"/>
                <w:sz w:val="24"/>
                <w:szCs w:val="24"/>
              </w:rPr>
            </w:pPr>
            <w:r>
              <w:rPr>
                <w:rFonts w:ascii="Arial" w:hAnsi="Arial" w:cs="Arial"/>
                <w:sz w:val="24"/>
                <w:szCs w:val="24"/>
              </w:rPr>
              <w:t xml:space="preserve">There are two types of customers using these </w:t>
            </w:r>
            <w:r w:rsidR="009256ED">
              <w:rPr>
                <w:rFonts w:ascii="Arial" w:hAnsi="Arial" w:cs="Arial"/>
                <w:sz w:val="24"/>
                <w:szCs w:val="24"/>
              </w:rPr>
              <w:t>instruments</w:t>
            </w:r>
            <w:r>
              <w:rPr>
                <w:rFonts w:ascii="Arial" w:hAnsi="Arial" w:cs="Arial"/>
                <w:sz w:val="24"/>
                <w:szCs w:val="24"/>
              </w:rPr>
              <w:t>, clients who want to hedge or guard against a risk they face in the normal course of their business and traders and speculators who take a high risk in return for the prospect of large rewards.  Derivatives are contracts between two parties, the buyer and the seller, who are also known as the counterparties.</w:t>
            </w:r>
          </w:p>
          <w:p w:rsidR="008C4D98" w:rsidRDefault="008C4D98" w:rsidP="008C4D98">
            <w:pPr>
              <w:tabs>
                <w:tab w:val="left" w:pos="1230"/>
              </w:tabs>
              <w:spacing w:line="360" w:lineRule="auto"/>
              <w:ind w:left="873"/>
              <w:rPr>
                <w:rFonts w:ascii="Arial" w:hAnsi="Arial" w:cs="Arial"/>
                <w:sz w:val="24"/>
                <w:szCs w:val="24"/>
              </w:rPr>
            </w:pPr>
          </w:p>
          <w:p w:rsidR="008C4D98" w:rsidRDefault="008C4D98" w:rsidP="008C4D98">
            <w:pPr>
              <w:tabs>
                <w:tab w:val="left" w:pos="1230"/>
              </w:tabs>
              <w:spacing w:line="360" w:lineRule="auto"/>
              <w:ind w:left="873"/>
              <w:rPr>
                <w:rFonts w:ascii="Arial" w:hAnsi="Arial" w:cs="Arial"/>
                <w:sz w:val="24"/>
                <w:szCs w:val="24"/>
              </w:rPr>
            </w:pPr>
            <w:r>
              <w:rPr>
                <w:rFonts w:ascii="Arial" w:hAnsi="Arial" w:cs="Arial"/>
                <w:sz w:val="24"/>
                <w:szCs w:val="24"/>
              </w:rPr>
              <w:t>The gain or loss under a financial derivative depends on or derives from changes in the market price of the asset o</w:t>
            </w:r>
            <w:r w:rsidR="00990FF0">
              <w:rPr>
                <w:rFonts w:ascii="Arial" w:hAnsi="Arial" w:cs="Arial"/>
                <w:sz w:val="24"/>
                <w:szCs w:val="24"/>
              </w:rPr>
              <w:t>r</w:t>
            </w:r>
            <w:r>
              <w:rPr>
                <w:rFonts w:ascii="Arial" w:hAnsi="Arial" w:cs="Arial"/>
                <w:sz w:val="24"/>
                <w:szCs w:val="24"/>
              </w:rPr>
              <w:t xml:space="preserve"> index to which the contract relates.  An example of a financial d</w:t>
            </w:r>
            <w:r w:rsidR="00AD0087">
              <w:rPr>
                <w:rFonts w:ascii="Arial" w:hAnsi="Arial" w:cs="Arial"/>
                <w:sz w:val="24"/>
                <w:szCs w:val="24"/>
              </w:rPr>
              <w:t xml:space="preserve">erivative is “Exchange Traded Derivatives”, which are bought and sold on recognised international exchanges all across the world.  Two well-known exchanges are the London International Futures Exchange (LIFE) and the Chicago Board of Trade (CBOT).  Another example is “over-the-counter derivatives” (OTC), which are contracts drawn-up to meet the particular needs of individual clients, such as governments, businesses and banks.  They cannot be traded on any exchange and are normally provided by banks or other financial institutions.  The contract/agreement is usually based on the standard terms and conditions of an organisation such as the International Swaps and Derivatives Association (ISDA).  The most common OTC derivatives are swops and options, where the pricing of the derivative is </w:t>
            </w:r>
            <w:r w:rsidR="00AD0087">
              <w:rPr>
                <w:rFonts w:ascii="Arial" w:hAnsi="Arial" w:cs="Arial"/>
                <w:sz w:val="24"/>
                <w:szCs w:val="24"/>
              </w:rPr>
              <w:lastRenderedPageBreak/>
              <w:t>negotiated between the buyer and seller, which are generally a client and a bank.</w:t>
            </w:r>
          </w:p>
          <w:p w:rsidR="00AD0087" w:rsidRDefault="00AD0087" w:rsidP="008C4D98">
            <w:pPr>
              <w:tabs>
                <w:tab w:val="left" w:pos="1230"/>
              </w:tabs>
              <w:spacing w:line="360" w:lineRule="auto"/>
              <w:ind w:left="873"/>
              <w:rPr>
                <w:rFonts w:ascii="Arial" w:hAnsi="Arial" w:cs="Arial"/>
                <w:sz w:val="24"/>
                <w:szCs w:val="24"/>
              </w:rPr>
            </w:pPr>
          </w:p>
          <w:p w:rsidR="00AD0087" w:rsidRDefault="00AD0087" w:rsidP="008C4D98">
            <w:pPr>
              <w:tabs>
                <w:tab w:val="left" w:pos="1230"/>
              </w:tabs>
              <w:spacing w:line="360" w:lineRule="auto"/>
              <w:ind w:left="873"/>
              <w:rPr>
                <w:rFonts w:ascii="Arial" w:hAnsi="Arial" w:cs="Arial"/>
                <w:sz w:val="24"/>
                <w:szCs w:val="24"/>
              </w:rPr>
            </w:pPr>
          </w:p>
          <w:p w:rsidR="00AD0087" w:rsidRDefault="00AD0087" w:rsidP="008C4D98">
            <w:pPr>
              <w:tabs>
                <w:tab w:val="left" w:pos="1230"/>
              </w:tabs>
              <w:spacing w:line="360" w:lineRule="auto"/>
              <w:ind w:left="873"/>
              <w:rPr>
                <w:rFonts w:ascii="Arial" w:hAnsi="Arial" w:cs="Arial"/>
                <w:sz w:val="24"/>
                <w:szCs w:val="24"/>
              </w:rPr>
            </w:pPr>
          </w:p>
          <w:p w:rsidR="00AD0087" w:rsidRDefault="00AD0087" w:rsidP="008C4D98">
            <w:pPr>
              <w:tabs>
                <w:tab w:val="left" w:pos="1230"/>
              </w:tabs>
              <w:spacing w:line="360" w:lineRule="auto"/>
              <w:ind w:left="873"/>
              <w:rPr>
                <w:rFonts w:ascii="Arial" w:hAnsi="Arial" w:cs="Arial"/>
                <w:sz w:val="24"/>
                <w:szCs w:val="24"/>
              </w:rPr>
            </w:pPr>
          </w:p>
          <w:p w:rsidR="00AD0087" w:rsidRDefault="00AD0087" w:rsidP="00AD0087">
            <w:pPr>
              <w:tabs>
                <w:tab w:val="left" w:pos="1230"/>
              </w:tabs>
              <w:spacing w:line="360" w:lineRule="auto"/>
              <w:rPr>
                <w:rFonts w:ascii="Arial" w:hAnsi="Arial" w:cs="Arial"/>
                <w:sz w:val="24"/>
                <w:szCs w:val="24"/>
                <w:u w:val="single"/>
              </w:rPr>
            </w:pPr>
            <w:r>
              <w:rPr>
                <w:rFonts w:ascii="Arial" w:hAnsi="Arial" w:cs="Arial"/>
                <w:sz w:val="24"/>
                <w:szCs w:val="24"/>
                <w:u w:val="single"/>
              </w:rPr>
              <w:t>CASE STUDY:</w:t>
            </w:r>
          </w:p>
          <w:p w:rsidR="00AD0087" w:rsidRDefault="00AD0087" w:rsidP="00AD0087">
            <w:pPr>
              <w:tabs>
                <w:tab w:val="left" w:pos="1230"/>
              </w:tabs>
              <w:spacing w:line="360" w:lineRule="auto"/>
              <w:rPr>
                <w:rFonts w:ascii="Arial" w:hAnsi="Arial" w:cs="Arial"/>
                <w:sz w:val="24"/>
                <w:szCs w:val="24"/>
                <w:u w:val="single"/>
              </w:rPr>
            </w:pPr>
          </w:p>
          <w:p w:rsidR="00AD0087" w:rsidRDefault="00AD0087" w:rsidP="00AD0087">
            <w:pPr>
              <w:pStyle w:val="ListParagraph"/>
              <w:numPr>
                <w:ilvl w:val="0"/>
                <w:numId w:val="37"/>
              </w:numPr>
              <w:tabs>
                <w:tab w:val="left" w:pos="1230"/>
              </w:tabs>
              <w:spacing w:line="360" w:lineRule="auto"/>
              <w:rPr>
                <w:rFonts w:ascii="Arial" w:hAnsi="Arial" w:cs="Arial"/>
                <w:sz w:val="24"/>
                <w:szCs w:val="24"/>
              </w:rPr>
            </w:pPr>
            <w:r>
              <w:rPr>
                <w:rFonts w:ascii="Arial" w:hAnsi="Arial" w:cs="Arial"/>
                <w:sz w:val="24"/>
                <w:szCs w:val="24"/>
              </w:rPr>
              <w:t xml:space="preserve"> The </w:t>
            </w:r>
            <w:r w:rsidR="00951CFD">
              <w:rPr>
                <w:rFonts w:ascii="Arial" w:hAnsi="Arial" w:cs="Arial"/>
                <w:sz w:val="24"/>
                <w:szCs w:val="24"/>
              </w:rPr>
              <w:t>“</w:t>
            </w:r>
            <w:r>
              <w:rPr>
                <w:rFonts w:ascii="Arial" w:hAnsi="Arial" w:cs="Arial"/>
                <w:sz w:val="24"/>
                <w:szCs w:val="24"/>
              </w:rPr>
              <w:t>current ratio</w:t>
            </w:r>
            <w:r w:rsidR="00951CFD">
              <w:rPr>
                <w:rFonts w:ascii="Arial" w:hAnsi="Arial" w:cs="Arial"/>
                <w:sz w:val="24"/>
                <w:szCs w:val="24"/>
              </w:rPr>
              <w:t>”</w:t>
            </w:r>
            <w:r>
              <w:rPr>
                <w:rFonts w:ascii="Arial" w:hAnsi="Arial" w:cs="Arial"/>
                <w:sz w:val="24"/>
                <w:szCs w:val="24"/>
              </w:rPr>
              <w:t xml:space="preserve"> of “Parker and Co</w:t>
            </w:r>
            <w:r w:rsidR="004049C8">
              <w:rPr>
                <w:rFonts w:ascii="Arial" w:hAnsi="Arial" w:cs="Arial"/>
                <w:sz w:val="24"/>
                <w:szCs w:val="24"/>
              </w:rPr>
              <w:t>.</w:t>
            </w:r>
            <w:r>
              <w:rPr>
                <w:rFonts w:ascii="Arial" w:hAnsi="Arial" w:cs="Arial"/>
                <w:sz w:val="24"/>
                <w:szCs w:val="24"/>
              </w:rPr>
              <w:t>” is as follows:</w:t>
            </w:r>
          </w:p>
          <w:p w:rsidR="004049C8" w:rsidRDefault="004049C8" w:rsidP="004049C8">
            <w:pPr>
              <w:tabs>
                <w:tab w:val="left" w:pos="1230"/>
              </w:tabs>
              <w:spacing w:line="360" w:lineRule="auto"/>
              <w:rPr>
                <w:rFonts w:ascii="Arial" w:hAnsi="Arial" w:cs="Arial"/>
                <w:sz w:val="24"/>
                <w:szCs w:val="24"/>
              </w:rPr>
            </w:pPr>
          </w:p>
          <w:tbl>
            <w:tblPr>
              <w:tblStyle w:val="TableGrid"/>
              <w:tblW w:w="0" w:type="auto"/>
              <w:tblInd w:w="871" w:type="dxa"/>
              <w:tblLook w:val="04A0" w:firstRow="1" w:lastRow="0" w:firstColumn="1" w:lastColumn="0" w:noHBand="0" w:noVBand="1"/>
            </w:tblPr>
            <w:tblGrid>
              <w:gridCol w:w="2693"/>
              <w:gridCol w:w="430"/>
              <w:gridCol w:w="2552"/>
            </w:tblGrid>
            <w:tr w:rsidR="00917522" w:rsidTr="00917522">
              <w:tc>
                <w:tcPr>
                  <w:tcW w:w="2693" w:type="dxa"/>
                  <w:tcBorders>
                    <w:top w:val="nil"/>
                    <w:left w:val="nil"/>
                    <w:bottom w:val="nil"/>
                    <w:right w:val="nil"/>
                  </w:tcBorders>
                </w:tcPr>
                <w:p w:rsidR="00917522" w:rsidRPr="004049C8" w:rsidRDefault="00917522" w:rsidP="004049C8">
                  <w:pPr>
                    <w:tabs>
                      <w:tab w:val="left" w:pos="1230"/>
                    </w:tabs>
                    <w:spacing w:line="360" w:lineRule="auto"/>
                    <w:jc w:val="center"/>
                    <w:rPr>
                      <w:rFonts w:ascii="Arial" w:hAnsi="Arial" w:cs="Arial"/>
                      <w:b/>
                      <w:sz w:val="24"/>
                      <w:szCs w:val="24"/>
                      <w:u w:val="single"/>
                    </w:rPr>
                  </w:pPr>
                  <w:r w:rsidRPr="004049C8">
                    <w:rPr>
                      <w:rFonts w:ascii="Arial" w:hAnsi="Arial" w:cs="Arial"/>
                      <w:b/>
                      <w:sz w:val="24"/>
                      <w:szCs w:val="24"/>
                      <w:u w:val="single"/>
                    </w:rPr>
                    <w:t>ASSETS</w:t>
                  </w:r>
                </w:p>
              </w:tc>
              <w:tc>
                <w:tcPr>
                  <w:tcW w:w="430" w:type="dxa"/>
                  <w:tcBorders>
                    <w:top w:val="nil"/>
                    <w:left w:val="nil"/>
                    <w:bottom w:val="nil"/>
                    <w:right w:val="nil"/>
                  </w:tcBorders>
                </w:tcPr>
                <w:p w:rsidR="00917522" w:rsidRPr="004049C8" w:rsidRDefault="00917522" w:rsidP="004049C8">
                  <w:pPr>
                    <w:tabs>
                      <w:tab w:val="left" w:pos="1230"/>
                    </w:tabs>
                    <w:spacing w:line="360" w:lineRule="auto"/>
                    <w:jc w:val="center"/>
                    <w:rPr>
                      <w:rFonts w:ascii="Arial" w:hAnsi="Arial" w:cs="Arial"/>
                      <w:b/>
                      <w:sz w:val="24"/>
                      <w:szCs w:val="24"/>
                      <w:u w:val="single"/>
                    </w:rPr>
                  </w:pPr>
                </w:p>
              </w:tc>
              <w:tc>
                <w:tcPr>
                  <w:tcW w:w="2552" w:type="dxa"/>
                  <w:tcBorders>
                    <w:top w:val="nil"/>
                    <w:left w:val="nil"/>
                    <w:bottom w:val="nil"/>
                    <w:right w:val="nil"/>
                  </w:tcBorders>
                </w:tcPr>
                <w:p w:rsidR="00917522" w:rsidRPr="004049C8" w:rsidRDefault="00917522" w:rsidP="004049C8">
                  <w:pPr>
                    <w:tabs>
                      <w:tab w:val="left" w:pos="1230"/>
                    </w:tabs>
                    <w:spacing w:line="360" w:lineRule="auto"/>
                    <w:jc w:val="center"/>
                    <w:rPr>
                      <w:rFonts w:ascii="Arial" w:hAnsi="Arial" w:cs="Arial"/>
                      <w:b/>
                      <w:sz w:val="24"/>
                      <w:szCs w:val="24"/>
                      <w:u w:val="single"/>
                    </w:rPr>
                  </w:pPr>
                  <w:r w:rsidRPr="004049C8">
                    <w:rPr>
                      <w:rFonts w:ascii="Arial" w:hAnsi="Arial" w:cs="Arial"/>
                      <w:b/>
                      <w:sz w:val="24"/>
                      <w:szCs w:val="24"/>
                      <w:u w:val="single"/>
                    </w:rPr>
                    <w:t>LIABILITIES</w:t>
                  </w:r>
                </w:p>
              </w:tc>
            </w:tr>
            <w:tr w:rsidR="00917522" w:rsidTr="00917522">
              <w:tc>
                <w:tcPr>
                  <w:tcW w:w="2693" w:type="dxa"/>
                  <w:tcBorders>
                    <w:top w:val="nil"/>
                    <w:left w:val="nil"/>
                    <w:bottom w:val="nil"/>
                    <w:right w:val="nil"/>
                  </w:tcBorders>
                </w:tcPr>
                <w:p w:rsidR="00917522" w:rsidRDefault="00917522" w:rsidP="004049C8">
                  <w:pPr>
                    <w:tabs>
                      <w:tab w:val="left" w:pos="1230"/>
                    </w:tabs>
                    <w:spacing w:line="360" w:lineRule="auto"/>
                    <w:jc w:val="right"/>
                    <w:rPr>
                      <w:rFonts w:ascii="Arial" w:hAnsi="Arial" w:cs="Arial"/>
                      <w:sz w:val="24"/>
                      <w:szCs w:val="24"/>
                    </w:rPr>
                  </w:pPr>
                  <w:r>
                    <w:rPr>
                      <w:rFonts w:ascii="Arial" w:hAnsi="Arial" w:cs="Arial"/>
                      <w:sz w:val="24"/>
                      <w:szCs w:val="24"/>
                    </w:rPr>
                    <w:t>$3 500 000.00</w:t>
                  </w:r>
                </w:p>
              </w:tc>
              <w:tc>
                <w:tcPr>
                  <w:tcW w:w="430" w:type="dxa"/>
                  <w:tcBorders>
                    <w:top w:val="nil"/>
                    <w:left w:val="nil"/>
                    <w:bottom w:val="nil"/>
                    <w:right w:val="nil"/>
                  </w:tcBorders>
                </w:tcPr>
                <w:p w:rsidR="00917522" w:rsidRDefault="00917522" w:rsidP="004049C8">
                  <w:pPr>
                    <w:tabs>
                      <w:tab w:val="left" w:pos="1230"/>
                    </w:tabs>
                    <w:spacing w:line="360" w:lineRule="auto"/>
                    <w:jc w:val="right"/>
                    <w:rPr>
                      <w:rFonts w:ascii="Arial" w:hAnsi="Arial" w:cs="Arial"/>
                      <w:sz w:val="24"/>
                      <w:szCs w:val="24"/>
                    </w:rPr>
                  </w:pPr>
                </w:p>
              </w:tc>
              <w:tc>
                <w:tcPr>
                  <w:tcW w:w="2552" w:type="dxa"/>
                  <w:tcBorders>
                    <w:top w:val="nil"/>
                    <w:left w:val="nil"/>
                    <w:bottom w:val="nil"/>
                    <w:right w:val="nil"/>
                  </w:tcBorders>
                </w:tcPr>
                <w:p w:rsidR="00917522" w:rsidRDefault="00917522" w:rsidP="004049C8">
                  <w:pPr>
                    <w:tabs>
                      <w:tab w:val="left" w:pos="1230"/>
                    </w:tabs>
                    <w:spacing w:line="360" w:lineRule="auto"/>
                    <w:jc w:val="right"/>
                    <w:rPr>
                      <w:rFonts w:ascii="Arial" w:hAnsi="Arial" w:cs="Arial"/>
                      <w:sz w:val="24"/>
                      <w:szCs w:val="24"/>
                    </w:rPr>
                  </w:pPr>
                  <w:r>
                    <w:rPr>
                      <w:rFonts w:ascii="Arial" w:hAnsi="Arial" w:cs="Arial"/>
                      <w:sz w:val="24"/>
                      <w:szCs w:val="24"/>
                    </w:rPr>
                    <w:t>$2 800 000.00</w:t>
                  </w:r>
                </w:p>
              </w:tc>
            </w:tr>
            <w:tr w:rsidR="00917522" w:rsidTr="00917522">
              <w:tc>
                <w:tcPr>
                  <w:tcW w:w="2693" w:type="dxa"/>
                  <w:tcBorders>
                    <w:top w:val="nil"/>
                    <w:left w:val="nil"/>
                    <w:bottom w:val="single" w:sz="4" w:space="0" w:color="auto"/>
                    <w:right w:val="nil"/>
                  </w:tcBorders>
                </w:tcPr>
                <w:p w:rsidR="00917522" w:rsidRDefault="00917522" w:rsidP="004049C8">
                  <w:pPr>
                    <w:tabs>
                      <w:tab w:val="left" w:pos="1230"/>
                    </w:tabs>
                    <w:spacing w:line="360" w:lineRule="auto"/>
                    <w:jc w:val="right"/>
                    <w:rPr>
                      <w:rFonts w:ascii="Arial" w:hAnsi="Arial" w:cs="Arial"/>
                      <w:sz w:val="24"/>
                      <w:szCs w:val="24"/>
                    </w:rPr>
                  </w:pPr>
                  <w:r>
                    <w:rPr>
                      <w:rFonts w:ascii="Arial" w:hAnsi="Arial" w:cs="Arial"/>
                      <w:sz w:val="24"/>
                      <w:szCs w:val="24"/>
                    </w:rPr>
                    <w:t>$   100 000.00</w:t>
                  </w:r>
                </w:p>
              </w:tc>
              <w:tc>
                <w:tcPr>
                  <w:tcW w:w="430" w:type="dxa"/>
                  <w:tcBorders>
                    <w:top w:val="nil"/>
                    <w:left w:val="nil"/>
                    <w:bottom w:val="nil"/>
                    <w:right w:val="nil"/>
                  </w:tcBorders>
                </w:tcPr>
                <w:p w:rsidR="00917522" w:rsidRDefault="00917522" w:rsidP="004049C8">
                  <w:pPr>
                    <w:tabs>
                      <w:tab w:val="left" w:pos="1230"/>
                    </w:tabs>
                    <w:spacing w:line="360" w:lineRule="auto"/>
                    <w:jc w:val="right"/>
                    <w:rPr>
                      <w:rFonts w:ascii="Arial" w:hAnsi="Arial" w:cs="Arial"/>
                      <w:sz w:val="24"/>
                      <w:szCs w:val="24"/>
                    </w:rPr>
                  </w:pPr>
                </w:p>
              </w:tc>
              <w:tc>
                <w:tcPr>
                  <w:tcW w:w="2552" w:type="dxa"/>
                  <w:tcBorders>
                    <w:top w:val="nil"/>
                    <w:left w:val="nil"/>
                    <w:bottom w:val="single" w:sz="4" w:space="0" w:color="auto"/>
                    <w:right w:val="nil"/>
                  </w:tcBorders>
                </w:tcPr>
                <w:p w:rsidR="00917522" w:rsidRDefault="00917522" w:rsidP="004049C8">
                  <w:pPr>
                    <w:tabs>
                      <w:tab w:val="left" w:pos="1230"/>
                    </w:tabs>
                    <w:spacing w:line="360" w:lineRule="auto"/>
                    <w:jc w:val="right"/>
                    <w:rPr>
                      <w:rFonts w:ascii="Arial" w:hAnsi="Arial" w:cs="Arial"/>
                      <w:sz w:val="24"/>
                      <w:szCs w:val="24"/>
                    </w:rPr>
                  </w:pPr>
                  <w:r>
                    <w:rPr>
                      <w:rFonts w:ascii="Arial" w:hAnsi="Arial" w:cs="Arial"/>
                      <w:sz w:val="24"/>
                      <w:szCs w:val="24"/>
                    </w:rPr>
                    <w:t>$1 200 000.00</w:t>
                  </w:r>
                </w:p>
              </w:tc>
            </w:tr>
            <w:tr w:rsidR="00917522" w:rsidTr="00917522">
              <w:tc>
                <w:tcPr>
                  <w:tcW w:w="2693" w:type="dxa"/>
                  <w:tcBorders>
                    <w:top w:val="single" w:sz="4" w:space="0" w:color="auto"/>
                    <w:left w:val="nil"/>
                    <w:bottom w:val="single" w:sz="4" w:space="0" w:color="auto"/>
                    <w:right w:val="nil"/>
                  </w:tcBorders>
                </w:tcPr>
                <w:p w:rsidR="00917522" w:rsidRDefault="00917522" w:rsidP="004049C8">
                  <w:pPr>
                    <w:tabs>
                      <w:tab w:val="left" w:pos="1230"/>
                    </w:tabs>
                    <w:spacing w:line="360" w:lineRule="auto"/>
                    <w:jc w:val="right"/>
                    <w:rPr>
                      <w:rFonts w:ascii="Arial" w:hAnsi="Arial" w:cs="Arial"/>
                      <w:sz w:val="24"/>
                      <w:szCs w:val="24"/>
                    </w:rPr>
                  </w:pPr>
                  <w:r>
                    <w:rPr>
                      <w:rFonts w:ascii="Arial" w:hAnsi="Arial" w:cs="Arial"/>
                      <w:sz w:val="24"/>
                      <w:szCs w:val="24"/>
                    </w:rPr>
                    <w:t>$3 600 000.00</w:t>
                  </w:r>
                </w:p>
              </w:tc>
              <w:tc>
                <w:tcPr>
                  <w:tcW w:w="430" w:type="dxa"/>
                  <w:tcBorders>
                    <w:top w:val="nil"/>
                    <w:left w:val="nil"/>
                    <w:bottom w:val="nil"/>
                    <w:right w:val="nil"/>
                  </w:tcBorders>
                </w:tcPr>
                <w:p w:rsidR="00917522" w:rsidRDefault="00917522" w:rsidP="004049C8">
                  <w:pPr>
                    <w:tabs>
                      <w:tab w:val="left" w:pos="1230"/>
                    </w:tabs>
                    <w:spacing w:line="360" w:lineRule="auto"/>
                    <w:jc w:val="right"/>
                    <w:rPr>
                      <w:rFonts w:ascii="Arial" w:hAnsi="Arial" w:cs="Arial"/>
                      <w:sz w:val="24"/>
                      <w:szCs w:val="24"/>
                    </w:rPr>
                  </w:pPr>
                </w:p>
              </w:tc>
              <w:tc>
                <w:tcPr>
                  <w:tcW w:w="2552" w:type="dxa"/>
                  <w:tcBorders>
                    <w:top w:val="single" w:sz="4" w:space="0" w:color="auto"/>
                    <w:left w:val="nil"/>
                    <w:bottom w:val="single" w:sz="4" w:space="0" w:color="auto"/>
                    <w:right w:val="nil"/>
                  </w:tcBorders>
                </w:tcPr>
                <w:p w:rsidR="00917522" w:rsidRDefault="00917522" w:rsidP="004049C8">
                  <w:pPr>
                    <w:tabs>
                      <w:tab w:val="left" w:pos="1230"/>
                    </w:tabs>
                    <w:spacing w:line="360" w:lineRule="auto"/>
                    <w:jc w:val="right"/>
                    <w:rPr>
                      <w:rFonts w:ascii="Arial" w:hAnsi="Arial" w:cs="Arial"/>
                      <w:sz w:val="24"/>
                      <w:szCs w:val="24"/>
                    </w:rPr>
                  </w:pPr>
                  <w:r>
                    <w:rPr>
                      <w:rFonts w:ascii="Arial" w:hAnsi="Arial" w:cs="Arial"/>
                      <w:sz w:val="24"/>
                      <w:szCs w:val="24"/>
                    </w:rPr>
                    <w:t>$4 000 000.00</w:t>
                  </w:r>
                </w:p>
              </w:tc>
            </w:tr>
          </w:tbl>
          <w:p w:rsidR="004049C8" w:rsidRDefault="004049C8" w:rsidP="004049C8">
            <w:pPr>
              <w:tabs>
                <w:tab w:val="left" w:pos="1230"/>
              </w:tabs>
              <w:spacing w:line="360" w:lineRule="auto"/>
              <w:rPr>
                <w:rFonts w:ascii="Arial" w:hAnsi="Arial" w:cs="Arial"/>
                <w:sz w:val="24"/>
                <w:szCs w:val="24"/>
              </w:rPr>
            </w:pPr>
          </w:p>
          <w:p w:rsidR="004D6016" w:rsidRDefault="00917522" w:rsidP="004D6016">
            <w:pPr>
              <w:tabs>
                <w:tab w:val="left" w:pos="1230"/>
              </w:tabs>
              <w:spacing w:line="360" w:lineRule="auto"/>
              <w:ind w:firstLine="734"/>
              <w:rPr>
                <w:rFonts w:ascii="Arial" w:hAnsi="Arial" w:cs="Arial"/>
                <w:sz w:val="24"/>
                <w:szCs w:val="24"/>
              </w:rPr>
            </w:pPr>
            <w:r>
              <w:rPr>
                <w:rFonts w:ascii="Arial" w:hAnsi="Arial" w:cs="Arial"/>
                <w:sz w:val="24"/>
                <w:szCs w:val="24"/>
              </w:rPr>
              <w:t>Therefore:</w:t>
            </w:r>
          </w:p>
          <w:p w:rsidR="00917522" w:rsidRDefault="004D6016" w:rsidP="004D6016">
            <w:pPr>
              <w:tabs>
                <w:tab w:val="left" w:pos="1230"/>
              </w:tabs>
              <w:spacing w:line="360" w:lineRule="auto"/>
              <w:ind w:left="734" w:hanging="734"/>
              <w:rPr>
                <w:rFonts w:ascii="Arial" w:hAnsi="Arial" w:cs="Arial"/>
                <w:sz w:val="24"/>
                <w:szCs w:val="24"/>
                <w:u w:val="single"/>
              </w:rPr>
            </w:pPr>
            <w:r>
              <w:rPr>
                <w:rFonts w:ascii="Arial" w:hAnsi="Arial" w:cs="Arial"/>
                <w:sz w:val="24"/>
                <w:szCs w:val="24"/>
              </w:rPr>
              <w:t xml:space="preserve">           </w:t>
            </w:r>
            <w:r w:rsidR="00917522">
              <w:rPr>
                <w:rFonts w:ascii="Arial" w:hAnsi="Arial" w:cs="Arial"/>
                <w:sz w:val="24"/>
                <w:szCs w:val="24"/>
                <w:u w:val="single"/>
              </w:rPr>
              <w:t>Current Assets</w:t>
            </w:r>
            <w:r>
              <w:rPr>
                <w:rFonts w:ascii="Arial" w:hAnsi="Arial" w:cs="Arial"/>
                <w:sz w:val="24"/>
                <w:szCs w:val="24"/>
                <w:u w:val="single"/>
              </w:rPr>
              <w:t xml:space="preserve">     </w:t>
            </w:r>
            <w:r w:rsidR="00917522">
              <w:rPr>
                <w:rFonts w:ascii="Arial" w:hAnsi="Arial" w:cs="Arial"/>
                <w:sz w:val="24"/>
                <w:szCs w:val="24"/>
              </w:rPr>
              <w:t xml:space="preserve"> </w:t>
            </w:r>
            <w:r>
              <w:rPr>
                <w:rFonts w:ascii="Arial" w:hAnsi="Arial" w:cs="Arial"/>
                <w:sz w:val="24"/>
                <w:szCs w:val="24"/>
              </w:rPr>
              <w:t xml:space="preserve">  </w:t>
            </w:r>
            <w:r w:rsidR="00917522">
              <w:rPr>
                <w:rFonts w:ascii="Arial" w:hAnsi="Arial" w:cs="Arial"/>
                <w:sz w:val="24"/>
                <w:szCs w:val="24"/>
              </w:rPr>
              <w:t>=</w:t>
            </w:r>
            <w:r>
              <w:rPr>
                <w:rFonts w:ascii="Arial" w:hAnsi="Arial" w:cs="Arial"/>
                <w:sz w:val="24"/>
                <w:szCs w:val="24"/>
              </w:rPr>
              <w:t xml:space="preserve">    </w:t>
            </w:r>
            <w:r w:rsidR="00917522">
              <w:rPr>
                <w:rFonts w:ascii="Arial" w:hAnsi="Arial" w:cs="Arial"/>
                <w:sz w:val="24"/>
                <w:szCs w:val="24"/>
              </w:rPr>
              <w:t xml:space="preserve"> </w:t>
            </w:r>
            <w:r w:rsidR="00917522">
              <w:rPr>
                <w:rFonts w:ascii="Arial" w:hAnsi="Arial" w:cs="Arial"/>
                <w:sz w:val="24"/>
                <w:szCs w:val="24"/>
                <w:u w:val="single"/>
              </w:rPr>
              <w:t>$3 600 000.00</w:t>
            </w:r>
          </w:p>
          <w:p w:rsidR="00917522" w:rsidRDefault="004D6016" w:rsidP="004D6016">
            <w:pPr>
              <w:tabs>
                <w:tab w:val="left" w:pos="1230"/>
              </w:tabs>
              <w:spacing w:line="360" w:lineRule="auto"/>
              <w:ind w:left="734" w:hanging="734"/>
              <w:rPr>
                <w:rFonts w:ascii="Arial" w:hAnsi="Arial" w:cs="Arial"/>
                <w:sz w:val="24"/>
                <w:szCs w:val="24"/>
              </w:rPr>
            </w:pPr>
            <w:r>
              <w:rPr>
                <w:rFonts w:ascii="Arial" w:hAnsi="Arial" w:cs="Arial"/>
                <w:sz w:val="24"/>
                <w:szCs w:val="24"/>
              </w:rPr>
              <w:t xml:space="preserve">           Current Liabilities            $4 000 000.00</w:t>
            </w:r>
          </w:p>
          <w:p w:rsidR="004D6016" w:rsidRDefault="004D6016" w:rsidP="004049C8">
            <w:pPr>
              <w:tabs>
                <w:tab w:val="left" w:pos="1230"/>
              </w:tabs>
              <w:spacing w:line="360" w:lineRule="auto"/>
              <w:rPr>
                <w:rFonts w:ascii="Arial" w:hAnsi="Arial" w:cs="Arial"/>
                <w:sz w:val="24"/>
                <w:szCs w:val="24"/>
              </w:rPr>
            </w:pPr>
            <w:r>
              <w:rPr>
                <w:rFonts w:ascii="Arial" w:hAnsi="Arial" w:cs="Arial"/>
                <w:sz w:val="24"/>
                <w:szCs w:val="24"/>
              </w:rPr>
              <w:t xml:space="preserve">                         </w:t>
            </w:r>
          </w:p>
          <w:p w:rsidR="004D6016" w:rsidRPr="004D6016" w:rsidRDefault="004D6016" w:rsidP="004D6016">
            <w:pPr>
              <w:tabs>
                <w:tab w:val="left" w:pos="1230"/>
              </w:tabs>
              <w:spacing w:line="360" w:lineRule="auto"/>
              <w:ind w:left="2860"/>
              <w:rPr>
                <w:rFonts w:ascii="Arial" w:hAnsi="Arial" w:cs="Arial"/>
                <w:sz w:val="24"/>
                <w:szCs w:val="24"/>
              </w:rPr>
            </w:pPr>
            <w:r>
              <w:rPr>
                <w:rFonts w:ascii="Arial" w:hAnsi="Arial" w:cs="Arial"/>
                <w:sz w:val="24"/>
                <w:szCs w:val="24"/>
              </w:rPr>
              <w:t>=     0.9</w:t>
            </w:r>
          </w:p>
          <w:p w:rsidR="00AD0087" w:rsidRDefault="00AD0087" w:rsidP="00AD0087">
            <w:pPr>
              <w:pStyle w:val="ListParagraph"/>
              <w:tabs>
                <w:tab w:val="left" w:pos="1230"/>
              </w:tabs>
              <w:spacing w:line="360" w:lineRule="auto"/>
              <w:rPr>
                <w:rFonts w:ascii="Arial" w:hAnsi="Arial" w:cs="Arial"/>
                <w:sz w:val="24"/>
                <w:szCs w:val="24"/>
              </w:rPr>
            </w:pPr>
          </w:p>
          <w:p w:rsidR="00AD0087" w:rsidRDefault="00AD0087" w:rsidP="00AD0087">
            <w:pPr>
              <w:pStyle w:val="ListParagraph"/>
              <w:numPr>
                <w:ilvl w:val="0"/>
                <w:numId w:val="37"/>
              </w:numPr>
              <w:tabs>
                <w:tab w:val="left" w:pos="1230"/>
              </w:tabs>
              <w:spacing w:line="360" w:lineRule="auto"/>
              <w:rPr>
                <w:rFonts w:ascii="Arial" w:hAnsi="Arial" w:cs="Arial"/>
                <w:sz w:val="24"/>
                <w:szCs w:val="24"/>
              </w:rPr>
            </w:pPr>
            <w:r>
              <w:rPr>
                <w:rFonts w:ascii="Arial" w:hAnsi="Arial" w:cs="Arial"/>
                <w:sz w:val="24"/>
                <w:szCs w:val="24"/>
              </w:rPr>
              <w:t>Studying “Parker and Co</w:t>
            </w:r>
            <w:r w:rsidR="004049C8">
              <w:rPr>
                <w:rFonts w:ascii="Arial" w:hAnsi="Arial" w:cs="Arial"/>
                <w:sz w:val="24"/>
                <w:szCs w:val="24"/>
              </w:rPr>
              <w:t>.</w:t>
            </w:r>
            <w:r>
              <w:rPr>
                <w:rFonts w:ascii="Arial" w:hAnsi="Arial" w:cs="Arial"/>
                <w:sz w:val="24"/>
                <w:szCs w:val="24"/>
              </w:rPr>
              <w:t>’s” liquidity risk ratio at 0.9 (where a liquidity ratio under 1 is considered unhealthy), means that as a company, “Parker and Co” are presently not financially in a health</w:t>
            </w:r>
            <w:r w:rsidR="00951CFD">
              <w:rPr>
                <w:rFonts w:ascii="Arial" w:hAnsi="Arial" w:cs="Arial"/>
                <w:sz w:val="24"/>
                <w:szCs w:val="24"/>
              </w:rPr>
              <w:t>y</w:t>
            </w:r>
            <w:r>
              <w:rPr>
                <w:rFonts w:ascii="Arial" w:hAnsi="Arial" w:cs="Arial"/>
                <w:sz w:val="24"/>
                <w:szCs w:val="24"/>
              </w:rPr>
              <w:t xml:space="preserve"> position – they will not be in a position to acquire funds to meet its obligations as and when they are due, by either increasing liabilities or by converting assets into cash without losing value.</w:t>
            </w:r>
          </w:p>
          <w:p w:rsidR="00AD0087" w:rsidRPr="00AD0087" w:rsidRDefault="00AD0087" w:rsidP="00AD0087">
            <w:pPr>
              <w:pStyle w:val="ListParagraph"/>
              <w:rPr>
                <w:rFonts w:ascii="Arial" w:hAnsi="Arial" w:cs="Arial"/>
                <w:sz w:val="24"/>
                <w:szCs w:val="24"/>
              </w:rPr>
            </w:pPr>
          </w:p>
          <w:p w:rsidR="00AD0087" w:rsidRDefault="00951CFD" w:rsidP="00AD0087">
            <w:pPr>
              <w:pStyle w:val="ListParagraph"/>
              <w:tabs>
                <w:tab w:val="left" w:pos="1230"/>
              </w:tabs>
              <w:spacing w:line="360" w:lineRule="auto"/>
              <w:rPr>
                <w:rFonts w:ascii="Arial" w:hAnsi="Arial" w:cs="Arial"/>
                <w:sz w:val="24"/>
                <w:szCs w:val="24"/>
              </w:rPr>
            </w:pPr>
            <w:r>
              <w:rPr>
                <w:rFonts w:ascii="Arial" w:hAnsi="Arial" w:cs="Arial"/>
                <w:sz w:val="24"/>
                <w:szCs w:val="24"/>
              </w:rPr>
              <w:t>“</w:t>
            </w:r>
            <w:r w:rsidR="004049C8">
              <w:rPr>
                <w:rFonts w:ascii="Arial" w:hAnsi="Arial" w:cs="Arial"/>
                <w:sz w:val="24"/>
                <w:szCs w:val="24"/>
              </w:rPr>
              <w:t>Parker and Co.’s</w:t>
            </w:r>
            <w:r>
              <w:rPr>
                <w:rFonts w:ascii="Arial" w:hAnsi="Arial" w:cs="Arial"/>
                <w:sz w:val="24"/>
                <w:szCs w:val="24"/>
              </w:rPr>
              <w:t>”</w:t>
            </w:r>
            <w:r w:rsidR="00AD0087">
              <w:rPr>
                <w:rFonts w:ascii="Arial" w:hAnsi="Arial" w:cs="Arial"/>
                <w:sz w:val="24"/>
                <w:szCs w:val="24"/>
              </w:rPr>
              <w:t xml:space="preserve"> liquidity ratio should be studied in conjunction with their 3% decrease </w:t>
            </w:r>
            <w:r w:rsidR="004049C8">
              <w:rPr>
                <w:rFonts w:ascii="Arial" w:hAnsi="Arial" w:cs="Arial"/>
                <w:sz w:val="24"/>
                <w:szCs w:val="24"/>
              </w:rPr>
              <w:t>in sales over the previous year</w:t>
            </w:r>
            <w:r>
              <w:rPr>
                <w:rFonts w:ascii="Arial" w:hAnsi="Arial" w:cs="Arial"/>
                <w:sz w:val="24"/>
                <w:szCs w:val="24"/>
              </w:rPr>
              <w:t>, t</w:t>
            </w:r>
            <w:r w:rsidR="00AD0087">
              <w:rPr>
                <w:rFonts w:ascii="Arial" w:hAnsi="Arial" w:cs="Arial"/>
                <w:sz w:val="24"/>
                <w:szCs w:val="24"/>
              </w:rPr>
              <w:t xml:space="preserve">he high rate of inflation in the </w:t>
            </w:r>
            <w:r w:rsidR="00AD0087">
              <w:rPr>
                <w:rFonts w:ascii="Arial" w:hAnsi="Arial" w:cs="Arial"/>
                <w:sz w:val="24"/>
                <w:szCs w:val="24"/>
              </w:rPr>
              <w:lastRenderedPageBreak/>
              <w:t>Far East</w:t>
            </w:r>
            <w:r w:rsidR="004049C8">
              <w:rPr>
                <w:rFonts w:ascii="Arial" w:hAnsi="Arial" w:cs="Arial"/>
                <w:sz w:val="24"/>
                <w:szCs w:val="24"/>
              </w:rPr>
              <w:t>, t</w:t>
            </w:r>
            <w:r w:rsidR="00AD0087">
              <w:rPr>
                <w:rFonts w:ascii="Arial" w:hAnsi="Arial" w:cs="Arial"/>
                <w:sz w:val="24"/>
                <w:szCs w:val="24"/>
              </w:rPr>
              <w:t>heir current property stock (buildi</w:t>
            </w:r>
            <w:r w:rsidR="004049C8">
              <w:rPr>
                <w:rFonts w:ascii="Arial" w:hAnsi="Arial" w:cs="Arial"/>
                <w:sz w:val="24"/>
                <w:szCs w:val="24"/>
              </w:rPr>
              <w:t>ngs) having</w:t>
            </w:r>
            <w:r w:rsidR="00AD0087">
              <w:rPr>
                <w:rFonts w:ascii="Arial" w:hAnsi="Arial" w:cs="Arial"/>
                <w:sz w:val="24"/>
                <w:szCs w:val="24"/>
              </w:rPr>
              <w:t xml:space="preserve"> decreased in value due to the recession, coupled with very tight funding conditi</w:t>
            </w:r>
            <w:r w:rsidR="004049C8">
              <w:rPr>
                <w:rFonts w:ascii="Arial" w:hAnsi="Arial" w:cs="Arial"/>
                <w:sz w:val="24"/>
                <w:szCs w:val="24"/>
              </w:rPr>
              <w:t xml:space="preserve">ons from financial institutions should all be </w:t>
            </w:r>
            <w:r>
              <w:rPr>
                <w:rFonts w:ascii="Arial" w:hAnsi="Arial" w:cs="Arial"/>
                <w:sz w:val="24"/>
                <w:szCs w:val="24"/>
              </w:rPr>
              <w:t xml:space="preserve">seriously </w:t>
            </w:r>
            <w:bookmarkStart w:id="0" w:name="_GoBack"/>
            <w:bookmarkEnd w:id="0"/>
            <w:r w:rsidR="004049C8">
              <w:rPr>
                <w:rFonts w:ascii="Arial" w:hAnsi="Arial" w:cs="Arial"/>
                <w:sz w:val="24"/>
                <w:szCs w:val="24"/>
              </w:rPr>
              <w:t xml:space="preserve">considered before embarking on opening a new store in the Far East.  </w:t>
            </w:r>
          </w:p>
          <w:p w:rsidR="004049C8" w:rsidRDefault="004049C8" w:rsidP="00AD0087">
            <w:pPr>
              <w:pStyle w:val="ListParagraph"/>
              <w:tabs>
                <w:tab w:val="left" w:pos="1230"/>
              </w:tabs>
              <w:spacing w:line="360" w:lineRule="auto"/>
              <w:rPr>
                <w:rFonts w:ascii="Arial" w:hAnsi="Arial" w:cs="Arial"/>
                <w:sz w:val="24"/>
                <w:szCs w:val="24"/>
              </w:rPr>
            </w:pPr>
          </w:p>
          <w:p w:rsidR="004049C8" w:rsidRPr="00AD0087" w:rsidRDefault="004049C8" w:rsidP="00AD0087">
            <w:pPr>
              <w:pStyle w:val="ListParagraph"/>
              <w:tabs>
                <w:tab w:val="left" w:pos="1230"/>
              </w:tabs>
              <w:spacing w:line="360" w:lineRule="auto"/>
              <w:rPr>
                <w:rFonts w:ascii="Arial" w:hAnsi="Arial" w:cs="Arial"/>
                <w:sz w:val="24"/>
                <w:szCs w:val="24"/>
              </w:rPr>
            </w:pPr>
            <w:r>
              <w:rPr>
                <w:rFonts w:ascii="Arial" w:hAnsi="Arial" w:cs="Arial"/>
                <w:sz w:val="24"/>
                <w:szCs w:val="24"/>
              </w:rPr>
              <w:t>Looking at all the financial risks facing “Parker and Co.” I would recommend that they hold off on such an investment in the Far East, otherwise they could face bankruptcy, which would be fatal to their business.</w:t>
            </w:r>
          </w:p>
          <w:p w:rsidR="00AD0087" w:rsidRPr="00AD0087" w:rsidRDefault="00AD0087" w:rsidP="00AD0087">
            <w:pPr>
              <w:tabs>
                <w:tab w:val="left" w:pos="1230"/>
              </w:tabs>
              <w:spacing w:line="360" w:lineRule="auto"/>
              <w:rPr>
                <w:rFonts w:ascii="Arial" w:hAnsi="Arial" w:cs="Arial"/>
                <w:sz w:val="24"/>
                <w:szCs w:val="24"/>
                <w:u w:val="single"/>
              </w:rPr>
            </w:pPr>
          </w:p>
          <w:p w:rsidR="00C155C2" w:rsidRPr="00C155C2" w:rsidRDefault="00C155C2" w:rsidP="00C155C2">
            <w:pPr>
              <w:pStyle w:val="ListParagraph"/>
              <w:rPr>
                <w:rFonts w:ascii="Arial" w:hAnsi="Arial" w:cs="Arial"/>
                <w:sz w:val="24"/>
                <w:szCs w:val="24"/>
              </w:rPr>
            </w:pPr>
          </w:p>
          <w:p w:rsidR="00E75338" w:rsidRPr="00E75338" w:rsidRDefault="00E75338" w:rsidP="00CC7AD8">
            <w:pPr>
              <w:tabs>
                <w:tab w:val="left" w:pos="873"/>
              </w:tabs>
              <w:spacing w:line="360" w:lineRule="auto"/>
              <w:ind w:left="873"/>
              <w:rPr>
                <w:rFonts w:ascii="Arial" w:hAnsi="Arial" w:cs="Arial"/>
                <w:sz w:val="24"/>
                <w:szCs w:val="24"/>
              </w:rPr>
            </w:pPr>
          </w:p>
        </w:tc>
      </w:tr>
    </w:tbl>
    <w:p w:rsidR="00503D7E" w:rsidRPr="00F44686" w:rsidRDefault="00503D7E" w:rsidP="00A851DA">
      <w:pPr>
        <w:autoSpaceDE w:val="0"/>
        <w:autoSpaceDN w:val="0"/>
        <w:adjustRightInd w:val="0"/>
        <w:spacing w:after="0" w:line="240" w:lineRule="auto"/>
        <w:rPr>
          <w:rFonts w:cs="CalvertMT-Bold"/>
          <w:b/>
          <w:bCs/>
          <w:color w:val="002060"/>
          <w:sz w:val="24"/>
          <w:szCs w:val="24"/>
          <w:lang w:val="en-US"/>
        </w:rPr>
      </w:pPr>
    </w:p>
    <w:p w:rsidR="00A851DA" w:rsidRPr="00B0415E" w:rsidRDefault="00AE1481" w:rsidP="009E0D52">
      <w:pPr>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405"/>
        <w:gridCol w:w="1276"/>
        <w:gridCol w:w="2075"/>
      </w:tblGrid>
      <w:tr w:rsidR="00405895" w:rsidRPr="00B0415E" w:rsidTr="009E0D52">
        <w:tc>
          <w:tcPr>
            <w:tcW w:w="226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405" w:type="dxa"/>
          </w:tcPr>
          <w:p w:rsidR="00405895" w:rsidRPr="00B0415E" w:rsidRDefault="009E0D52" w:rsidP="00A851DA">
            <w:pPr>
              <w:rPr>
                <w:rFonts w:cs="Bliss-Regular"/>
                <w:color w:val="000000"/>
              </w:rPr>
            </w:pPr>
            <w:r>
              <w:rPr>
                <w:rFonts w:cs="Bliss-Regular"/>
                <w:color w:val="000000"/>
              </w:rPr>
              <w:t>Anton Krause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75" w:type="dxa"/>
          </w:tcPr>
          <w:p w:rsidR="00405895" w:rsidRPr="00B0415E" w:rsidRDefault="00AB4E60" w:rsidP="00A851DA">
            <w:pPr>
              <w:rPr>
                <w:rFonts w:cs="Bliss-Regular"/>
                <w:color w:val="000000"/>
              </w:rPr>
            </w:pPr>
            <w:r>
              <w:rPr>
                <w:rFonts w:cs="Bliss-Regular"/>
                <w:color w:val="000000"/>
              </w:rPr>
              <w:t>12</w:t>
            </w:r>
            <w:r w:rsidRPr="00AB4E60">
              <w:rPr>
                <w:rFonts w:cs="Bliss-Regular"/>
                <w:color w:val="000000"/>
                <w:vertAlign w:val="superscript"/>
              </w:rPr>
              <w:t>th</w:t>
            </w:r>
            <w:r>
              <w:rPr>
                <w:rFonts w:cs="Bliss-Regular"/>
                <w:color w:val="000000"/>
              </w:rPr>
              <w:t xml:space="preserve"> </w:t>
            </w:r>
            <w:r w:rsidR="00FA688C">
              <w:rPr>
                <w:rFonts w:cs="Bliss-Regular"/>
                <w:color w:val="000000"/>
              </w:rPr>
              <w:t xml:space="preserve">April </w:t>
            </w:r>
            <w:r w:rsidR="009E0D52">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FC0D68">
      <w:pPr>
        <w:rPr>
          <w:rFonts w:cs="Times New Roman"/>
          <w:sz w:val="24"/>
          <w:szCs w:val="32"/>
        </w:rPr>
      </w:pPr>
    </w:p>
    <w:sectPr w:rsidR="00A851DA"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2AC1" w:rsidRDefault="00E32AC1" w:rsidP="00CB4D0A">
      <w:pPr>
        <w:spacing w:after="0" w:line="240" w:lineRule="auto"/>
      </w:pPr>
      <w:r>
        <w:separator/>
      </w:r>
    </w:p>
  </w:endnote>
  <w:endnote w:type="continuationSeparator" w:id="0">
    <w:p w:rsidR="00E32AC1" w:rsidRDefault="00E32A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2AC1" w:rsidRDefault="00E32AC1" w:rsidP="00CB4D0A">
      <w:pPr>
        <w:spacing w:after="0" w:line="240" w:lineRule="auto"/>
      </w:pPr>
      <w:r>
        <w:separator/>
      </w:r>
    </w:p>
  </w:footnote>
  <w:footnote w:type="continuationSeparator" w:id="0">
    <w:p w:rsidR="00E32AC1" w:rsidRDefault="00E32AC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2834884"/>
      <w:docPartObj>
        <w:docPartGallery w:val="Page Numbers (Top of Page)"/>
        <w:docPartUnique/>
      </w:docPartObj>
    </w:sdtPr>
    <w:sdtEndPr>
      <w:rPr>
        <w:noProof/>
      </w:rPr>
    </w:sdtEndPr>
    <w:sdtContent>
      <w:p w:rsidR="009E0D52" w:rsidRDefault="009E0D52">
        <w:pPr>
          <w:pStyle w:val="Header"/>
          <w:jc w:val="right"/>
          <w:rPr>
            <w:noProof/>
          </w:rPr>
        </w:pPr>
        <w:r>
          <w:t xml:space="preserve">Page </w:t>
        </w:r>
        <w:r>
          <w:fldChar w:fldCharType="begin"/>
        </w:r>
        <w:r>
          <w:instrText xml:space="preserve"> PAGE   \* MERGEFORMAT </w:instrText>
        </w:r>
        <w:r>
          <w:fldChar w:fldCharType="separate"/>
        </w:r>
        <w:r w:rsidR="00951CFD">
          <w:rPr>
            <w:noProof/>
          </w:rPr>
          <w:t>7</w:t>
        </w:r>
        <w:r>
          <w:rPr>
            <w:noProof/>
          </w:rPr>
          <w:fldChar w:fldCharType="end"/>
        </w:r>
      </w:p>
      <w:tbl>
        <w:tblPr>
          <w:tblStyle w:val="TableGrid"/>
          <w:tblW w:w="0" w:type="auto"/>
          <w:tblInd w:w="-5" w:type="dxa"/>
          <w:tblLook w:val="04A0" w:firstRow="1" w:lastRow="0" w:firstColumn="1" w:lastColumn="0" w:noHBand="0" w:noVBand="1"/>
        </w:tblPr>
        <w:tblGrid>
          <w:gridCol w:w="2521"/>
          <w:gridCol w:w="6495"/>
        </w:tblGrid>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Student Name:</w:t>
              </w:r>
            </w:p>
          </w:tc>
          <w:tc>
            <w:tcPr>
              <w:tcW w:w="6495" w:type="dxa"/>
              <w:tcBorders>
                <w:top w:val="single" w:sz="4" w:space="0" w:color="auto"/>
                <w:left w:val="single" w:sz="4" w:space="0" w:color="auto"/>
                <w:bottom w:val="single" w:sz="4" w:space="0" w:color="auto"/>
                <w:right w:val="single" w:sz="4" w:space="0" w:color="auto"/>
              </w:tcBorders>
              <w:hideMark/>
            </w:tcPr>
            <w:p w:rsidR="009E0D52" w:rsidRPr="00B0415E" w:rsidRDefault="009E0D52" w:rsidP="009E0D52">
              <w:pPr>
                <w:pStyle w:val="Default"/>
                <w:rPr>
                  <w:rFonts w:asciiTheme="minorHAnsi" w:hAnsiTheme="minorHAnsi"/>
                </w:rPr>
              </w:pPr>
              <w:r>
                <w:rPr>
                  <w:rFonts w:asciiTheme="minorHAnsi" w:hAnsiTheme="minorHAnsi"/>
                </w:rPr>
                <w:t>Anton Krause</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Student Number:</w:t>
              </w:r>
            </w:p>
          </w:tc>
          <w:tc>
            <w:tcPr>
              <w:tcW w:w="6495" w:type="dxa"/>
              <w:tcBorders>
                <w:top w:val="single" w:sz="4" w:space="0" w:color="auto"/>
                <w:left w:val="single" w:sz="4" w:space="0" w:color="auto"/>
                <w:bottom w:val="single" w:sz="4" w:space="0" w:color="auto"/>
                <w:right w:val="single" w:sz="4" w:space="0" w:color="auto"/>
              </w:tcBorders>
            </w:tcPr>
            <w:p w:rsidR="009E0D52" w:rsidRPr="00B0415E" w:rsidRDefault="00964502" w:rsidP="009E0D52">
              <w:pPr>
                <w:pStyle w:val="Default"/>
                <w:rPr>
                  <w:rFonts w:asciiTheme="minorHAnsi" w:hAnsiTheme="minorHAnsi"/>
                </w:rPr>
              </w:pPr>
              <w:r>
                <w:rPr>
                  <w:rFonts w:asciiTheme="minorHAnsi" w:hAnsiTheme="minorHAnsi"/>
                </w:rPr>
                <w:t>1634</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Course:</w:t>
              </w:r>
            </w:p>
          </w:tc>
          <w:tc>
            <w:tcPr>
              <w:tcW w:w="6495" w:type="dxa"/>
              <w:tcBorders>
                <w:top w:val="single" w:sz="4" w:space="0" w:color="auto"/>
                <w:left w:val="single" w:sz="4" w:space="0" w:color="auto"/>
                <w:bottom w:val="single" w:sz="4" w:space="0" w:color="auto"/>
                <w:right w:val="single" w:sz="4" w:space="0" w:color="auto"/>
              </w:tcBorders>
              <w:hideMark/>
            </w:tcPr>
            <w:p w:rsidR="009E0D52" w:rsidRPr="00B0415E" w:rsidRDefault="009E0D52" w:rsidP="009E0D52">
              <w:pPr>
                <w:pStyle w:val="Default"/>
                <w:rPr>
                  <w:rFonts w:asciiTheme="minorHAnsi" w:hAnsiTheme="minorHAnsi"/>
                </w:rPr>
              </w:pPr>
              <w:r>
                <w:rPr>
                  <w:rFonts w:asciiTheme="minorHAnsi" w:hAnsiTheme="minorHAnsi"/>
                </w:rPr>
                <w:t>Diploma in Business Risk Management</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Assignment NO:</w:t>
              </w:r>
            </w:p>
          </w:tc>
          <w:tc>
            <w:tcPr>
              <w:tcW w:w="6495" w:type="dxa"/>
              <w:tcBorders>
                <w:top w:val="single" w:sz="4" w:space="0" w:color="auto"/>
                <w:left w:val="single" w:sz="4" w:space="0" w:color="auto"/>
                <w:bottom w:val="single" w:sz="4" w:space="0" w:color="auto"/>
                <w:right w:val="single" w:sz="4" w:space="0" w:color="auto"/>
              </w:tcBorders>
              <w:hideMark/>
            </w:tcPr>
            <w:p w:rsidR="00D91994" w:rsidRPr="00B0415E" w:rsidRDefault="00CC7AD8" w:rsidP="009E0D52">
              <w:r>
                <w:t>Seven</w:t>
              </w:r>
            </w:p>
          </w:tc>
        </w:tr>
      </w:tbl>
      <w:p w:rsidR="009E0D52" w:rsidRDefault="00E32AC1">
        <w:pPr>
          <w:pStyle w:val="Header"/>
          <w:jc w:val="right"/>
        </w:pPr>
      </w:p>
    </w:sdtContent>
  </w:sdt>
  <w:p w:rsidR="009E0D52" w:rsidRDefault="009E0D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A4A76"/>
    <w:multiLevelType w:val="hybridMultilevel"/>
    <w:tmpl w:val="9C944FFA"/>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1">
    <w:nsid w:val="079870F2"/>
    <w:multiLevelType w:val="hybridMultilevel"/>
    <w:tmpl w:val="6D305A2A"/>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2">
    <w:nsid w:val="0A737E12"/>
    <w:multiLevelType w:val="hybridMultilevel"/>
    <w:tmpl w:val="A03002AA"/>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3">
    <w:nsid w:val="0B446C6E"/>
    <w:multiLevelType w:val="hybridMultilevel"/>
    <w:tmpl w:val="B6BE2A10"/>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4">
    <w:nsid w:val="0C9A1ADB"/>
    <w:multiLevelType w:val="hybridMultilevel"/>
    <w:tmpl w:val="E610958A"/>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5">
    <w:nsid w:val="0DDB3745"/>
    <w:multiLevelType w:val="hybridMultilevel"/>
    <w:tmpl w:val="1FB85E68"/>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6">
    <w:nsid w:val="0ECC4892"/>
    <w:multiLevelType w:val="hybridMultilevel"/>
    <w:tmpl w:val="9E92B038"/>
    <w:lvl w:ilvl="0" w:tplc="1C090001">
      <w:start w:val="1"/>
      <w:numFmt w:val="bullet"/>
      <w:lvlText w:val=""/>
      <w:lvlJc w:val="left"/>
      <w:pPr>
        <w:ind w:left="1451" w:hanging="360"/>
      </w:pPr>
      <w:rPr>
        <w:rFonts w:ascii="Symbol" w:hAnsi="Symbol" w:hint="default"/>
      </w:rPr>
    </w:lvl>
    <w:lvl w:ilvl="1" w:tplc="1C090003" w:tentative="1">
      <w:start w:val="1"/>
      <w:numFmt w:val="bullet"/>
      <w:lvlText w:val="o"/>
      <w:lvlJc w:val="left"/>
      <w:pPr>
        <w:ind w:left="2171" w:hanging="360"/>
      </w:pPr>
      <w:rPr>
        <w:rFonts w:ascii="Courier New" w:hAnsi="Courier New" w:cs="Courier New" w:hint="default"/>
      </w:rPr>
    </w:lvl>
    <w:lvl w:ilvl="2" w:tplc="1C090005" w:tentative="1">
      <w:start w:val="1"/>
      <w:numFmt w:val="bullet"/>
      <w:lvlText w:val=""/>
      <w:lvlJc w:val="left"/>
      <w:pPr>
        <w:ind w:left="2891" w:hanging="360"/>
      </w:pPr>
      <w:rPr>
        <w:rFonts w:ascii="Wingdings" w:hAnsi="Wingdings" w:hint="default"/>
      </w:rPr>
    </w:lvl>
    <w:lvl w:ilvl="3" w:tplc="1C090001" w:tentative="1">
      <w:start w:val="1"/>
      <w:numFmt w:val="bullet"/>
      <w:lvlText w:val=""/>
      <w:lvlJc w:val="left"/>
      <w:pPr>
        <w:ind w:left="3611" w:hanging="360"/>
      </w:pPr>
      <w:rPr>
        <w:rFonts w:ascii="Symbol" w:hAnsi="Symbol" w:hint="default"/>
      </w:rPr>
    </w:lvl>
    <w:lvl w:ilvl="4" w:tplc="1C090003" w:tentative="1">
      <w:start w:val="1"/>
      <w:numFmt w:val="bullet"/>
      <w:lvlText w:val="o"/>
      <w:lvlJc w:val="left"/>
      <w:pPr>
        <w:ind w:left="4331" w:hanging="360"/>
      </w:pPr>
      <w:rPr>
        <w:rFonts w:ascii="Courier New" w:hAnsi="Courier New" w:cs="Courier New" w:hint="default"/>
      </w:rPr>
    </w:lvl>
    <w:lvl w:ilvl="5" w:tplc="1C090005" w:tentative="1">
      <w:start w:val="1"/>
      <w:numFmt w:val="bullet"/>
      <w:lvlText w:val=""/>
      <w:lvlJc w:val="left"/>
      <w:pPr>
        <w:ind w:left="5051" w:hanging="360"/>
      </w:pPr>
      <w:rPr>
        <w:rFonts w:ascii="Wingdings" w:hAnsi="Wingdings" w:hint="default"/>
      </w:rPr>
    </w:lvl>
    <w:lvl w:ilvl="6" w:tplc="1C090001" w:tentative="1">
      <w:start w:val="1"/>
      <w:numFmt w:val="bullet"/>
      <w:lvlText w:val=""/>
      <w:lvlJc w:val="left"/>
      <w:pPr>
        <w:ind w:left="5771" w:hanging="360"/>
      </w:pPr>
      <w:rPr>
        <w:rFonts w:ascii="Symbol" w:hAnsi="Symbol" w:hint="default"/>
      </w:rPr>
    </w:lvl>
    <w:lvl w:ilvl="7" w:tplc="1C090003" w:tentative="1">
      <w:start w:val="1"/>
      <w:numFmt w:val="bullet"/>
      <w:lvlText w:val="o"/>
      <w:lvlJc w:val="left"/>
      <w:pPr>
        <w:ind w:left="6491" w:hanging="360"/>
      </w:pPr>
      <w:rPr>
        <w:rFonts w:ascii="Courier New" w:hAnsi="Courier New" w:cs="Courier New" w:hint="default"/>
      </w:rPr>
    </w:lvl>
    <w:lvl w:ilvl="8" w:tplc="1C090005" w:tentative="1">
      <w:start w:val="1"/>
      <w:numFmt w:val="bullet"/>
      <w:lvlText w:val=""/>
      <w:lvlJc w:val="left"/>
      <w:pPr>
        <w:ind w:left="7211" w:hanging="360"/>
      </w:pPr>
      <w:rPr>
        <w:rFonts w:ascii="Wingdings" w:hAnsi="Wingdings" w:hint="default"/>
      </w:rPr>
    </w:lvl>
  </w:abstractNum>
  <w:abstractNum w:abstractNumId="7">
    <w:nsid w:val="0EFC1792"/>
    <w:multiLevelType w:val="hybridMultilevel"/>
    <w:tmpl w:val="C3BA29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nsid w:val="17DF06EB"/>
    <w:multiLevelType w:val="hybridMultilevel"/>
    <w:tmpl w:val="16868C40"/>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9">
    <w:nsid w:val="1CD54FEA"/>
    <w:multiLevelType w:val="hybridMultilevel"/>
    <w:tmpl w:val="9536E5A6"/>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10">
    <w:nsid w:val="1D67387F"/>
    <w:multiLevelType w:val="hybridMultilevel"/>
    <w:tmpl w:val="3CDC4256"/>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11">
    <w:nsid w:val="1F146F63"/>
    <w:multiLevelType w:val="hybridMultilevel"/>
    <w:tmpl w:val="EEC0CF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1FEA7D8F"/>
    <w:multiLevelType w:val="hybridMultilevel"/>
    <w:tmpl w:val="35B2674E"/>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13">
    <w:nsid w:val="23396C82"/>
    <w:multiLevelType w:val="hybridMultilevel"/>
    <w:tmpl w:val="215E76AA"/>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14">
    <w:nsid w:val="2A1D4A35"/>
    <w:multiLevelType w:val="multilevel"/>
    <w:tmpl w:val="1C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3071152F"/>
    <w:multiLevelType w:val="hybridMultilevel"/>
    <w:tmpl w:val="A3DA8F4E"/>
    <w:lvl w:ilvl="0" w:tplc="922E927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nsid w:val="317D57A9"/>
    <w:multiLevelType w:val="hybridMultilevel"/>
    <w:tmpl w:val="7130A5B8"/>
    <w:lvl w:ilvl="0" w:tplc="85209DD4">
      <w:start w:val="2"/>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nsid w:val="31F41D4D"/>
    <w:multiLevelType w:val="hybridMultilevel"/>
    <w:tmpl w:val="F5D47D08"/>
    <w:lvl w:ilvl="0" w:tplc="5AC6B1A0">
      <w:start w:val="2"/>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nsid w:val="32B32FF0"/>
    <w:multiLevelType w:val="hybridMultilevel"/>
    <w:tmpl w:val="A93AC710"/>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19">
    <w:nsid w:val="333E1E40"/>
    <w:multiLevelType w:val="hybridMultilevel"/>
    <w:tmpl w:val="77C8CBE2"/>
    <w:lvl w:ilvl="0" w:tplc="1C09000F">
      <w:start w:val="1"/>
      <w:numFmt w:val="decimal"/>
      <w:lvlText w:val="%1."/>
      <w:lvlJc w:val="left"/>
      <w:pPr>
        <w:ind w:left="1593" w:hanging="360"/>
      </w:pPr>
    </w:lvl>
    <w:lvl w:ilvl="1" w:tplc="1C090019" w:tentative="1">
      <w:start w:val="1"/>
      <w:numFmt w:val="lowerLetter"/>
      <w:lvlText w:val="%2."/>
      <w:lvlJc w:val="left"/>
      <w:pPr>
        <w:ind w:left="2313" w:hanging="360"/>
      </w:pPr>
    </w:lvl>
    <w:lvl w:ilvl="2" w:tplc="1C09001B" w:tentative="1">
      <w:start w:val="1"/>
      <w:numFmt w:val="lowerRoman"/>
      <w:lvlText w:val="%3."/>
      <w:lvlJc w:val="right"/>
      <w:pPr>
        <w:ind w:left="3033" w:hanging="180"/>
      </w:pPr>
    </w:lvl>
    <w:lvl w:ilvl="3" w:tplc="1C09000F" w:tentative="1">
      <w:start w:val="1"/>
      <w:numFmt w:val="decimal"/>
      <w:lvlText w:val="%4."/>
      <w:lvlJc w:val="left"/>
      <w:pPr>
        <w:ind w:left="3753" w:hanging="360"/>
      </w:pPr>
    </w:lvl>
    <w:lvl w:ilvl="4" w:tplc="1C090019" w:tentative="1">
      <w:start w:val="1"/>
      <w:numFmt w:val="lowerLetter"/>
      <w:lvlText w:val="%5."/>
      <w:lvlJc w:val="left"/>
      <w:pPr>
        <w:ind w:left="4473" w:hanging="360"/>
      </w:pPr>
    </w:lvl>
    <w:lvl w:ilvl="5" w:tplc="1C09001B" w:tentative="1">
      <w:start w:val="1"/>
      <w:numFmt w:val="lowerRoman"/>
      <w:lvlText w:val="%6."/>
      <w:lvlJc w:val="right"/>
      <w:pPr>
        <w:ind w:left="5193" w:hanging="180"/>
      </w:pPr>
    </w:lvl>
    <w:lvl w:ilvl="6" w:tplc="1C09000F" w:tentative="1">
      <w:start w:val="1"/>
      <w:numFmt w:val="decimal"/>
      <w:lvlText w:val="%7."/>
      <w:lvlJc w:val="left"/>
      <w:pPr>
        <w:ind w:left="5913" w:hanging="360"/>
      </w:pPr>
    </w:lvl>
    <w:lvl w:ilvl="7" w:tplc="1C090019" w:tentative="1">
      <w:start w:val="1"/>
      <w:numFmt w:val="lowerLetter"/>
      <w:lvlText w:val="%8."/>
      <w:lvlJc w:val="left"/>
      <w:pPr>
        <w:ind w:left="6633" w:hanging="360"/>
      </w:pPr>
    </w:lvl>
    <w:lvl w:ilvl="8" w:tplc="1C09001B" w:tentative="1">
      <w:start w:val="1"/>
      <w:numFmt w:val="lowerRoman"/>
      <w:lvlText w:val="%9."/>
      <w:lvlJc w:val="right"/>
      <w:pPr>
        <w:ind w:left="7353" w:hanging="180"/>
      </w:pPr>
    </w:lvl>
  </w:abstractNum>
  <w:abstractNum w:abstractNumId="20">
    <w:nsid w:val="34FE2969"/>
    <w:multiLevelType w:val="hybridMultilevel"/>
    <w:tmpl w:val="B596E7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nsid w:val="36D26595"/>
    <w:multiLevelType w:val="hybridMultilevel"/>
    <w:tmpl w:val="B8F04D52"/>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22">
    <w:nsid w:val="42DF2854"/>
    <w:multiLevelType w:val="hybridMultilevel"/>
    <w:tmpl w:val="A0B837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nsid w:val="45A05B3F"/>
    <w:multiLevelType w:val="hybridMultilevel"/>
    <w:tmpl w:val="C1743BD6"/>
    <w:lvl w:ilvl="0" w:tplc="1C090005">
      <w:start w:val="1"/>
      <w:numFmt w:val="bullet"/>
      <w:lvlText w:val=""/>
      <w:lvlJc w:val="left"/>
      <w:pPr>
        <w:ind w:left="1593" w:hanging="360"/>
      </w:pPr>
      <w:rPr>
        <w:rFonts w:ascii="Wingdings" w:hAnsi="Wingdings"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24">
    <w:nsid w:val="47A42D53"/>
    <w:multiLevelType w:val="hybridMultilevel"/>
    <w:tmpl w:val="C5CA4B54"/>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25">
    <w:nsid w:val="4BE84A13"/>
    <w:multiLevelType w:val="hybridMultilevel"/>
    <w:tmpl w:val="16A4E5B0"/>
    <w:lvl w:ilvl="0" w:tplc="1C090001">
      <w:start w:val="1"/>
      <w:numFmt w:val="bullet"/>
      <w:lvlText w:val=""/>
      <w:lvlJc w:val="left"/>
      <w:pPr>
        <w:ind w:left="1380" w:hanging="360"/>
      </w:pPr>
      <w:rPr>
        <w:rFonts w:ascii="Symbol" w:hAnsi="Symbol" w:hint="default"/>
      </w:rPr>
    </w:lvl>
    <w:lvl w:ilvl="1" w:tplc="1C090003" w:tentative="1">
      <w:start w:val="1"/>
      <w:numFmt w:val="bullet"/>
      <w:lvlText w:val="o"/>
      <w:lvlJc w:val="left"/>
      <w:pPr>
        <w:ind w:left="2100" w:hanging="360"/>
      </w:pPr>
      <w:rPr>
        <w:rFonts w:ascii="Courier New" w:hAnsi="Courier New" w:cs="Courier New" w:hint="default"/>
      </w:rPr>
    </w:lvl>
    <w:lvl w:ilvl="2" w:tplc="1C090005" w:tentative="1">
      <w:start w:val="1"/>
      <w:numFmt w:val="bullet"/>
      <w:lvlText w:val=""/>
      <w:lvlJc w:val="left"/>
      <w:pPr>
        <w:ind w:left="2820" w:hanging="360"/>
      </w:pPr>
      <w:rPr>
        <w:rFonts w:ascii="Wingdings" w:hAnsi="Wingdings" w:hint="default"/>
      </w:rPr>
    </w:lvl>
    <w:lvl w:ilvl="3" w:tplc="1C090001" w:tentative="1">
      <w:start w:val="1"/>
      <w:numFmt w:val="bullet"/>
      <w:lvlText w:val=""/>
      <w:lvlJc w:val="left"/>
      <w:pPr>
        <w:ind w:left="3540" w:hanging="360"/>
      </w:pPr>
      <w:rPr>
        <w:rFonts w:ascii="Symbol" w:hAnsi="Symbol" w:hint="default"/>
      </w:rPr>
    </w:lvl>
    <w:lvl w:ilvl="4" w:tplc="1C090003" w:tentative="1">
      <w:start w:val="1"/>
      <w:numFmt w:val="bullet"/>
      <w:lvlText w:val="o"/>
      <w:lvlJc w:val="left"/>
      <w:pPr>
        <w:ind w:left="4260" w:hanging="360"/>
      </w:pPr>
      <w:rPr>
        <w:rFonts w:ascii="Courier New" w:hAnsi="Courier New" w:cs="Courier New" w:hint="default"/>
      </w:rPr>
    </w:lvl>
    <w:lvl w:ilvl="5" w:tplc="1C090005" w:tentative="1">
      <w:start w:val="1"/>
      <w:numFmt w:val="bullet"/>
      <w:lvlText w:val=""/>
      <w:lvlJc w:val="left"/>
      <w:pPr>
        <w:ind w:left="4980" w:hanging="360"/>
      </w:pPr>
      <w:rPr>
        <w:rFonts w:ascii="Wingdings" w:hAnsi="Wingdings" w:hint="default"/>
      </w:rPr>
    </w:lvl>
    <w:lvl w:ilvl="6" w:tplc="1C090001" w:tentative="1">
      <w:start w:val="1"/>
      <w:numFmt w:val="bullet"/>
      <w:lvlText w:val=""/>
      <w:lvlJc w:val="left"/>
      <w:pPr>
        <w:ind w:left="5700" w:hanging="360"/>
      </w:pPr>
      <w:rPr>
        <w:rFonts w:ascii="Symbol" w:hAnsi="Symbol" w:hint="default"/>
      </w:rPr>
    </w:lvl>
    <w:lvl w:ilvl="7" w:tplc="1C090003" w:tentative="1">
      <w:start w:val="1"/>
      <w:numFmt w:val="bullet"/>
      <w:lvlText w:val="o"/>
      <w:lvlJc w:val="left"/>
      <w:pPr>
        <w:ind w:left="6420" w:hanging="360"/>
      </w:pPr>
      <w:rPr>
        <w:rFonts w:ascii="Courier New" w:hAnsi="Courier New" w:cs="Courier New" w:hint="default"/>
      </w:rPr>
    </w:lvl>
    <w:lvl w:ilvl="8" w:tplc="1C090005" w:tentative="1">
      <w:start w:val="1"/>
      <w:numFmt w:val="bullet"/>
      <w:lvlText w:val=""/>
      <w:lvlJc w:val="left"/>
      <w:pPr>
        <w:ind w:left="7140" w:hanging="360"/>
      </w:pPr>
      <w:rPr>
        <w:rFonts w:ascii="Wingdings" w:hAnsi="Wingdings" w:hint="default"/>
      </w:rPr>
    </w:lvl>
  </w:abstractNum>
  <w:abstractNum w:abstractNumId="26">
    <w:nsid w:val="4CE36EB0"/>
    <w:multiLevelType w:val="hybridMultilevel"/>
    <w:tmpl w:val="402E9A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nsid w:val="53482A4C"/>
    <w:multiLevelType w:val="hybridMultilevel"/>
    <w:tmpl w:val="E0BC2240"/>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28">
    <w:nsid w:val="55EB6815"/>
    <w:multiLevelType w:val="hybridMultilevel"/>
    <w:tmpl w:val="98822710"/>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29">
    <w:nsid w:val="5A3F6F13"/>
    <w:multiLevelType w:val="hybridMultilevel"/>
    <w:tmpl w:val="1B6C49C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nsid w:val="5A680B89"/>
    <w:multiLevelType w:val="hybridMultilevel"/>
    <w:tmpl w:val="8D209FC0"/>
    <w:lvl w:ilvl="0" w:tplc="E042E142">
      <w:start w:val="1"/>
      <w:numFmt w:val="lowerRoman"/>
      <w:lvlText w:val="1.%1."/>
      <w:lvlJc w:val="left"/>
      <w:pPr>
        <w:ind w:left="928" w:hanging="360"/>
      </w:pPr>
      <w:rPr>
        <w:rFonts w:hint="default"/>
        <w:b w:val="0"/>
      </w:rPr>
    </w:lvl>
    <w:lvl w:ilvl="1" w:tplc="1C090019" w:tentative="1">
      <w:start w:val="1"/>
      <w:numFmt w:val="lowerLetter"/>
      <w:lvlText w:val="%2."/>
      <w:lvlJc w:val="left"/>
      <w:pPr>
        <w:ind w:left="1648" w:hanging="360"/>
      </w:pPr>
    </w:lvl>
    <w:lvl w:ilvl="2" w:tplc="1C09001B" w:tentative="1">
      <w:start w:val="1"/>
      <w:numFmt w:val="lowerRoman"/>
      <w:lvlText w:val="%3."/>
      <w:lvlJc w:val="right"/>
      <w:pPr>
        <w:ind w:left="2368" w:hanging="180"/>
      </w:pPr>
    </w:lvl>
    <w:lvl w:ilvl="3" w:tplc="1C09000F" w:tentative="1">
      <w:start w:val="1"/>
      <w:numFmt w:val="decimal"/>
      <w:lvlText w:val="%4."/>
      <w:lvlJc w:val="left"/>
      <w:pPr>
        <w:ind w:left="3088" w:hanging="360"/>
      </w:pPr>
    </w:lvl>
    <w:lvl w:ilvl="4" w:tplc="1C090019" w:tentative="1">
      <w:start w:val="1"/>
      <w:numFmt w:val="lowerLetter"/>
      <w:lvlText w:val="%5."/>
      <w:lvlJc w:val="left"/>
      <w:pPr>
        <w:ind w:left="3808" w:hanging="360"/>
      </w:pPr>
    </w:lvl>
    <w:lvl w:ilvl="5" w:tplc="1C09001B" w:tentative="1">
      <w:start w:val="1"/>
      <w:numFmt w:val="lowerRoman"/>
      <w:lvlText w:val="%6."/>
      <w:lvlJc w:val="right"/>
      <w:pPr>
        <w:ind w:left="4528" w:hanging="180"/>
      </w:pPr>
    </w:lvl>
    <w:lvl w:ilvl="6" w:tplc="1C09000F" w:tentative="1">
      <w:start w:val="1"/>
      <w:numFmt w:val="decimal"/>
      <w:lvlText w:val="%7."/>
      <w:lvlJc w:val="left"/>
      <w:pPr>
        <w:ind w:left="5248" w:hanging="360"/>
      </w:pPr>
    </w:lvl>
    <w:lvl w:ilvl="7" w:tplc="1C090019" w:tentative="1">
      <w:start w:val="1"/>
      <w:numFmt w:val="lowerLetter"/>
      <w:lvlText w:val="%8."/>
      <w:lvlJc w:val="left"/>
      <w:pPr>
        <w:ind w:left="5968" w:hanging="360"/>
      </w:pPr>
    </w:lvl>
    <w:lvl w:ilvl="8" w:tplc="1C09001B" w:tentative="1">
      <w:start w:val="1"/>
      <w:numFmt w:val="lowerRoman"/>
      <w:lvlText w:val="%9."/>
      <w:lvlJc w:val="right"/>
      <w:pPr>
        <w:ind w:left="6688" w:hanging="180"/>
      </w:pPr>
    </w:lvl>
  </w:abstractNum>
  <w:abstractNum w:abstractNumId="31">
    <w:nsid w:val="5A6816F7"/>
    <w:multiLevelType w:val="hybridMultilevel"/>
    <w:tmpl w:val="85E052FC"/>
    <w:lvl w:ilvl="0" w:tplc="1C090001">
      <w:start w:val="1"/>
      <w:numFmt w:val="bullet"/>
      <w:lvlText w:val=""/>
      <w:lvlJc w:val="left"/>
      <w:pPr>
        <w:ind w:left="742" w:hanging="360"/>
      </w:pPr>
      <w:rPr>
        <w:rFonts w:ascii="Symbol" w:hAnsi="Symbol" w:hint="default"/>
      </w:rPr>
    </w:lvl>
    <w:lvl w:ilvl="1" w:tplc="1C090003" w:tentative="1">
      <w:start w:val="1"/>
      <w:numFmt w:val="bullet"/>
      <w:lvlText w:val="o"/>
      <w:lvlJc w:val="left"/>
      <w:pPr>
        <w:ind w:left="1462" w:hanging="360"/>
      </w:pPr>
      <w:rPr>
        <w:rFonts w:ascii="Courier New" w:hAnsi="Courier New" w:cs="Courier New" w:hint="default"/>
      </w:rPr>
    </w:lvl>
    <w:lvl w:ilvl="2" w:tplc="1C090005" w:tentative="1">
      <w:start w:val="1"/>
      <w:numFmt w:val="bullet"/>
      <w:lvlText w:val=""/>
      <w:lvlJc w:val="left"/>
      <w:pPr>
        <w:ind w:left="2182" w:hanging="360"/>
      </w:pPr>
      <w:rPr>
        <w:rFonts w:ascii="Wingdings" w:hAnsi="Wingdings" w:hint="default"/>
      </w:rPr>
    </w:lvl>
    <w:lvl w:ilvl="3" w:tplc="1C090001" w:tentative="1">
      <w:start w:val="1"/>
      <w:numFmt w:val="bullet"/>
      <w:lvlText w:val=""/>
      <w:lvlJc w:val="left"/>
      <w:pPr>
        <w:ind w:left="2902" w:hanging="360"/>
      </w:pPr>
      <w:rPr>
        <w:rFonts w:ascii="Symbol" w:hAnsi="Symbol" w:hint="default"/>
      </w:rPr>
    </w:lvl>
    <w:lvl w:ilvl="4" w:tplc="1C090003" w:tentative="1">
      <w:start w:val="1"/>
      <w:numFmt w:val="bullet"/>
      <w:lvlText w:val="o"/>
      <w:lvlJc w:val="left"/>
      <w:pPr>
        <w:ind w:left="3622" w:hanging="360"/>
      </w:pPr>
      <w:rPr>
        <w:rFonts w:ascii="Courier New" w:hAnsi="Courier New" w:cs="Courier New" w:hint="default"/>
      </w:rPr>
    </w:lvl>
    <w:lvl w:ilvl="5" w:tplc="1C090005" w:tentative="1">
      <w:start w:val="1"/>
      <w:numFmt w:val="bullet"/>
      <w:lvlText w:val=""/>
      <w:lvlJc w:val="left"/>
      <w:pPr>
        <w:ind w:left="4342" w:hanging="360"/>
      </w:pPr>
      <w:rPr>
        <w:rFonts w:ascii="Wingdings" w:hAnsi="Wingdings" w:hint="default"/>
      </w:rPr>
    </w:lvl>
    <w:lvl w:ilvl="6" w:tplc="1C090001" w:tentative="1">
      <w:start w:val="1"/>
      <w:numFmt w:val="bullet"/>
      <w:lvlText w:val=""/>
      <w:lvlJc w:val="left"/>
      <w:pPr>
        <w:ind w:left="5062" w:hanging="360"/>
      </w:pPr>
      <w:rPr>
        <w:rFonts w:ascii="Symbol" w:hAnsi="Symbol" w:hint="default"/>
      </w:rPr>
    </w:lvl>
    <w:lvl w:ilvl="7" w:tplc="1C090003" w:tentative="1">
      <w:start w:val="1"/>
      <w:numFmt w:val="bullet"/>
      <w:lvlText w:val="o"/>
      <w:lvlJc w:val="left"/>
      <w:pPr>
        <w:ind w:left="5782" w:hanging="360"/>
      </w:pPr>
      <w:rPr>
        <w:rFonts w:ascii="Courier New" w:hAnsi="Courier New" w:cs="Courier New" w:hint="default"/>
      </w:rPr>
    </w:lvl>
    <w:lvl w:ilvl="8" w:tplc="1C090005" w:tentative="1">
      <w:start w:val="1"/>
      <w:numFmt w:val="bullet"/>
      <w:lvlText w:val=""/>
      <w:lvlJc w:val="left"/>
      <w:pPr>
        <w:ind w:left="6502" w:hanging="360"/>
      </w:pPr>
      <w:rPr>
        <w:rFonts w:ascii="Wingdings" w:hAnsi="Wingdings" w:hint="default"/>
      </w:rPr>
    </w:lvl>
  </w:abstractNum>
  <w:abstractNum w:abstractNumId="32">
    <w:nsid w:val="5B3D0DE9"/>
    <w:multiLevelType w:val="hybridMultilevel"/>
    <w:tmpl w:val="CDEEB91A"/>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33">
    <w:nsid w:val="5C5042A5"/>
    <w:multiLevelType w:val="hybridMultilevel"/>
    <w:tmpl w:val="E8BE4972"/>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34">
    <w:nsid w:val="5F52160F"/>
    <w:multiLevelType w:val="hybridMultilevel"/>
    <w:tmpl w:val="DC28A9FA"/>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35">
    <w:nsid w:val="602539EE"/>
    <w:multiLevelType w:val="hybridMultilevel"/>
    <w:tmpl w:val="F70C5200"/>
    <w:lvl w:ilvl="0" w:tplc="E042E142">
      <w:start w:val="1"/>
      <w:numFmt w:val="lowerRoman"/>
      <w:lvlText w:val="1.%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nsid w:val="74E95C60"/>
    <w:multiLevelType w:val="hybridMultilevel"/>
    <w:tmpl w:val="439643EC"/>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num w:numId="1">
    <w:abstractNumId w:val="14"/>
  </w:num>
  <w:num w:numId="2">
    <w:abstractNumId w:val="35"/>
  </w:num>
  <w:num w:numId="3">
    <w:abstractNumId w:val="21"/>
  </w:num>
  <w:num w:numId="4">
    <w:abstractNumId w:val="32"/>
  </w:num>
  <w:num w:numId="5">
    <w:abstractNumId w:val="13"/>
  </w:num>
  <w:num w:numId="6">
    <w:abstractNumId w:val="34"/>
  </w:num>
  <w:num w:numId="7">
    <w:abstractNumId w:val="10"/>
  </w:num>
  <w:num w:numId="8">
    <w:abstractNumId w:val="0"/>
  </w:num>
  <w:num w:numId="9">
    <w:abstractNumId w:val="27"/>
  </w:num>
  <w:num w:numId="10">
    <w:abstractNumId w:val="17"/>
  </w:num>
  <w:num w:numId="11">
    <w:abstractNumId w:val="3"/>
  </w:num>
  <w:num w:numId="12">
    <w:abstractNumId w:val="15"/>
  </w:num>
  <w:num w:numId="13">
    <w:abstractNumId w:val="16"/>
  </w:num>
  <w:num w:numId="14">
    <w:abstractNumId w:val="9"/>
  </w:num>
  <w:num w:numId="15">
    <w:abstractNumId w:val="26"/>
  </w:num>
  <w:num w:numId="16">
    <w:abstractNumId w:val="7"/>
  </w:num>
  <w:num w:numId="17">
    <w:abstractNumId w:val="11"/>
  </w:num>
  <w:num w:numId="18">
    <w:abstractNumId w:val="20"/>
  </w:num>
  <w:num w:numId="19">
    <w:abstractNumId w:val="22"/>
  </w:num>
  <w:num w:numId="20">
    <w:abstractNumId w:val="31"/>
  </w:num>
  <w:num w:numId="21">
    <w:abstractNumId w:val="30"/>
  </w:num>
  <w:num w:numId="22">
    <w:abstractNumId w:val="6"/>
  </w:num>
  <w:num w:numId="23">
    <w:abstractNumId w:val="8"/>
  </w:num>
  <w:num w:numId="24">
    <w:abstractNumId w:val="18"/>
  </w:num>
  <w:num w:numId="25">
    <w:abstractNumId w:val="1"/>
  </w:num>
  <w:num w:numId="26">
    <w:abstractNumId w:val="25"/>
  </w:num>
  <w:num w:numId="27">
    <w:abstractNumId w:val="24"/>
  </w:num>
  <w:num w:numId="28">
    <w:abstractNumId w:val="12"/>
  </w:num>
  <w:num w:numId="29">
    <w:abstractNumId w:val="23"/>
  </w:num>
  <w:num w:numId="30">
    <w:abstractNumId w:val="5"/>
  </w:num>
  <w:num w:numId="31">
    <w:abstractNumId w:val="4"/>
  </w:num>
  <w:num w:numId="32">
    <w:abstractNumId w:val="33"/>
  </w:num>
  <w:num w:numId="33">
    <w:abstractNumId w:val="36"/>
  </w:num>
  <w:num w:numId="34">
    <w:abstractNumId w:val="2"/>
  </w:num>
  <w:num w:numId="35">
    <w:abstractNumId w:val="28"/>
  </w:num>
  <w:num w:numId="36">
    <w:abstractNumId w:val="19"/>
  </w:num>
  <w:num w:numId="37">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7A3"/>
    <w:rsid w:val="000158F9"/>
    <w:rsid w:val="00031085"/>
    <w:rsid w:val="00035CDD"/>
    <w:rsid w:val="00040083"/>
    <w:rsid w:val="00055992"/>
    <w:rsid w:val="000820E8"/>
    <w:rsid w:val="00082715"/>
    <w:rsid w:val="000E220D"/>
    <w:rsid w:val="000F3C17"/>
    <w:rsid w:val="0010017A"/>
    <w:rsid w:val="001175EE"/>
    <w:rsid w:val="0013031A"/>
    <w:rsid w:val="00130D3B"/>
    <w:rsid w:val="00145F46"/>
    <w:rsid w:val="00146421"/>
    <w:rsid w:val="00157CF6"/>
    <w:rsid w:val="00182416"/>
    <w:rsid w:val="00187EB4"/>
    <w:rsid w:val="00195801"/>
    <w:rsid w:val="001F0481"/>
    <w:rsid w:val="001F16A5"/>
    <w:rsid w:val="00200C92"/>
    <w:rsid w:val="0020451E"/>
    <w:rsid w:val="00206B9D"/>
    <w:rsid w:val="00212524"/>
    <w:rsid w:val="00220F93"/>
    <w:rsid w:val="0023259C"/>
    <w:rsid w:val="00257A1C"/>
    <w:rsid w:val="00271497"/>
    <w:rsid w:val="002A48C1"/>
    <w:rsid w:val="002A74C6"/>
    <w:rsid w:val="002B0BD7"/>
    <w:rsid w:val="002B573D"/>
    <w:rsid w:val="002C1ECA"/>
    <w:rsid w:val="002C5CB2"/>
    <w:rsid w:val="002E712D"/>
    <w:rsid w:val="002F0504"/>
    <w:rsid w:val="002F779F"/>
    <w:rsid w:val="00320EE3"/>
    <w:rsid w:val="00332943"/>
    <w:rsid w:val="003505C5"/>
    <w:rsid w:val="00371885"/>
    <w:rsid w:val="00396343"/>
    <w:rsid w:val="00397A45"/>
    <w:rsid w:val="003B3216"/>
    <w:rsid w:val="003D4ECD"/>
    <w:rsid w:val="003E2B87"/>
    <w:rsid w:val="003E5990"/>
    <w:rsid w:val="003E6564"/>
    <w:rsid w:val="003F6610"/>
    <w:rsid w:val="00402786"/>
    <w:rsid w:val="004049C8"/>
    <w:rsid w:val="00405895"/>
    <w:rsid w:val="004058DF"/>
    <w:rsid w:val="00410033"/>
    <w:rsid w:val="00412F14"/>
    <w:rsid w:val="004273FC"/>
    <w:rsid w:val="00443E6F"/>
    <w:rsid w:val="00444290"/>
    <w:rsid w:val="00486F1A"/>
    <w:rsid w:val="00490CB9"/>
    <w:rsid w:val="004967EE"/>
    <w:rsid w:val="004A2CE2"/>
    <w:rsid w:val="004B6797"/>
    <w:rsid w:val="004D08B5"/>
    <w:rsid w:val="004D6016"/>
    <w:rsid w:val="004E3CDA"/>
    <w:rsid w:val="004F4B4D"/>
    <w:rsid w:val="0050216D"/>
    <w:rsid w:val="00502FCE"/>
    <w:rsid w:val="00503D7E"/>
    <w:rsid w:val="0050778F"/>
    <w:rsid w:val="0051632B"/>
    <w:rsid w:val="00527C11"/>
    <w:rsid w:val="00535F31"/>
    <w:rsid w:val="005733FA"/>
    <w:rsid w:val="00574D64"/>
    <w:rsid w:val="00591365"/>
    <w:rsid w:val="005973C4"/>
    <w:rsid w:val="005B31E4"/>
    <w:rsid w:val="005E56BC"/>
    <w:rsid w:val="006034F6"/>
    <w:rsid w:val="00607874"/>
    <w:rsid w:val="00607E77"/>
    <w:rsid w:val="0061397F"/>
    <w:rsid w:val="00616EB9"/>
    <w:rsid w:val="00617BB3"/>
    <w:rsid w:val="00641243"/>
    <w:rsid w:val="00645CDD"/>
    <w:rsid w:val="006526F1"/>
    <w:rsid w:val="00656DB7"/>
    <w:rsid w:val="006660C7"/>
    <w:rsid w:val="006823A7"/>
    <w:rsid w:val="00686BAC"/>
    <w:rsid w:val="00687EE8"/>
    <w:rsid w:val="0069640C"/>
    <w:rsid w:val="006A6000"/>
    <w:rsid w:val="006B6AC2"/>
    <w:rsid w:val="006E55A1"/>
    <w:rsid w:val="006F14E8"/>
    <w:rsid w:val="006F5526"/>
    <w:rsid w:val="0070347F"/>
    <w:rsid w:val="0070678E"/>
    <w:rsid w:val="007320AD"/>
    <w:rsid w:val="00737C94"/>
    <w:rsid w:val="007439AD"/>
    <w:rsid w:val="007929BC"/>
    <w:rsid w:val="00817CBA"/>
    <w:rsid w:val="008305DF"/>
    <w:rsid w:val="0083133B"/>
    <w:rsid w:val="00831C11"/>
    <w:rsid w:val="008A60B4"/>
    <w:rsid w:val="008A6243"/>
    <w:rsid w:val="008B1F35"/>
    <w:rsid w:val="008B3C31"/>
    <w:rsid w:val="008B64FE"/>
    <w:rsid w:val="008C4D98"/>
    <w:rsid w:val="008D173F"/>
    <w:rsid w:val="008D6A00"/>
    <w:rsid w:val="008F7450"/>
    <w:rsid w:val="0091427B"/>
    <w:rsid w:val="00917522"/>
    <w:rsid w:val="009256ED"/>
    <w:rsid w:val="0093170B"/>
    <w:rsid w:val="00934D72"/>
    <w:rsid w:val="00935BF7"/>
    <w:rsid w:val="00951A9A"/>
    <w:rsid w:val="00951CFD"/>
    <w:rsid w:val="0095442C"/>
    <w:rsid w:val="009644B2"/>
    <w:rsid w:val="00964502"/>
    <w:rsid w:val="0098055D"/>
    <w:rsid w:val="00983942"/>
    <w:rsid w:val="00990FF0"/>
    <w:rsid w:val="00994E24"/>
    <w:rsid w:val="00994F92"/>
    <w:rsid w:val="009C1D31"/>
    <w:rsid w:val="009C37E0"/>
    <w:rsid w:val="009C4507"/>
    <w:rsid w:val="009D4530"/>
    <w:rsid w:val="009E0D52"/>
    <w:rsid w:val="009E41F4"/>
    <w:rsid w:val="00A0554B"/>
    <w:rsid w:val="00A14B66"/>
    <w:rsid w:val="00A16F88"/>
    <w:rsid w:val="00A25174"/>
    <w:rsid w:val="00A418C7"/>
    <w:rsid w:val="00A440F1"/>
    <w:rsid w:val="00A5248A"/>
    <w:rsid w:val="00A60A03"/>
    <w:rsid w:val="00A64FF9"/>
    <w:rsid w:val="00A65CF7"/>
    <w:rsid w:val="00A720A2"/>
    <w:rsid w:val="00A81AB4"/>
    <w:rsid w:val="00A8211A"/>
    <w:rsid w:val="00A851DA"/>
    <w:rsid w:val="00A87C80"/>
    <w:rsid w:val="00AA4BB3"/>
    <w:rsid w:val="00AA6FC2"/>
    <w:rsid w:val="00AB4E60"/>
    <w:rsid w:val="00AC7D5B"/>
    <w:rsid w:val="00AD0087"/>
    <w:rsid w:val="00AE1481"/>
    <w:rsid w:val="00B0415E"/>
    <w:rsid w:val="00B04678"/>
    <w:rsid w:val="00B0786E"/>
    <w:rsid w:val="00B10B04"/>
    <w:rsid w:val="00B1213B"/>
    <w:rsid w:val="00B219E2"/>
    <w:rsid w:val="00B25914"/>
    <w:rsid w:val="00B313F4"/>
    <w:rsid w:val="00B32393"/>
    <w:rsid w:val="00B47162"/>
    <w:rsid w:val="00B6039B"/>
    <w:rsid w:val="00B7280C"/>
    <w:rsid w:val="00B9407E"/>
    <w:rsid w:val="00BB585E"/>
    <w:rsid w:val="00BC46DF"/>
    <w:rsid w:val="00C03577"/>
    <w:rsid w:val="00C07D9E"/>
    <w:rsid w:val="00C1317C"/>
    <w:rsid w:val="00C155C2"/>
    <w:rsid w:val="00C3799F"/>
    <w:rsid w:val="00C53029"/>
    <w:rsid w:val="00C64189"/>
    <w:rsid w:val="00C65FEA"/>
    <w:rsid w:val="00C75FED"/>
    <w:rsid w:val="00C81433"/>
    <w:rsid w:val="00CA0AC2"/>
    <w:rsid w:val="00CB4D0A"/>
    <w:rsid w:val="00CC2FB3"/>
    <w:rsid w:val="00CC575A"/>
    <w:rsid w:val="00CC7AD8"/>
    <w:rsid w:val="00CF123B"/>
    <w:rsid w:val="00D039AC"/>
    <w:rsid w:val="00D427DE"/>
    <w:rsid w:val="00D504EC"/>
    <w:rsid w:val="00D5587D"/>
    <w:rsid w:val="00D707CC"/>
    <w:rsid w:val="00D821FE"/>
    <w:rsid w:val="00D8387C"/>
    <w:rsid w:val="00D9109D"/>
    <w:rsid w:val="00D91994"/>
    <w:rsid w:val="00D91D6A"/>
    <w:rsid w:val="00D97AD0"/>
    <w:rsid w:val="00DA38A6"/>
    <w:rsid w:val="00DB0793"/>
    <w:rsid w:val="00DB4023"/>
    <w:rsid w:val="00DD57C6"/>
    <w:rsid w:val="00DF3375"/>
    <w:rsid w:val="00E00821"/>
    <w:rsid w:val="00E04DB4"/>
    <w:rsid w:val="00E30679"/>
    <w:rsid w:val="00E32AC1"/>
    <w:rsid w:val="00E4597D"/>
    <w:rsid w:val="00E54832"/>
    <w:rsid w:val="00E56A90"/>
    <w:rsid w:val="00E641CC"/>
    <w:rsid w:val="00E75338"/>
    <w:rsid w:val="00EA27BC"/>
    <w:rsid w:val="00EA30AB"/>
    <w:rsid w:val="00EB37E7"/>
    <w:rsid w:val="00EB3925"/>
    <w:rsid w:val="00EB3F5D"/>
    <w:rsid w:val="00ED1669"/>
    <w:rsid w:val="00EE35F7"/>
    <w:rsid w:val="00F244E8"/>
    <w:rsid w:val="00F40CF3"/>
    <w:rsid w:val="00F44686"/>
    <w:rsid w:val="00F64D53"/>
    <w:rsid w:val="00F96EB3"/>
    <w:rsid w:val="00FA1F63"/>
    <w:rsid w:val="00FA688C"/>
    <w:rsid w:val="00FB1FD3"/>
    <w:rsid w:val="00FB4639"/>
    <w:rsid w:val="00FC0D68"/>
    <w:rsid w:val="00FD1561"/>
    <w:rsid w:val="00FE10F5"/>
    <w:rsid w:val="00FE45E2"/>
    <w:rsid w:val="00FF4F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FC1ADB-3D76-46B4-B907-7FDED5669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
    <w:name w:val="Style1"/>
    <w:uiPriority w:val="99"/>
    <w:rsid w:val="0098055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5C3687-BEC2-4EF8-8D94-1A5A2B974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7</Pages>
  <Words>1337</Words>
  <Characters>7627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Anton</cp:lastModifiedBy>
  <cp:revision>20</cp:revision>
  <dcterms:created xsi:type="dcterms:W3CDTF">2016-05-04T12:51:00Z</dcterms:created>
  <dcterms:modified xsi:type="dcterms:W3CDTF">2016-05-05T06:24:00Z</dcterms:modified>
</cp:coreProperties>
</file>