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A12" w:rsidRPr="006118FF" w:rsidRDefault="00036A12" w:rsidP="00036A12">
      <w:pPr>
        <w:rPr>
          <w:rFonts w:ascii="Verdana" w:hAnsi="Verdana"/>
        </w:rPr>
      </w:pPr>
    </w:p>
    <w:p w:rsidR="00036A12" w:rsidRPr="006118FF" w:rsidRDefault="00036A12" w:rsidP="00036A12">
      <w:pPr>
        <w:rPr>
          <w:rFonts w:ascii="Verdana" w:hAnsi="Verdana"/>
        </w:rPr>
      </w:pPr>
    </w:p>
    <w:p w:rsidR="00036A12" w:rsidRPr="006118FF" w:rsidRDefault="00036A12" w:rsidP="00036A12">
      <w:pPr>
        <w:rPr>
          <w:rFonts w:ascii="Verdana" w:hAnsi="Verdana"/>
        </w:rPr>
      </w:pPr>
    </w:p>
    <w:p w:rsidR="00036A12" w:rsidRPr="006118FF" w:rsidRDefault="00036A12" w:rsidP="00036A12">
      <w:pPr>
        <w:rPr>
          <w:rFonts w:ascii="Verdana" w:hAnsi="Verdana"/>
        </w:rPr>
      </w:pPr>
    </w:p>
    <w:p w:rsidR="00036A12" w:rsidRPr="006118FF" w:rsidRDefault="00036A12" w:rsidP="00036A12">
      <w:pPr>
        <w:rPr>
          <w:rFonts w:ascii="Verdana" w:hAnsi="Verdana"/>
        </w:rPr>
      </w:pPr>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31"/>
      </w:tblGrid>
      <w:tr w:rsidR="00036A12" w:rsidRPr="006118FF" w:rsidTr="00036A12">
        <w:trPr>
          <w:trHeight w:val="2150"/>
        </w:trPr>
        <w:tc>
          <w:tcPr>
            <w:tcW w:w="8931" w:type="dxa"/>
            <w:shd w:val="clear" w:color="auto" w:fill="D9D9D9"/>
          </w:tcPr>
          <w:p w:rsidR="00036A12" w:rsidRPr="006118FF" w:rsidRDefault="00036A12" w:rsidP="00036A12">
            <w:pPr>
              <w:autoSpaceDE w:val="0"/>
              <w:autoSpaceDN w:val="0"/>
              <w:adjustRightInd w:val="0"/>
              <w:jc w:val="center"/>
              <w:rPr>
                <w:rFonts w:ascii="Verdana" w:hAnsi="Verdana"/>
                <w:b/>
                <w:color w:val="7030A0"/>
                <w:sz w:val="56"/>
              </w:rPr>
            </w:pPr>
          </w:p>
          <w:p w:rsidR="00036A12" w:rsidRPr="006118FF" w:rsidRDefault="00036A12" w:rsidP="00036A12">
            <w:pPr>
              <w:jc w:val="center"/>
              <w:rPr>
                <w:rFonts w:asciiTheme="minorHAnsi" w:hAnsiTheme="minorHAnsi" w:cstheme="minorHAnsi"/>
                <w:b/>
              </w:rPr>
            </w:pPr>
            <w:r>
              <w:rPr>
                <w:rFonts w:ascii="Verdana" w:hAnsi="Verdana"/>
                <w:b/>
                <w:color w:val="7030A0"/>
                <w:sz w:val="56"/>
              </w:rPr>
              <w:t>The Philosophy of Islamic Finance</w:t>
            </w:r>
          </w:p>
          <w:p w:rsidR="00036A12" w:rsidRPr="006118FF" w:rsidRDefault="00036A12" w:rsidP="00036A12">
            <w:pPr>
              <w:rPr>
                <w:rFonts w:ascii="Verdana" w:hAnsi="Verdana"/>
              </w:rPr>
            </w:pPr>
          </w:p>
        </w:tc>
      </w:tr>
    </w:tbl>
    <w:tbl>
      <w:tblPr>
        <w:tblpPr w:leftFromText="180" w:rightFromText="180" w:vertAnchor="text" w:horzAnchor="page" w:tblpX="7114"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tblGrid>
      <w:tr w:rsidR="00036A12" w:rsidRPr="006118FF" w:rsidTr="00036A12">
        <w:trPr>
          <w:trHeight w:val="8349"/>
        </w:trPr>
        <w:tc>
          <w:tcPr>
            <w:tcW w:w="3085" w:type="dxa"/>
            <w:shd w:val="clear" w:color="auto" w:fill="7030A0"/>
          </w:tcPr>
          <w:p w:rsidR="00036A12" w:rsidRPr="006118FF" w:rsidRDefault="00036A12" w:rsidP="00036A12">
            <w:pPr>
              <w:spacing w:before="100" w:beforeAutospacing="1" w:after="100" w:afterAutospacing="1"/>
              <w:rPr>
                <w:rFonts w:ascii="Verdana" w:hAnsi="Verdana"/>
              </w:rPr>
            </w:pPr>
          </w:p>
        </w:tc>
      </w:tr>
    </w:tbl>
    <w:p w:rsidR="00036A12" w:rsidRPr="006118FF" w:rsidRDefault="00036A12" w:rsidP="00036A12">
      <w:pPr>
        <w:rPr>
          <w:rFonts w:ascii="Verdana" w:hAnsi="Verdana"/>
        </w:rPr>
      </w:pPr>
    </w:p>
    <w:p w:rsidR="00036A12" w:rsidRPr="006118FF" w:rsidRDefault="00036A12" w:rsidP="00036A12">
      <w:pPr>
        <w:rPr>
          <w:rFonts w:ascii="Verdana" w:hAnsi="Verdana"/>
        </w:rPr>
      </w:pPr>
    </w:p>
    <w:p w:rsidR="00036A12" w:rsidRPr="006118FF" w:rsidRDefault="00036A12" w:rsidP="00036A12">
      <w:pPr>
        <w:rPr>
          <w:rFonts w:ascii="Verdana" w:hAnsi="Verdana"/>
        </w:rPr>
      </w:pPr>
    </w:p>
    <w:p w:rsidR="00036A12" w:rsidRPr="006118FF" w:rsidRDefault="00036A12" w:rsidP="00036A12">
      <w:pPr>
        <w:rPr>
          <w:rFonts w:ascii="Verdana" w:hAnsi="Verdana"/>
          <w:color w:val="7030A0"/>
          <w:sz w:val="144"/>
        </w:rPr>
      </w:pPr>
      <w:r w:rsidRPr="006118FF">
        <w:rPr>
          <w:rFonts w:ascii="Verdana" w:hAnsi="Verdana"/>
          <w:color w:val="7030A0"/>
          <w:sz w:val="144"/>
        </w:rPr>
        <w:t>Unit</w:t>
      </w:r>
    </w:p>
    <w:p w:rsidR="00036A12" w:rsidRPr="006118FF" w:rsidRDefault="00036A12" w:rsidP="00036A12">
      <w:pPr>
        <w:rPr>
          <w:rFonts w:ascii="Verdana" w:hAnsi="Verdana"/>
        </w:rPr>
      </w:pPr>
    </w:p>
    <w:p w:rsidR="00036A12" w:rsidRPr="006118FF" w:rsidRDefault="00036A12" w:rsidP="00036A12">
      <w:pPr>
        <w:rPr>
          <w:rFonts w:ascii="Verdana" w:hAnsi="Verdana"/>
        </w:rPr>
      </w:pPr>
    </w:p>
    <w:p w:rsidR="00036A12" w:rsidRPr="006118FF" w:rsidRDefault="00036A12" w:rsidP="00036A12">
      <w:pPr>
        <w:rPr>
          <w:rFonts w:ascii="Verdana" w:hAnsi="Verdana"/>
        </w:rPr>
      </w:pPr>
    </w:p>
    <w:p w:rsidR="00036A12" w:rsidRPr="006118FF" w:rsidRDefault="00036A12" w:rsidP="00036A12">
      <w:pPr>
        <w:rPr>
          <w:rFonts w:ascii="Verdana" w:hAnsi="Verdana"/>
          <w:color w:val="7030A0"/>
          <w:sz w:val="144"/>
          <w:szCs w:val="144"/>
        </w:rPr>
      </w:pPr>
      <w:r>
        <w:rPr>
          <w:rFonts w:ascii="Verdana" w:hAnsi="Verdana"/>
          <w:color w:val="7030A0"/>
          <w:sz w:val="340"/>
          <w:szCs w:val="144"/>
        </w:rPr>
        <w:t>3</w:t>
      </w:r>
    </w:p>
    <w:p w:rsidR="00036A12" w:rsidRPr="006118FF" w:rsidRDefault="00036A12" w:rsidP="00036A12">
      <w:pPr>
        <w:spacing w:before="160" w:after="160"/>
        <w:rPr>
          <w:rFonts w:ascii="Verdana" w:hAnsi="Verdana"/>
          <w:b/>
          <w:color w:val="7030A0"/>
          <w:sz w:val="40"/>
        </w:rPr>
      </w:pPr>
    </w:p>
    <w:p w:rsidR="00036A12" w:rsidRPr="006118FF" w:rsidRDefault="00036A12" w:rsidP="00036A12">
      <w:pPr>
        <w:spacing w:before="160" w:after="160"/>
        <w:rPr>
          <w:rFonts w:ascii="Verdana" w:hAnsi="Verdana"/>
          <w:b/>
        </w:rPr>
      </w:pPr>
    </w:p>
    <w:p w:rsidR="00036A12" w:rsidRPr="006118FF" w:rsidRDefault="00036A12" w:rsidP="00036A12">
      <w:pPr>
        <w:spacing w:before="160" w:after="160"/>
        <w:rPr>
          <w:rFonts w:ascii="Verdana" w:hAnsi="Verdana"/>
          <w:b/>
        </w:rPr>
      </w:pPr>
    </w:p>
    <w:p w:rsidR="00036A12" w:rsidRPr="006118FF" w:rsidRDefault="00036A12" w:rsidP="00036A12">
      <w:pPr>
        <w:spacing w:before="160" w:after="160"/>
        <w:rPr>
          <w:rFonts w:ascii="Verdana" w:hAnsi="Verdana"/>
          <w:b/>
        </w:rPr>
      </w:pPr>
    </w:p>
    <w:p w:rsidR="00036A12" w:rsidRPr="006118FF" w:rsidRDefault="00036A12" w:rsidP="00036A12">
      <w:pPr>
        <w:spacing w:before="160" w:after="160"/>
        <w:rPr>
          <w:rFonts w:ascii="Verdana" w:hAnsi="Verdana"/>
          <w:b/>
        </w:rPr>
      </w:pPr>
    </w:p>
    <w:p w:rsidR="00036A12" w:rsidRPr="007242BE" w:rsidRDefault="00036A12" w:rsidP="00036A12">
      <w:pPr>
        <w:autoSpaceDE w:val="0"/>
        <w:autoSpaceDN w:val="0"/>
        <w:adjustRightInd w:val="0"/>
        <w:rPr>
          <w:rFonts w:asciiTheme="minorHAnsi" w:hAnsiTheme="minorHAnsi" w:cstheme="minorHAnsi"/>
          <w:b/>
          <w:bCs/>
          <w:color w:val="7030A0"/>
          <w:sz w:val="32"/>
          <w:szCs w:val="32"/>
          <w:lang w:val="en-US"/>
        </w:rPr>
      </w:pPr>
      <w:r>
        <w:rPr>
          <w:rFonts w:asciiTheme="minorHAnsi" w:hAnsiTheme="minorHAnsi" w:cstheme="minorHAnsi"/>
          <w:b/>
          <w:bCs/>
          <w:color w:val="7030A0"/>
          <w:sz w:val="32"/>
          <w:szCs w:val="32"/>
          <w:lang w:val="en-US"/>
        </w:rPr>
        <w:lastRenderedPageBreak/>
        <w:t>Unit 3</w:t>
      </w:r>
    </w:p>
    <w:p w:rsidR="00036A12" w:rsidRPr="007242BE" w:rsidRDefault="00036A12" w:rsidP="00036A12">
      <w:pPr>
        <w:rPr>
          <w:rFonts w:asciiTheme="minorHAnsi" w:hAnsiTheme="minorHAnsi" w:cstheme="minorHAnsi"/>
          <w:b/>
          <w:bCs/>
          <w:lang w:val="en-US"/>
        </w:rPr>
      </w:pPr>
    </w:p>
    <w:p w:rsidR="00036A12" w:rsidRPr="007242BE" w:rsidRDefault="00036A12" w:rsidP="00036A12">
      <w:pPr>
        <w:rPr>
          <w:rFonts w:asciiTheme="minorHAnsi" w:hAnsiTheme="minorHAnsi" w:cstheme="minorHAnsi"/>
          <w:b/>
          <w:bCs/>
          <w:color w:val="7030A0"/>
          <w:sz w:val="32"/>
          <w:szCs w:val="32"/>
          <w:lang w:val="en-US"/>
        </w:rPr>
      </w:pPr>
      <w:r w:rsidRPr="007242BE">
        <w:rPr>
          <w:rFonts w:asciiTheme="minorHAnsi" w:hAnsiTheme="minorHAnsi" w:cstheme="minorHAnsi"/>
          <w:b/>
          <w:bCs/>
          <w:color w:val="7030A0"/>
          <w:sz w:val="32"/>
          <w:szCs w:val="32"/>
          <w:lang w:val="en-US"/>
        </w:rPr>
        <w:t>The Philosophy of Islamic Finance</w:t>
      </w:r>
    </w:p>
    <w:p w:rsidR="00036A12" w:rsidRDefault="00036A12" w:rsidP="00036A12">
      <w:pPr>
        <w:autoSpaceDE w:val="0"/>
        <w:autoSpaceDN w:val="0"/>
        <w:adjustRightInd w:val="0"/>
        <w:jc w:val="both"/>
        <w:rPr>
          <w:rFonts w:ascii="Calibri" w:hAnsi="Calibri" w:cs="Calibri"/>
          <w:b/>
          <w:color w:val="7030A0"/>
          <w:u w:val="single"/>
        </w:rPr>
      </w:pPr>
    </w:p>
    <w:p w:rsidR="00036A12" w:rsidRPr="003E588B" w:rsidRDefault="00036A12" w:rsidP="00036A12">
      <w:pPr>
        <w:autoSpaceDE w:val="0"/>
        <w:autoSpaceDN w:val="0"/>
        <w:adjustRightInd w:val="0"/>
        <w:jc w:val="both"/>
        <w:rPr>
          <w:rFonts w:ascii="Calibri" w:hAnsi="Calibri" w:cs="Calibri"/>
          <w:b/>
          <w:color w:val="7030A0"/>
          <w:u w:val="single"/>
        </w:rPr>
      </w:pPr>
      <w:r w:rsidRPr="003E588B">
        <w:rPr>
          <w:rFonts w:ascii="Calibri" w:hAnsi="Calibri" w:cs="Calibri"/>
          <w:b/>
          <w:color w:val="7030A0"/>
          <w:u w:val="single"/>
        </w:rPr>
        <w:t>Learning outcomes</w:t>
      </w:r>
    </w:p>
    <w:p w:rsidR="00036A12" w:rsidRPr="003E588B" w:rsidRDefault="00036A12" w:rsidP="00036A12">
      <w:pPr>
        <w:autoSpaceDE w:val="0"/>
        <w:autoSpaceDN w:val="0"/>
        <w:adjustRightInd w:val="0"/>
        <w:jc w:val="both"/>
        <w:rPr>
          <w:rFonts w:cstheme="minorHAnsi"/>
          <w:b/>
          <w:color w:val="7030A0"/>
          <w:u w:val="single"/>
        </w:rPr>
      </w:pPr>
    </w:p>
    <w:p w:rsidR="00036A12" w:rsidRPr="003E588B" w:rsidRDefault="00036A12" w:rsidP="00036A12">
      <w:pPr>
        <w:autoSpaceDE w:val="0"/>
        <w:autoSpaceDN w:val="0"/>
        <w:adjustRightInd w:val="0"/>
        <w:jc w:val="both"/>
        <w:rPr>
          <w:rFonts w:ascii="Calibri" w:hAnsi="Calibri" w:cs="Calibri"/>
          <w:b/>
          <w:color w:val="7030A0"/>
        </w:rPr>
      </w:pPr>
      <w:r w:rsidRPr="003E588B">
        <w:rPr>
          <w:rFonts w:ascii="Calibri" w:hAnsi="Calibri" w:cs="Calibri"/>
          <w:b/>
          <w:color w:val="7030A0"/>
        </w:rPr>
        <w:t xml:space="preserve">By </w:t>
      </w:r>
      <w:r>
        <w:rPr>
          <w:rFonts w:ascii="Calibri" w:hAnsi="Calibri" w:cs="Calibri"/>
          <w:b/>
          <w:color w:val="7030A0"/>
        </w:rPr>
        <w:t>the end of this unit you</w:t>
      </w:r>
      <w:r w:rsidRPr="003E588B">
        <w:rPr>
          <w:rFonts w:ascii="Calibri" w:hAnsi="Calibri" w:cs="Calibri"/>
          <w:b/>
          <w:color w:val="7030A0"/>
        </w:rPr>
        <w:t xml:space="preserve"> will be able to:</w:t>
      </w:r>
    </w:p>
    <w:p w:rsidR="00036A12" w:rsidRPr="003E588B" w:rsidRDefault="00036A12" w:rsidP="00036A12">
      <w:pPr>
        <w:autoSpaceDE w:val="0"/>
        <w:autoSpaceDN w:val="0"/>
        <w:adjustRightInd w:val="0"/>
        <w:jc w:val="both"/>
        <w:rPr>
          <w:rFonts w:cstheme="minorHAnsi"/>
          <w:b/>
          <w:color w:val="7030A0"/>
        </w:rPr>
      </w:pPr>
    </w:p>
    <w:p w:rsidR="00036A12" w:rsidRPr="003E588B" w:rsidRDefault="00036A12" w:rsidP="00036A12">
      <w:pPr>
        <w:pStyle w:val="ListParagraph"/>
        <w:numPr>
          <w:ilvl w:val="0"/>
          <w:numId w:val="3"/>
        </w:numPr>
        <w:autoSpaceDE w:val="0"/>
        <w:autoSpaceDN w:val="0"/>
        <w:adjustRightInd w:val="0"/>
        <w:jc w:val="both"/>
        <w:rPr>
          <w:rFonts w:ascii="Calibri" w:hAnsi="Calibri" w:cs="Calibri"/>
          <w:b/>
          <w:color w:val="7030A0"/>
        </w:rPr>
      </w:pPr>
      <w:r w:rsidRPr="003E588B">
        <w:rPr>
          <w:rFonts w:ascii="Calibri" w:hAnsi="Calibri" w:cs="Calibri"/>
          <w:b/>
          <w:color w:val="7030A0"/>
        </w:rPr>
        <w:t xml:space="preserve">Discuss the Philosophy of Islamic Finance </w:t>
      </w:r>
    </w:p>
    <w:p w:rsidR="00036A12" w:rsidRPr="003E588B" w:rsidRDefault="00036A12" w:rsidP="00036A12">
      <w:pPr>
        <w:pStyle w:val="ListParagraph"/>
        <w:numPr>
          <w:ilvl w:val="0"/>
          <w:numId w:val="3"/>
        </w:numPr>
        <w:autoSpaceDE w:val="0"/>
        <w:autoSpaceDN w:val="0"/>
        <w:adjustRightInd w:val="0"/>
        <w:jc w:val="both"/>
        <w:rPr>
          <w:rFonts w:ascii="Calibri" w:hAnsi="Calibri" w:cs="Calibri"/>
          <w:b/>
          <w:color w:val="7030A0"/>
        </w:rPr>
      </w:pPr>
      <w:r>
        <w:rPr>
          <w:rFonts w:ascii="Calibri" w:hAnsi="Calibri" w:cs="Calibri"/>
          <w:b/>
          <w:color w:val="7030A0"/>
        </w:rPr>
        <w:t>Identify the alternative financing p</w:t>
      </w:r>
      <w:r w:rsidRPr="003E588B">
        <w:rPr>
          <w:rFonts w:ascii="Calibri" w:hAnsi="Calibri" w:cs="Calibri"/>
          <w:b/>
          <w:color w:val="7030A0"/>
        </w:rPr>
        <w:t xml:space="preserve">rinciples </w:t>
      </w:r>
    </w:p>
    <w:p w:rsidR="00036A12" w:rsidRPr="00C522A9" w:rsidRDefault="00036A12" w:rsidP="00036A12">
      <w:pPr>
        <w:pStyle w:val="ListParagraph"/>
        <w:numPr>
          <w:ilvl w:val="0"/>
          <w:numId w:val="3"/>
        </w:numPr>
        <w:autoSpaceDE w:val="0"/>
        <w:autoSpaceDN w:val="0"/>
        <w:adjustRightInd w:val="0"/>
        <w:jc w:val="both"/>
        <w:rPr>
          <w:rFonts w:ascii="Calibri" w:hAnsi="Calibri" w:cs="Calibri"/>
          <w:b/>
          <w:color w:val="7030A0"/>
        </w:rPr>
      </w:pPr>
      <w:r>
        <w:rPr>
          <w:rFonts w:ascii="Calibri" w:hAnsi="Calibri" w:cs="Calibri"/>
          <w:b/>
          <w:color w:val="7030A0"/>
        </w:rPr>
        <w:t>Discuss</w:t>
      </w:r>
      <w:r w:rsidRPr="003E588B">
        <w:rPr>
          <w:rFonts w:ascii="Calibri" w:hAnsi="Calibri" w:cs="Calibri"/>
          <w:b/>
          <w:color w:val="7030A0"/>
        </w:rPr>
        <w:t xml:space="preserve"> the concept of Islamic Banks </w:t>
      </w:r>
      <w:r>
        <w:rPr>
          <w:rFonts w:ascii="Calibri" w:hAnsi="Calibri" w:cs="Calibri"/>
          <w:b/>
          <w:color w:val="7030A0"/>
        </w:rPr>
        <w:t>'</w:t>
      </w:r>
      <w:r w:rsidRPr="003E588B">
        <w:rPr>
          <w:rFonts w:ascii="Calibri" w:hAnsi="Calibri" w:cs="Calibri"/>
          <w:b/>
          <w:color w:val="7030A0"/>
        </w:rPr>
        <w:t>Dealing in Goods not in Money</w:t>
      </w:r>
      <w:r>
        <w:rPr>
          <w:rFonts w:ascii="Calibri" w:hAnsi="Calibri" w:cs="Calibri"/>
          <w:b/>
          <w:color w:val="7030A0"/>
        </w:rPr>
        <w:t>'</w:t>
      </w:r>
      <w:r w:rsidRPr="003E588B">
        <w:rPr>
          <w:rFonts w:ascii="Calibri" w:hAnsi="Calibri" w:cs="Calibri"/>
          <w:b/>
          <w:color w:val="7030A0"/>
        </w:rPr>
        <w:t>.</w:t>
      </w:r>
    </w:p>
    <w:p w:rsidR="00036A12" w:rsidRPr="00C522A9" w:rsidRDefault="00036A12" w:rsidP="00036A12">
      <w:pPr>
        <w:shd w:val="clear" w:color="auto" w:fill="7030A0"/>
        <w:autoSpaceDE w:val="0"/>
        <w:autoSpaceDN w:val="0"/>
        <w:adjustRightInd w:val="0"/>
        <w:rPr>
          <w:rFonts w:asciiTheme="minorHAnsi" w:hAnsiTheme="minorHAnsi" w:cstheme="minorHAnsi"/>
          <w:b/>
          <w:bCs/>
          <w:color w:val="FFFFFF" w:themeColor="background1"/>
          <w:sz w:val="28"/>
          <w:szCs w:val="28"/>
          <w:lang w:val="en-US"/>
        </w:rPr>
      </w:pPr>
      <w:r>
        <w:rPr>
          <w:rFonts w:asciiTheme="minorHAnsi" w:hAnsiTheme="minorHAnsi" w:cstheme="minorHAnsi"/>
          <w:b/>
          <w:bCs/>
          <w:color w:val="FFFFFF" w:themeColor="background1"/>
          <w:sz w:val="28"/>
          <w:szCs w:val="28"/>
          <w:lang w:val="en-US"/>
        </w:rPr>
        <w:t xml:space="preserve">   </w:t>
      </w:r>
      <w:r w:rsidRPr="00C522A9">
        <w:rPr>
          <w:rFonts w:asciiTheme="minorHAnsi" w:hAnsiTheme="minorHAnsi" w:cstheme="minorHAnsi"/>
          <w:b/>
          <w:bCs/>
          <w:color w:val="FFFFFF" w:themeColor="background1"/>
          <w:sz w:val="28"/>
          <w:szCs w:val="28"/>
          <w:lang w:val="en-US"/>
        </w:rPr>
        <w:t>Introduction</w:t>
      </w:r>
    </w:p>
    <w:p w:rsidR="00036A12" w:rsidRDefault="00036A12"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principles of Islamic banking and finance were established in order to conform to Islamic values and financial ethics, hence abiding by the conventions of good governance, risk management and the Islamic </w:t>
      </w:r>
      <w:r>
        <w:rPr>
          <w:rFonts w:asciiTheme="minorHAnsi" w:hAnsiTheme="minorHAnsi" w:cstheme="minorHAnsi"/>
          <w:i/>
          <w:lang w:val="en-US"/>
        </w:rPr>
        <w:t xml:space="preserve">Shari’a. </w:t>
      </w:r>
      <w:r>
        <w:rPr>
          <w:rFonts w:asciiTheme="minorHAnsi" w:hAnsiTheme="minorHAnsi" w:cstheme="minorHAnsi"/>
          <w:lang w:val="en-US"/>
        </w:rPr>
        <w:t xml:space="preserve">“Interest-free banking” was a term used in 1980s as an alternative to the modern banking system, which is based on the creation of interest. However, this term was only restricted to describe selected banking operations and instruments that were meant to avoid interest. Islamic banking not only requires the exclusion of interest from banking operations but also stipulates avoiding </w:t>
      </w:r>
      <w:r w:rsidR="00137702">
        <w:rPr>
          <w:rFonts w:asciiTheme="minorHAnsi" w:hAnsiTheme="minorHAnsi" w:cstheme="minorHAnsi"/>
          <w:i/>
          <w:lang w:val="en-US"/>
        </w:rPr>
        <w:t>Gharar</w:t>
      </w:r>
      <w:r w:rsidR="00137702">
        <w:rPr>
          <w:rFonts w:asciiTheme="minorHAnsi" w:hAnsiTheme="minorHAnsi" w:cstheme="minorHAnsi"/>
          <w:lang w:val="en-US"/>
        </w:rPr>
        <w:t xml:space="preserve"> and all other practices that contradict the basic principles of an Islamic economy. </w:t>
      </w:r>
      <w:r>
        <w:rPr>
          <w:rFonts w:asciiTheme="minorHAnsi" w:hAnsiTheme="minorHAnsi" w:cstheme="minorHAnsi"/>
          <w:lang w:val="en-US"/>
        </w:rPr>
        <w:t xml:space="preserve">   </w:t>
      </w:r>
    </w:p>
    <w:p w:rsidR="00036A12" w:rsidRPr="00FA543C" w:rsidRDefault="00036A12" w:rsidP="00036A12">
      <w:pPr>
        <w:autoSpaceDE w:val="0"/>
        <w:autoSpaceDN w:val="0"/>
        <w:adjustRightInd w:val="0"/>
        <w:jc w:val="both"/>
        <w:rPr>
          <w:rFonts w:asciiTheme="minorHAnsi" w:hAnsiTheme="minorHAnsi" w:cstheme="minorHAnsi"/>
          <w:lang w:val="en-US"/>
        </w:rPr>
      </w:pPr>
    </w:p>
    <w:p w:rsidR="000D7FF0" w:rsidRPr="00FA543C" w:rsidRDefault="00137702" w:rsidP="000D7FF0">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This unit discusses the basic features of Islamic finance that have an impact on financial products, instruments, markets, businesses and institutions. </w:t>
      </w:r>
      <w:r w:rsidR="00BF6023">
        <w:rPr>
          <w:rFonts w:asciiTheme="minorHAnsi" w:hAnsiTheme="minorHAnsi" w:cstheme="minorHAnsi"/>
          <w:lang w:val="en-US"/>
        </w:rPr>
        <w:t xml:space="preserve">Islamic financial principles include ensuring that the business or trade one is involved in is genuine, avoiding interest based transactions, </w:t>
      </w:r>
      <w:r w:rsidR="00BF6023">
        <w:rPr>
          <w:rFonts w:asciiTheme="minorHAnsi" w:hAnsiTheme="minorHAnsi" w:cstheme="minorHAnsi"/>
          <w:i/>
          <w:lang w:val="en-US"/>
        </w:rPr>
        <w:t>Kharaj bil Dhaman</w:t>
      </w:r>
      <w:r w:rsidR="00BF6023">
        <w:rPr>
          <w:rFonts w:asciiTheme="minorHAnsi" w:hAnsiTheme="minorHAnsi" w:cstheme="minorHAnsi"/>
          <w:lang w:val="en-US"/>
        </w:rPr>
        <w:t xml:space="preserve"> and other principles involving profit entitlement, risk-based business</w:t>
      </w:r>
      <w:r w:rsidR="000D7FF0">
        <w:rPr>
          <w:rFonts w:asciiTheme="minorHAnsi" w:hAnsiTheme="minorHAnsi" w:cstheme="minorHAnsi"/>
          <w:lang w:val="en-US"/>
        </w:rPr>
        <w:t xml:space="preserve"> and its effect on depositors, banks and fund users, etc. </w:t>
      </w:r>
    </w:p>
    <w:p w:rsidR="00036A12" w:rsidRPr="00FA543C" w:rsidRDefault="00036A12" w:rsidP="00036A12">
      <w:pPr>
        <w:rPr>
          <w:rFonts w:asciiTheme="minorHAnsi" w:hAnsiTheme="minorHAnsi" w:cstheme="minorHAnsi"/>
          <w:b/>
          <w:bCs/>
          <w:lang w:val="en-US"/>
        </w:rPr>
      </w:pPr>
    </w:p>
    <w:p w:rsidR="00036A12" w:rsidRPr="008E4276" w:rsidRDefault="00036A12" w:rsidP="00036A12">
      <w:pPr>
        <w:shd w:val="clear" w:color="auto" w:fill="7030A0"/>
        <w:rPr>
          <w:rFonts w:asciiTheme="minorHAnsi" w:hAnsiTheme="minorHAnsi" w:cstheme="minorHAnsi"/>
          <w:b/>
          <w:bCs/>
          <w:color w:val="FFFFFF" w:themeColor="background1"/>
          <w:sz w:val="28"/>
          <w:szCs w:val="28"/>
          <w:lang w:val="en-US"/>
        </w:rPr>
      </w:pPr>
      <w:r w:rsidRPr="008E4276">
        <w:rPr>
          <w:rFonts w:asciiTheme="minorHAnsi" w:hAnsiTheme="minorHAnsi" w:cstheme="minorHAnsi"/>
          <w:b/>
          <w:bCs/>
          <w:color w:val="FFFFFF" w:themeColor="background1"/>
          <w:sz w:val="28"/>
          <w:szCs w:val="28"/>
          <w:lang w:val="en-US"/>
        </w:rPr>
        <w:t>The Philosophy of Islamic Finance</w:t>
      </w:r>
    </w:p>
    <w:p w:rsidR="00036A12" w:rsidRPr="008E4276" w:rsidRDefault="00036A12" w:rsidP="00036A12">
      <w:pPr>
        <w:rPr>
          <w:rFonts w:asciiTheme="minorHAnsi" w:hAnsiTheme="minorHAnsi" w:cstheme="minorHAnsi"/>
          <w:b/>
          <w:bCs/>
          <w:color w:val="7030A0"/>
          <w:lang w:val="en-US"/>
        </w:rPr>
      </w:pPr>
    </w:p>
    <w:p w:rsidR="00036A12" w:rsidRPr="00FA543C" w:rsidRDefault="00BD3AB6"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principles of </w:t>
      </w:r>
      <w:r w:rsidR="00036A12" w:rsidRPr="00FA543C">
        <w:rPr>
          <w:rFonts w:asciiTheme="minorHAnsi" w:hAnsiTheme="minorHAnsi" w:cstheme="minorHAnsi"/>
          <w:lang w:val="en-US"/>
        </w:rPr>
        <w:t>Islamic economics</w:t>
      </w:r>
      <w:r>
        <w:rPr>
          <w:rFonts w:asciiTheme="minorHAnsi" w:hAnsiTheme="minorHAnsi" w:cstheme="minorHAnsi"/>
          <w:lang w:val="en-US"/>
        </w:rPr>
        <w:t xml:space="preserve"> are based on some prohibitions and suggestions, which also form an integral part of Islamic finance. </w:t>
      </w:r>
      <w:r w:rsidR="00B420CF">
        <w:rPr>
          <w:rFonts w:asciiTheme="minorHAnsi" w:hAnsiTheme="minorHAnsi" w:cstheme="minorHAnsi"/>
          <w:lang w:val="en-US"/>
        </w:rPr>
        <w:t xml:space="preserve">According to verse 2:275 of the Holy Quran, the prohibition of </w:t>
      </w:r>
      <w:r w:rsidR="00B420CF" w:rsidRPr="00B420CF">
        <w:rPr>
          <w:rFonts w:asciiTheme="minorHAnsi" w:hAnsiTheme="minorHAnsi" w:cstheme="minorHAnsi"/>
          <w:i/>
          <w:lang w:val="en-US"/>
        </w:rPr>
        <w:t>Riba</w:t>
      </w:r>
      <w:r w:rsidR="00B420CF">
        <w:rPr>
          <w:rFonts w:asciiTheme="minorHAnsi" w:hAnsiTheme="minorHAnsi" w:cstheme="minorHAnsi"/>
          <w:lang w:val="en-US"/>
        </w:rPr>
        <w:t xml:space="preserve"> and permission to trade form the basis of financial activity and asset-based business transactions in an Islamic economy. In other words, financial transactions should be based on the real exchange of goods, services and benefits. Islam also prescribes a basic moral and ethical code, which is prevalent in all civilized societies.  </w:t>
      </w:r>
    </w:p>
    <w:p w:rsidR="00036A12" w:rsidRDefault="00036A12" w:rsidP="00036A12">
      <w:pPr>
        <w:autoSpaceDE w:val="0"/>
        <w:autoSpaceDN w:val="0"/>
        <w:adjustRightInd w:val="0"/>
        <w:jc w:val="center"/>
        <w:rPr>
          <w:rFonts w:asciiTheme="minorHAnsi" w:hAnsiTheme="minorHAnsi" w:cstheme="minorHAnsi"/>
          <w:lang w:val="en-US"/>
        </w:rPr>
      </w:pPr>
      <w:r>
        <w:rPr>
          <w:rFonts w:asciiTheme="minorHAnsi" w:hAnsiTheme="minorHAnsi" w:cstheme="minorHAnsi"/>
          <w:noProof/>
        </w:rPr>
        <w:lastRenderedPageBreak/>
        <w:drawing>
          <wp:inline distT="0" distB="0" distL="0" distR="0">
            <wp:extent cx="3027872" cy="2156604"/>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036A12" w:rsidRDefault="00036A12" w:rsidP="00036A12">
      <w:pPr>
        <w:autoSpaceDE w:val="0"/>
        <w:autoSpaceDN w:val="0"/>
        <w:adjustRightInd w:val="0"/>
        <w:jc w:val="center"/>
        <w:rPr>
          <w:rFonts w:asciiTheme="minorHAnsi" w:hAnsiTheme="minorHAnsi" w:cstheme="minorHAnsi"/>
          <w:lang w:val="en-US"/>
        </w:rPr>
      </w:pPr>
    </w:p>
    <w:p w:rsidR="00036A12" w:rsidRPr="00FA543C" w:rsidRDefault="00036A12" w:rsidP="00036A12">
      <w:pPr>
        <w:autoSpaceDE w:val="0"/>
        <w:autoSpaceDN w:val="0"/>
        <w:adjustRightInd w:val="0"/>
        <w:jc w:val="center"/>
        <w:rPr>
          <w:rFonts w:asciiTheme="minorHAnsi" w:hAnsiTheme="minorHAnsi" w:cstheme="minorHAnsi"/>
          <w:lang w:val="en-US"/>
        </w:rPr>
      </w:pPr>
      <w:r>
        <w:rPr>
          <w:rFonts w:asciiTheme="minorHAnsi" w:hAnsiTheme="minorHAnsi" w:cstheme="minorHAnsi"/>
          <w:lang w:val="en-US"/>
        </w:rPr>
        <w:t>Fig: 3.1</w:t>
      </w:r>
    </w:p>
    <w:p w:rsidR="00036A12" w:rsidRDefault="00036A12" w:rsidP="00036A12">
      <w:pPr>
        <w:autoSpaceDE w:val="0"/>
        <w:autoSpaceDN w:val="0"/>
        <w:adjustRightInd w:val="0"/>
        <w:jc w:val="both"/>
        <w:rPr>
          <w:rFonts w:asciiTheme="minorHAnsi" w:hAnsiTheme="minorHAnsi" w:cstheme="minorHAnsi"/>
          <w:lang w:val="en-US"/>
        </w:rPr>
      </w:pPr>
    </w:p>
    <w:p w:rsidR="00036A12" w:rsidRPr="00FA543C" w:rsidRDefault="00800583" w:rsidP="00036A12">
      <w:pPr>
        <w:autoSpaceDE w:val="0"/>
        <w:autoSpaceDN w:val="0"/>
        <w:adjustRightInd w:val="0"/>
        <w:jc w:val="both"/>
        <w:rPr>
          <w:rFonts w:asciiTheme="minorHAnsi" w:hAnsiTheme="minorHAnsi" w:cstheme="minorHAnsi"/>
          <w:lang w:val="en-US"/>
        </w:rPr>
      </w:pPr>
      <w:r w:rsidRPr="00175792">
        <w:rPr>
          <w:rFonts w:asciiTheme="minorHAnsi" w:hAnsiTheme="minorHAnsi" w:cstheme="minorHAnsi"/>
          <w:i/>
          <w:lang w:val="en-US"/>
        </w:rPr>
        <w:t>Riba,</w:t>
      </w:r>
      <w:r>
        <w:rPr>
          <w:rFonts w:asciiTheme="minorHAnsi" w:hAnsiTheme="minorHAnsi" w:cstheme="minorHAnsi"/>
          <w:lang w:val="en-US"/>
        </w:rPr>
        <w:t xml:space="preserve"> also </w:t>
      </w:r>
      <w:r w:rsidR="00175792">
        <w:rPr>
          <w:rFonts w:asciiTheme="minorHAnsi" w:hAnsiTheme="minorHAnsi" w:cstheme="minorHAnsi"/>
          <w:lang w:val="en-US"/>
        </w:rPr>
        <w:t xml:space="preserve">known as interest, is an increase taken in the form of premium from a debtor. It includes any return on a transaction related to exchange of money, or an addition in the agreed price on sale of debt/debts on account of delayed payment. It is prohibited in </w:t>
      </w:r>
      <w:r w:rsidR="00175792" w:rsidRPr="00175792">
        <w:rPr>
          <w:rFonts w:asciiTheme="minorHAnsi" w:hAnsiTheme="minorHAnsi" w:cstheme="minorHAnsi"/>
          <w:i/>
          <w:lang w:val="en-US"/>
        </w:rPr>
        <w:t>Shari’a</w:t>
      </w:r>
      <w:r w:rsidR="00175792">
        <w:rPr>
          <w:rFonts w:asciiTheme="minorHAnsi" w:hAnsiTheme="minorHAnsi" w:cstheme="minorHAnsi"/>
          <w:lang w:val="en-US"/>
        </w:rPr>
        <w:t xml:space="preserve"> as it creates imbalances in the economy. Therefore, the basic structure of Islamic finance is established on this prohibition of </w:t>
      </w:r>
      <w:r w:rsidR="00175792" w:rsidRPr="00175792">
        <w:rPr>
          <w:rFonts w:asciiTheme="minorHAnsi" w:hAnsiTheme="minorHAnsi" w:cstheme="minorHAnsi"/>
          <w:i/>
          <w:lang w:val="en-US"/>
        </w:rPr>
        <w:t>Riba</w:t>
      </w:r>
      <w:r w:rsidR="00175792">
        <w:rPr>
          <w:rFonts w:asciiTheme="minorHAnsi" w:hAnsiTheme="minorHAnsi" w:cstheme="minorHAnsi"/>
          <w:lang w:val="en-US"/>
        </w:rPr>
        <w:t xml:space="preserve"> (any profit, or return earned on a debt/loan) and the legality of profit. Based on this principle, debt contracts cannot be sold at a premium or discount and all transactions involving exchange of money, goods, gold or silver must be equal</w:t>
      </w:r>
      <w:r w:rsidR="00BD4263">
        <w:rPr>
          <w:rFonts w:asciiTheme="minorHAnsi" w:hAnsiTheme="minorHAnsi" w:cstheme="minorHAnsi"/>
          <w:lang w:val="en-US"/>
        </w:rPr>
        <w:t>-for-equal</w:t>
      </w:r>
      <w:r w:rsidR="00175792">
        <w:rPr>
          <w:rFonts w:asciiTheme="minorHAnsi" w:hAnsiTheme="minorHAnsi" w:cstheme="minorHAnsi"/>
          <w:lang w:val="en-US"/>
        </w:rPr>
        <w:t xml:space="preserve"> and hand-to-hand. </w:t>
      </w:r>
    </w:p>
    <w:p w:rsidR="00036A12" w:rsidRPr="00FA543C" w:rsidRDefault="00036A12" w:rsidP="00036A12">
      <w:pPr>
        <w:autoSpaceDE w:val="0"/>
        <w:autoSpaceDN w:val="0"/>
        <w:adjustRightInd w:val="0"/>
        <w:rPr>
          <w:rFonts w:asciiTheme="minorHAnsi" w:hAnsiTheme="minorHAnsi" w:cstheme="minorHAnsi"/>
          <w:lang w:val="en-US"/>
        </w:rPr>
      </w:pPr>
    </w:p>
    <w:p w:rsidR="00036A12" w:rsidRPr="00FA543C" w:rsidRDefault="00BD4263"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“Equal-for-equal” implies that an increase in the value of only one side of transaction would be </w:t>
      </w:r>
      <w:r>
        <w:rPr>
          <w:rFonts w:asciiTheme="minorHAnsi" w:hAnsiTheme="minorHAnsi" w:cstheme="minorHAnsi"/>
          <w:i/>
          <w:lang w:val="en-US"/>
        </w:rPr>
        <w:t xml:space="preserve">Riba. </w:t>
      </w:r>
      <w:r>
        <w:rPr>
          <w:rFonts w:asciiTheme="minorHAnsi" w:hAnsiTheme="minorHAnsi" w:cstheme="minorHAnsi"/>
          <w:lang w:val="en-US"/>
        </w:rPr>
        <w:t xml:space="preserve">Furthermore, the transaction must also be hand-to-hand, meaning that a person must not be benefitting by the use of money that he/she has received, while the counterpart has not received any value from the transaction. Both parties must derive value from the transaction at the same time.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D45CD8"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According to Islamic finance, a loan is a strictly monetary transaction where funds or money exchange hands without a promise of any return for the creditor over and above the full value of the loan. A loan cannot be considered an investment. An investment, according to Islamic principles, entails a real activity and therefore is not merely a monetary transaction. Hence, purchasing a government issued bond, or depositing money in a conventional bank is not considered an investment as no real activity is involved.</w:t>
      </w:r>
    </w:p>
    <w:p w:rsidR="00036A12" w:rsidRPr="00FA543C" w:rsidRDefault="00036A12" w:rsidP="00036A12">
      <w:pPr>
        <w:autoSpaceDE w:val="0"/>
        <w:autoSpaceDN w:val="0"/>
        <w:adjustRightInd w:val="0"/>
        <w:jc w:val="both"/>
        <w:rPr>
          <w:rFonts w:asciiTheme="minorHAnsi" w:hAnsiTheme="minorHAnsi" w:cstheme="minorHAnsi"/>
          <w:lang w:val="en-US"/>
        </w:rPr>
      </w:pPr>
    </w:p>
    <w:p w:rsidR="000B6E0E" w:rsidRDefault="000B6E0E"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buying and selling of a financial document for profit is not categorized as an investment because no real activity is involved in this monetary transaction. Although, any return or profit on real investment is permissible. So for example, if money </w:t>
      </w:r>
      <w:r w:rsidR="000E127C">
        <w:rPr>
          <w:rFonts w:asciiTheme="minorHAnsi" w:hAnsiTheme="minorHAnsi" w:cstheme="minorHAnsi"/>
          <w:lang w:val="en-US"/>
        </w:rPr>
        <w:t>were</w:t>
      </w:r>
      <w:r>
        <w:rPr>
          <w:rFonts w:asciiTheme="minorHAnsi" w:hAnsiTheme="minorHAnsi" w:cstheme="minorHAnsi"/>
          <w:lang w:val="en-US"/>
        </w:rPr>
        <w:t xml:space="preserve"> used to purchase</w:t>
      </w:r>
      <w:r w:rsidR="000E127C">
        <w:rPr>
          <w:rFonts w:asciiTheme="minorHAnsi" w:hAnsiTheme="minorHAnsi" w:cstheme="minorHAnsi"/>
          <w:lang w:val="en-US"/>
        </w:rPr>
        <w:t xml:space="preserve"> real goods or services, which we</w:t>
      </w:r>
      <w:r>
        <w:rPr>
          <w:rFonts w:asciiTheme="minorHAnsi" w:hAnsiTheme="minorHAnsi" w:cstheme="minorHAnsi"/>
          <w:lang w:val="en-US"/>
        </w:rPr>
        <w:t xml:space="preserve">re then sold at a profit then the use of this money would be called investment. If the funds used for buying or creating a physical asset were borrowed on interest then it would be not be permissible according to Islamic principles. </w:t>
      </w:r>
    </w:p>
    <w:p w:rsidR="000B6E0E" w:rsidRDefault="000B6E0E"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In</w:t>
      </w:r>
      <w:r w:rsidR="000E127C">
        <w:rPr>
          <w:rFonts w:asciiTheme="minorHAnsi" w:hAnsiTheme="minorHAnsi" w:cstheme="minorHAnsi"/>
          <w:lang w:val="en-US"/>
        </w:rPr>
        <w:t xml:space="preserve"> a transaction involving loans, an equal amount must exchange hands. </w:t>
      </w:r>
      <w:r w:rsidR="00F47BD1">
        <w:rPr>
          <w:rFonts w:asciiTheme="minorHAnsi" w:hAnsiTheme="minorHAnsi" w:cstheme="minorHAnsi"/>
          <w:lang w:val="en-US"/>
        </w:rPr>
        <w:t xml:space="preserve">In case of a fungible commodity like money, the exact amount of money borrowed must be repaid. On the other hand in the case of non-fungible goods, the contract is required to be made </w:t>
      </w:r>
      <w:r w:rsidR="00F47BD1">
        <w:rPr>
          <w:rFonts w:asciiTheme="minorHAnsi" w:hAnsiTheme="minorHAnsi" w:cstheme="minorHAnsi"/>
          <w:lang w:val="en-US"/>
        </w:rPr>
        <w:lastRenderedPageBreak/>
        <w:t xml:space="preserve">in monetary terms. </w:t>
      </w:r>
      <w:r w:rsidRPr="00FA543C">
        <w:rPr>
          <w:rFonts w:asciiTheme="minorHAnsi" w:hAnsiTheme="minorHAnsi" w:cstheme="minorHAnsi"/>
          <w:lang w:val="en-US"/>
        </w:rPr>
        <w:t xml:space="preserve"> </w:t>
      </w:r>
      <w:r w:rsidR="00B045D0">
        <w:rPr>
          <w:rFonts w:asciiTheme="minorHAnsi" w:hAnsiTheme="minorHAnsi" w:cstheme="minorHAnsi"/>
          <w:lang w:val="en-US"/>
        </w:rPr>
        <w:t xml:space="preserve">The excess payment of two similar goods involved in a transaction is also prohibited even if it is a sale transaction and not a loan. For example, if someone borrowed a ton of wheat or </w:t>
      </w:r>
      <w:r w:rsidR="00B045D0">
        <w:rPr>
          <w:rFonts w:ascii="Cambria" w:hAnsi="Cambria" w:cstheme="minorHAnsi"/>
          <w:lang w:val="en-US"/>
        </w:rPr>
        <w:t>$</w:t>
      </w:r>
      <w:r w:rsidR="00B045D0">
        <w:rPr>
          <w:rFonts w:asciiTheme="minorHAnsi" w:hAnsiTheme="minorHAnsi" w:cstheme="minorHAnsi"/>
          <w:lang w:val="en-US"/>
        </w:rPr>
        <w:t xml:space="preserve">1000, he/she would have to repay a ton of wheat or </w:t>
      </w:r>
      <w:r w:rsidR="00B045D0">
        <w:rPr>
          <w:rFonts w:ascii="Cambria" w:hAnsi="Cambria" w:cstheme="minorHAnsi"/>
          <w:lang w:val="en-US"/>
        </w:rPr>
        <w:t xml:space="preserve">$1000. Any excess payment would be usury or </w:t>
      </w:r>
      <w:r w:rsidR="00B045D0">
        <w:rPr>
          <w:rFonts w:ascii="Cambria" w:hAnsi="Cambria" w:cstheme="minorHAnsi"/>
          <w:i/>
          <w:lang w:val="en-US"/>
        </w:rPr>
        <w:t>Riba.</w:t>
      </w:r>
      <w:r w:rsidR="00B045D0">
        <w:rPr>
          <w:rFonts w:asciiTheme="minorHAnsi" w:hAnsiTheme="minorHAnsi" w:cstheme="minorHAnsi"/>
          <w:lang w:val="en-US"/>
        </w:rPr>
        <w:t xml:space="preserve">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2F6B7C"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Holy Prophet (PBUH) </w:t>
      </w:r>
      <w:r w:rsidR="006B58A4">
        <w:rPr>
          <w:rFonts w:asciiTheme="minorHAnsi" w:hAnsiTheme="minorHAnsi" w:cstheme="minorHAnsi"/>
          <w:lang w:val="en-US"/>
        </w:rPr>
        <w:t xml:space="preserve">declared </w:t>
      </w:r>
      <w:r w:rsidR="00B045D0">
        <w:rPr>
          <w:rFonts w:asciiTheme="minorHAnsi" w:hAnsiTheme="minorHAnsi" w:cstheme="minorHAnsi"/>
          <w:i/>
          <w:lang w:val="en-US"/>
        </w:rPr>
        <w:t xml:space="preserve">Thaman </w:t>
      </w:r>
      <w:r w:rsidR="00B045D0">
        <w:rPr>
          <w:rFonts w:asciiTheme="minorHAnsi" w:hAnsiTheme="minorHAnsi" w:cstheme="minorHAnsi"/>
          <w:lang w:val="en-US"/>
        </w:rPr>
        <w:t>(</w:t>
      </w:r>
      <w:r>
        <w:rPr>
          <w:rFonts w:asciiTheme="minorHAnsi" w:hAnsiTheme="minorHAnsi" w:cstheme="minorHAnsi"/>
          <w:lang w:val="en-US"/>
        </w:rPr>
        <w:t xml:space="preserve">the </w:t>
      </w:r>
      <w:r w:rsidR="00B045D0">
        <w:rPr>
          <w:rFonts w:asciiTheme="minorHAnsi" w:hAnsiTheme="minorHAnsi" w:cstheme="minorHAnsi"/>
          <w:lang w:val="en-US"/>
        </w:rPr>
        <w:t>price</w:t>
      </w:r>
      <w:r>
        <w:rPr>
          <w:rFonts w:asciiTheme="minorHAnsi" w:hAnsiTheme="minorHAnsi" w:cstheme="minorHAnsi"/>
          <w:lang w:val="en-US"/>
        </w:rPr>
        <w:t xml:space="preserve"> of a good or service</w:t>
      </w:r>
      <w:r w:rsidR="00B045D0">
        <w:rPr>
          <w:rFonts w:asciiTheme="minorHAnsi" w:hAnsiTheme="minorHAnsi" w:cstheme="minorHAnsi"/>
          <w:lang w:val="en-US"/>
        </w:rPr>
        <w:t>)</w:t>
      </w:r>
      <w:r>
        <w:rPr>
          <w:rFonts w:asciiTheme="minorHAnsi" w:hAnsiTheme="minorHAnsi" w:cstheme="minorHAnsi"/>
          <w:lang w:val="en-US"/>
        </w:rPr>
        <w:t xml:space="preserve"> in the form of currency notes</w:t>
      </w:r>
      <w:r w:rsidR="006B58A4">
        <w:rPr>
          <w:rFonts w:asciiTheme="minorHAnsi" w:hAnsiTheme="minorHAnsi" w:cstheme="minorHAnsi"/>
          <w:lang w:val="en-US"/>
        </w:rPr>
        <w:t xml:space="preserve"> as a means of trading, a usurious practice</w:t>
      </w:r>
      <w:r>
        <w:rPr>
          <w:rFonts w:asciiTheme="minorHAnsi" w:hAnsiTheme="minorHAnsi" w:cstheme="minorHAnsi"/>
          <w:lang w:val="en-US"/>
        </w:rPr>
        <w:t xml:space="preserve">. It is only acceptable if exchanged hand-to-hand and equal-for-equal. </w:t>
      </w:r>
      <w:r w:rsidR="00B045D0">
        <w:rPr>
          <w:rFonts w:asciiTheme="minorHAnsi" w:hAnsiTheme="minorHAnsi" w:cstheme="minorHAnsi"/>
          <w:lang w:val="en-US"/>
        </w:rPr>
        <w:t xml:space="preserve"> </w:t>
      </w:r>
    </w:p>
    <w:p w:rsidR="00036A12" w:rsidRPr="00FA543C" w:rsidRDefault="00036A12" w:rsidP="00036A12">
      <w:pPr>
        <w:autoSpaceDE w:val="0"/>
        <w:autoSpaceDN w:val="0"/>
        <w:adjustRightInd w:val="0"/>
        <w:jc w:val="both"/>
        <w:rPr>
          <w:rFonts w:asciiTheme="minorHAnsi" w:hAnsiTheme="minorHAnsi" w:cstheme="minorHAnsi"/>
          <w:lang w:val="en-US"/>
        </w:rPr>
      </w:pPr>
    </w:p>
    <w:p w:rsidR="00046D2C" w:rsidRDefault="006B58A4"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Moreover, the principles of Islamic finance do not approve of excessive risk taking and games of chance, which can cause a loss to one or both parties involved in the contract and are a bad influence on the society as a whole. In other words, a party to a contract must have a fair idea of what they are giving and </w:t>
      </w:r>
      <w:r w:rsidR="00EF7EDF">
        <w:rPr>
          <w:rFonts w:asciiTheme="minorHAnsi" w:hAnsiTheme="minorHAnsi" w:cstheme="minorHAnsi"/>
          <w:lang w:val="en-US"/>
        </w:rPr>
        <w:t xml:space="preserve">the </w:t>
      </w:r>
      <w:r>
        <w:rPr>
          <w:rFonts w:asciiTheme="minorHAnsi" w:hAnsiTheme="minorHAnsi" w:cstheme="minorHAnsi"/>
          <w:lang w:val="en-US"/>
        </w:rPr>
        <w:t xml:space="preserve">value or amount </w:t>
      </w:r>
      <w:r w:rsidR="00EF7EDF">
        <w:rPr>
          <w:rFonts w:asciiTheme="minorHAnsi" w:hAnsiTheme="minorHAnsi" w:cstheme="minorHAnsi"/>
          <w:lang w:val="en-US"/>
        </w:rPr>
        <w:t xml:space="preserve">that </w:t>
      </w:r>
      <w:r>
        <w:rPr>
          <w:rFonts w:asciiTheme="minorHAnsi" w:hAnsiTheme="minorHAnsi" w:cstheme="minorHAnsi"/>
          <w:lang w:val="en-US"/>
        </w:rPr>
        <w:t xml:space="preserve">they are receiving in return. </w:t>
      </w:r>
      <w:r w:rsidR="00EF7EDF">
        <w:rPr>
          <w:rFonts w:asciiTheme="minorHAnsi" w:hAnsiTheme="minorHAnsi" w:cstheme="minorHAnsi"/>
          <w:lang w:val="en-US"/>
        </w:rPr>
        <w:t xml:space="preserve">Therefore, </w:t>
      </w:r>
      <w:r w:rsidR="00046D2C">
        <w:rPr>
          <w:rFonts w:asciiTheme="minorHAnsi" w:hAnsiTheme="minorHAnsi" w:cstheme="minorHAnsi"/>
          <w:lang w:val="en-US"/>
        </w:rPr>
        <w:t xml:space="preserve">integral aspects of Islamic finance include certainty about the nature of an exchange, transparency, disclosure of all contractual terms and conditions, and free consent of the parties entering into a contract. </w:t>
      </w:r>
    </w:p>
    <w:p w:rsidR="00046D2C" w:rsidRDefault="00046D2C" w:rsidP="00036A12">
      <w:pPr>
        <w:autoSpaceDE w:val="0"/>
        <w:autoSpaceDN w:val="0"/>
        <w:adjustRightInd w:val="0"/>
        <w:jc w:val="both"/>
        <w:rPr>
          <w:rFonts w:asciiTheme="minorHAnsi" w:hAnsiTheme="minorHAnsi" w:cstheme="minorHAnsi"/>
          <w:lang w:val="en-US"/>
        </w:rPr>
      </w:pPr>
    </w:p>
    <w:p w:rsidR="00036A12" w:rsidRPr="00FA543C" w:rsidRDefault="00046D2C"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Some of the fundamental principles of</w:t>
      </w:r>
      <w:r w:rsidR="00B233CA">
        <w:rPr>
          <w:rFonts w:asciiTheme="minorHAnsi" w:hAnsiTheme="minorHAnsi" w:cstheme="minorHAnsi"/>
          <w:lang w:val="en-US"/>
        </w:rPr>
        <w:t xml:space="preserve"> Islamic finance are discussed i</w:t>
      </w:r>
      <w:r>
        <w:rPr>
          <w:rFonts w:asciiTheme="minorHAnsi" w:hAnsiTheme="minorHAnsi" w:cstheme="minorHAnsi"/>
          <w:lang w:val="en-US"/>
        </w:rPr>
        <w:t xml:space="preserve">n detail below. </w:t>
      </w:r>
    </w:p>
    <w:p w:rsidR="00036A12" w:rsidRPr="00FA543C" w:rsidRDefault="00036A12" w:rsidP="00036A12">
      <w:pPr>
        <w:rPr>
          <w:rFonts w:asciiTheme="minorHAnsi" w:hAnsiTheme="minorHAnsi" w:cstheme="minorHAnsi"/>
          <w:lang w:val="en-US"/>
        </w:rPr>
      </w:pPr>
    </w:p>
    <w:p w:rsidR="00036A12" w:rsidRPr="001E14E3"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Avoiding Interest</w:t>
      </w:r>
    </w:p>
    <w:p w:rsidR="00036A12" w:rsidRPr="00FA543C" w:rsidRDefault="00036A12" w:rsidP="00036A12">
      <w:pPr>
        <w:autoSpaceDE w:val="0"/>
        <w:autoSpaceDN w:val="0"/>
        <w:adjustRightInd w:val="0"/>
        <w:rPr>
          <w:rFonts w:asciiTheme="minorHAnsi" w:hAnsiTheme="minorHAnsi" w:cstheme="minorHAnsi"/>
          <w:b/>
          <w:bCs/>
          <w:lang w:val="en-US"/>
        </w:rPr>
      </w:pPr>
    </w:p>
    <w:p w:rsidR="00036A12" w:rsidRDefault="00B233CA"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In accordance with the Quranic verses </w:t>
      </w:r>
      <w:r w:rsidRPr="00FA543C">
        <w:rPr>
          <w:rFonts w:asciiTheme="minorHAnsi" w:hAnsiTheme="minorHAnsi" w:cstheme="minorHAnsi"/>
          <w:lang w:val="en-US"/>
        </w:rPr>
        <w:t xml:space="preserve">(II: 275, 279), </w:t>
      </w:r>
      <w:r>
        <w:rPr>
          <w:rFonts w:asciiTheme="minorHAnsi" w:hAnsiTheme="minorHAnsi" w:cstheme="minorHAnsi"/>
          <w:lang w:val="en-US"/>
        </w:rPr>
        <w:t xml:space="preserve">jurists and scholars have established a criterion that is compliant with the </w:t>
      </w:r>
      <w:r>
        <w:rPr>
          <w:rFonts w:asciiTheme="minorHAnsi" w:hAnsiTheme="minorHAnsi" w:cstheme="minorHAnsi"/>
          <w:i/>
          <w:lang w:val="en-US"/>
        </w:rPr>
        <w:t xml:space="preserve">Shari’a </w:t>
      </w:r>
      <w:r>
        <w:rPr>
          <w:rFonts w:asciiTheme="minorHAnsi" w:hAnsiTheme="minorHAnsi" w:cstheme="minorHAnsi"/>
          <w:lang w:val="en-US"/>
        </w:rPr>
        <w:t>and forms the fundamental base of Islamic finance. Avoiding interest or any profit earned on loans or debts (</w:t>
      </w:r>
      <w:r>
        <w:rPr>
          <w:rFonts w:asciiTheme="minorHAnsi" w:hAnsiTheme="minorHAnsi" w:cstheme="minorHAnsi"/>
          <w:i/>
          <w:lang w:val="en-US"/>
        </w:rPr>
        <w:t>Riba</w:t>
      </w:r>
      <w:r>
        <w:rPr>
          <w:rFonts w:asciiTheme="minorHAnsi" w:hAnsiTheme="minorHAnsi" w:cstheme="minorHAnsi"/>
          <w:lang w:val="en-US"/>
        </w:rPr>
        <w:t xml:space="preserve">) is an integral feature of this criterion. In other words, according to the </w:t>
      </w:r>
      <w:r>
        <w:rPr>
          <w:rFonts w:asciiTheme="minorHAnsi" w:hAnsiTheme="minorHAnsi" w:cstheme="minorHAnsi"/>
          <w:i/>
          <w:lang w:val="en-US"/>
        </w:rPr>
        <w:t xml:space="preserve">Shari’a </w:t>
      </w:r>
      <w:r>
        <w:rPr>
          <w:rFonts w:asciiTheme="minorHAnsi" w:hAnsiTheme="minorHAnsi" w:cstheme="minorHAnsi"/>
          <w:lang w:val="en-US"/>
        </w:rPr>
        <w:t xml:space="preserve">a lender must lend money or goods to the borrower for the agreed period of the loan without charging any extra amount upon the return of the lent amount. Therefore, according to this principle, Islamic banks must not enter into credit transactions where they are earning money over and above the principle amount of the debt/loan. However, earning profit on the buying or selling of goods, either on cash or credit, is permissible. </w:t>
      </w:r>
      <w:r w:rsidR="008C04FE">
        <w:rPr>
          <w:rFonts w:asciiTheme="minorHAnsi" w:hAnsiTheme="minorHAnsi" w:cstheme="minorHAnsi"/>
          <w:lang w:val="en-US"/>
        </w:rPr>
        <w:t xml:space="preserve">Similarly, while charging an additional amount over and above the principle amount of the debt created as a result of a credit sale transaction is prohibited, pricing the good according to the time allowed for payment of the price is permissible.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8C04FE"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In simpler words, once a debt is created through a credit transaction, the seller is not allowed to demand more than the original credit price that is specified in the sale contract or in any other contracts. </w:t>
      </w:r>
    </w:p>
    <w:p w:rsidR="00036A12" w:rsidRPr="00FA543C" w:rsidRDefault="00036A12" w:rsidP="00036A12">
      <w:pPr>
        <w:rPr>
          <w:rFonts w:asciiTheme="minorHAnsi" w:hAnsiTheme="minorHAnsi" w:cstheme="minorHAnsi"/>
          <w:lang w:val="en-US"/>
        </w:rPr>
      </w:pPr>
    </w:p>
    <w:p w:rsidR="00036A12"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 xml:space="preserve">Avoiding </w:t>
      </w:r>
      <w:r w:rsidRPr="00EE7173">
        <w:rPr>
          <w:rFonts w:asciiTheme="minorHAnsi" w:hAnsiTheme="minorHAnsi" w:cstheme="minorHAnsi"/>
          <w:b/>
          <w:bCs/>
          <w:i/>
          <w:color w:val="7030A0"/>
          <w:lang w:val="en-US"/>
        </w:rPr>
        <w:t>Gharar</w:t>
      </w:r>
    </w:p>
    <w:p w:rsidR="00036A12" w:rsidRPr="001E14E3" w:rsidRDefault="00036A12" w:rsidP="00036A12">
      <w:pPr>
        <w:autoSpaceDE w:val="0"/>
        <w:autoSpaceDN w:val="0"/>
        <w:adjustRightInd w:val="0"/>
        <w:rPr>
          <w:rFonts w:asciiTheme="minorHAnsi" w:hAnsiTheme="minorHAnsi" w:cstheme="minorHAnsi"/>
          <w:b/>
          <w:bCs/>
          <w:color w:val="7030A0"/>
          <w:lang w:val="en-US"/>
        </w:rPr>
      </w:pPr>
    </w:p>
    <w:p w:rsidR="00BC7365" w:rsidRDefault="00EE7173" w:rsidP="00036A12">
      <w:pPr>
        <w:autoSpaceDE w:val="0"/>
        <w:autoSpaceDN w:val="0"/>
        <w:adjustRightInd w:val="0"/>
        <w:jc w:val="both"/>
        <w:rPr>
          <w:rFonts w:asciiTheme="minorHAnsi" w:hAnsiTheme="minorHAnsi" w:cstheme="minorHAnsi"/>
          <w:lang w:val="en-US"/>
        </w:rPr>
      </w:pPr>
      <w:r>
        <w:rPr>
          <w:rFonts w:asciiTheme="minorHAnsi" w:hAnsiTheme="minorHAnsi" w:cstheme="minorHAnsi"/>
          <w:i/>
          <w:lang w:val="en-US"/>
        </w:rPr>
        <w:t xml:space="preserve">Gharar </w:t>
      </w:r>
      <w:r>
        <w:rPr>
          <w:rFonts w:asciiTheme="minorHAnsi" w:hAnsiTheme="minorHAnsi" w:cstheme="minorHAnsi"/>
          <w:lang w:val="en-US"/>
        </w:rPr>
        <w:t xml:space="preserve">refers to the practice of </w:t>
      </w:r>
      <w:r w:rsidR="00394EF3">
        <w:rPr>
          <w:rFonts w:asciiTheme="minorHAnsi" w:hAnsiTheme="minorHAnsi" w:cstheme="minorHAnsi"/>
          <w:lang w:val="en-US"/>
        </w:rPr>
        <w:t xml:space="preserve">entering into a contract with high risk or absolute uncertainty regarding the result of the contract, the nature or quality of the terms of the contract, the subject matter, and the rights/obligations of the parties entering into the contract. Therefore </w:t>
      </w:r>
      <w:r w:rsidR="00394EF3">
        <w:rPr>
          <w:rFonts w:asciiTheme="minorHAnsi" w:hAnsiTheme="minorHAnsi" w:cstheme="minorHAnsi"/>
          <w:i/>
          <w:lang w:val="en-US"/>
        </w:rPr>
        <w:t xml:space="preserve">gharar </w:t>
      </w:r>
      <w:r w:rsidR="00394EF3">
        <w:rPr>
          <w:rFonts w:asciiTheme="minorHAnsi" w:hAnsiTheme="minorHAnsi" w:cstheme="minorHAnsi"/>
          <w:lang w:val="en-US"/>
        </w:rPr>
        <w:t>gives rise to incomplete information (</w:t>
      </w:r>
      <w:r w:rsidR="00394EF3">
        <w:rPr>
          <w:rFonts w:asciiTheme="minorHAnsi" w:hAnsiTheme="minorHAnsi" w:cstheme="minorHAnsi"/>
          <w:i/>
          <w:lang w:val="en-US"/>
        </w:rPr>
        <w:t>Jahl</w:t>
      </w:r>
      <w:r w:rsidR="00394EF3">
        <w:rPr>
          <w:rFonts w:asciiTheme="minorHAnsi" w:hAnsiTheme="minorHAnsi" w:cstheme="minorHAnsi"/>
          <w:lang w:val="en-US"/>
        </w:rPr>
        <w:t>) or inaccuracy of important information, which can result in uncertainty and possible exploitation of a party to the contract. Deceit, fraud and willful withholding of important or relevant</w:t>
      </w:r>
      <w:r w:rsidR="006A1182">
        <w:rPr>
          <w:rFonts w:asciiTheme="minorHAnsi" w:hAnsiTheme="minorHAnsi" w:cstheme="minorHAnsi"/>
          <w:lang w:val="en-US"/>
        </w:rPr>
        <w:t xml:space="preserve"> information also qualify</w:t>
      </w:r>
      <w:r w:rsidR="00394EF3">
        <w:rPr>
          <w:rFonts w:asciiTheme="minorHAnsi" w:hAnsiTheme="minorHAnsi" w:cstheme="minorHAnsi"/>
          <w:lang w:val="en-US"/>
        </w:rPr>
        <w:t xml:space="preserve"> as </w:t>
      </w:r>
      <w:r w:rsidR="00394EF3">
        <w:rPr>
          <w:rFonts w:asciiTheme="minorHAnsi" w:hAnsiTheme="minorHAnsi" w:cstheme="minorHAnsi"/>
          <w:i/>
          <w:lang w:val="en-US"/>
        </w:rPr>
        <w:t xml:space="preserve">gharar </w:t>
      </w:r>
      <w:r w:rsidR="00394EF3">
        <w:rPr>
          <w:rFonts w:asciiTheme="minorHAnsi" w:hAnsiTheme="minorHAnsi" w:cstheme="minorHAnsi"/>
          <w:lang w:val="en-US"/>
        </w:rPr>
        <w:t xml:space="preserve">and </w:t>
      </w:r>
      <w:r w:rsidR="00434141">
        <w:rPr>
          <w:rFonts w:asciiTheme="minorHAnsi" w:hAnsiTheme="minorHAnsi" w:cstheme="minorHAnsi"/>
          <w:lang w:val="en-US"/>
        </w:rPr>
        <w:t>are</w:t>
      </w:r>
      <w:r w:rsidR="00394EF3">
        <w:rPr>
          <w:rFonts w:asciiTheme="minorHAnsi" w:hAnsiTheme="minorHAnsi" w:cstheme="minorHAnsi"/>
          <w:lang w:val="en-US"/>
        </w:rPr>
        <w:t xml:space="preserve"> forbidden in the </w:t>
      </w:r>
      <w:r w:rsidR="006A1182">
        <w:rPr>
          <w:rFonts w:asciiTheme="minorHAnsi" w:hAnsiTheme="minorHAnsi" w:cstheme="minorHAnsi"/>
          <w:i/>
          <w:lang w:val="en-US"/>
        </w:rPr>
        <w:t>Shari’a.</w:t>
      </w:r>
      <w:r w:rsidR="006A1182">
        <w:rPr>
          <w:rFonts w:asciiTheme="minorHAnsi" w:hAnsiTheme="minorHAnsi" w:cstheme="minorHAnsi"/>
          <w:lang w:val="en-US"/>
        </w:rPr>
        <w:t xml:space="preserve"> </w:t>
      </w:r>
      <w:r w:rsidR="00BC7365">
        <w:rPr>
          <w:rFonts w:asciiTheme="minorHAnsi" w:hAnsiTheme="minorHAnsi" w:cstheme="minorHAnsi"/>
          <w:lang w:val="en-US"/>
        </w:rPr>
        <w:t xml:space="preserve">According to these principles, Islamic banks must not make any transactions where there is uncertainty regarding the deliverables. </w:t>
      </w:r>
    </w:p>
    <w:p w:rsidR="00036A12" w:rsidRPr="00BC7365" w:rsidRDefault="00BC7365" w:rsidP="00BC7365">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lastRenderedPageBreak/>
        <w:t xml:space="preserve">In their current form, insurance companies, financial markets, stock exchanges and options markets rely on the practices of interest, risk, gambling and </w:t>
      </w:r>
      <w:r>
        <w:rPr>
          <w:rFonts w:asciiTheme="minorHAnsi" w:hAnsiTheme="minorHAnsi" w:cstheme="minorHAnsi"/>
          <w:i/>
          <w:lang w:val="en-US"/>
        </w:rPr>
        <w:t xml:space="preserve">gharar </w:t>
      </w:r>
      <w:r>
        <w:rPr>
          <w:rFonts w:asciiTheme="minorHAnsi" w:hAnsiTheme="minorHAnsi" w:cstheme="minorHAnsi"/>
          <w:lang w:val="en-US"/>
        </w:rPr>
        <w:t xml:space="preserve">and are therefore not in conformity with Islamic financial principles. </w:t>
      </w:r>
    </w:p>
    <w:p w:rsidR="00036A12" w:rsidRDefault="00036A12" w:rsidP="00036A12">
      <w:pPr>
        <w:autoSpaceDE w:val="0"/>
        <w:autoSpaceDN w:val="0"/>
        <w:adjustRightInd w:val="0"/>
        <w:jc w:val="both"/>
        <w:rPr>
          <w:rFonts w:asciiTheme="minorHAnsi" w:hAnsiTheme="minorHAnsi" w:cstheme="minorHAnsi"/>
          <w:lang w:val="en-US"/>
        </w:rPr>
      </w:pPr>
    </w:p>
    <w:p w:rsidR="00036A12" w:rsidRPr="00FA543C" w:rsidRDefault="00BC7365"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Islamic banks are required to avoid speculative practices (i.e. trading in shares), short-selling, discounting bills and securities, and trading in unidentified items. Islamic investment banks need to be careful to ensure that </w:t>
      </w:r>
      <w:r>
        <w:rPr>
          <w:rFonts w:asciiTheme="minorHAnsi" w:hAnsiTheme="minorHAnsi" w:cstheme="minorHAnsi"/>
          <w:i/>
          <w:lang w:val="en-US"/>
        </w:rPr>
        <w:t xml:space="preserve">gharar </w:t>
      </w:r>
      <w:r>
        <w:rPr>
          <w:rFonts w:asciiTheme="minorHAnsi" w:hAnsiTheme="minorHAnsi" w:cstheme="minorHAnsi"/>
          <w:lang w:val="en-US"/>
        </w:rPr>
        <w:t xml:space="preserve">is avoided while participating in IPOs of joint stock companies. There is a possibility that asymmetry of information may occur between investors and promoters while establishing a </w:t>
      </w:r>
      <w:r w:rsidR="009D207B">
        <w:rPr>
          <w:rFonts w:asciiTheme="minorHAnsi" w:hAnsiTheme="minorHAnsi" w:cstheme="minorHAnsi"/>
          <w:lang w:val="en-US"/>
        </w:rPr>
        <w:t>company;</w:t>
      </w:r>
      <w:r>
        <w:rPr>
          <w:rFonts w:asciiTheme="minorHAnsi" w:hAnsiTheme="minorHAnsi" w:cstheme="minorHAnsi"/>
          <w:lang w:val="en-US"/>
        </w:rPr>
        <w:t xml:space="preserve"> therefore it is best to be careful in such instances. </w:t>
      </w:r>
      <w:r w:rsidR="009D207B">
        <w:rPr>
          <w:rFonts w:asciiTheme="minorHAnsi" w:hAnsiTheme="minorHAnsi" w:cstheme="minorHAnsi"/>
          <w:lang w:val="en-US"/>
        </w:rPr>
        <w:t xml:space="preserve">Islamic banks may also have to avoid trading in derivatives as that involves </w:t>
      </w:r>
      <w:r w:rsidR="009D207B">
        <w:rPr>
          <w:rFonts w:asciiTheme="minorHAnsi" w:hAnsiTheme="minorHAnsi" w:cstheme="minorHAnsi"/>
          <w:i/>
          <w:lang w:val="en-US"/>
        </w:rPr>
        <w:t xml:space="preserve">gharar </w:t>
      </w:r>
      <w:r w:rsidR="009D207B">
        <w:rPr>
          <w:rFonts w:asciiTheme="minorHAnsi" w:hAnsiTheme="minorHAnsi" w:cstheme="minorHAnsi"/>
          <w:lang w:val="en-US"/>
        </w:rPr>
        <w:t>as well.</w:t>
      </w:r>
    </w:p>
    <w:p w:rsidR="00036A12" w:rsidRPr="00FA543C" w:rsidRDefault="00036A12" w:rsidP="00036A12">
      <w:pPr>
        <w:rPr>
          <w:rFonts w:asciiTheme="minorHAnsi" w:hAnsiTheme="minorHAnsi" w:cstheme="minorHAnsi"/>
          <w:lang w:val="en-US"/>
        </w:rPr>
      </w:pPr>
    </w:p>
    <w:p w:rsidR="00036A12" w:rsidRPr="001E14E3"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Avoiding Gambling and Games of Chance</w:t>
      </w:r>
    </w:p>
    <w:p w:rsidR="00036A12" w:rsidRPr="00FA543C" w:rsidRDefault="00036A12" w:rsidP="00036A12">
      <w:pPr>
        <w:autoSpaceDE w:val="0"/>
        <w:autoSpaceDN w:val="0"/>
        <w:adjustRightInd w:val="0"/>
        <w:rPr>
          <w:rFonts w:asciiTheme="minorHAnsi" w:hAnsiTheme="minorHAnsi" w:cstheme="minorHAnsi"/>
          <w:b/>
          <w:bCs/>
          <w:lang w:val="en-US"/>
        </w:rPr>
      </w:pPr>
    </w:p>
    <w:p w:rsidR="00036A12" w:rsidRPr="00FA543C" w:rsidRDefault="00F320FD"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Financial instruments that are traded for profit, such as prize bonds, lotteries, or other coupons, which depend on an uncertain and unknown event and may result in disproportionate prizes, encouraging a number of people to participate in them are not in conformity with Islamic principles. </w:t>
      </w:r>
      <w:r w:rsidR="00EB250A">
        <w:rPr>
          <w:rFonts w:asciiTheme="minorHAnsi" w:hAnsiTheme="minorHAnsi" w:cstheme="minorHAnsi"/>
          <w:i/>
          <w:lang w:val="en-US"/>
        </w:rPr>
        <w:t xml:space="preserve">Riba </w:t>
      </w:r>
      <w:r w:rsidR="00EB250A">
        <w:rPr>
          <w:rFonts w:asciiTheme="minorHAnsi" w:hAnsiTheme="minorHAnsi" w:cstheme="minorHAnsi"/>
          <w:lang w:val="en-US"/>
        </w:rPr>
        <w:t xml:space="preserve">and </w:t>
      </w:r>
      <w:r w:rsidR="00EB250A">
        <w:rPr>
          <w:rFonts w:asciiTheme="minorHAnsi" w:hAnsiTheme="minorHAnsi" w:cstheme="minorHAnsi"/>
          <w:i/>
          <w:lang w:val="en-US"/>
        </w:rPr>
        <w:t xml:space="preserve">Qimar </w:t>
      </w:r>
      <w:r w:rsidR="00EB250A">
        <w:rPr>
          <w:rFonts w:asciiTheme="minorHAnsi" w:hAnsiTheme="minorHAnsi" w:cstheme="minorHAnsi"/>
          <w:lang w:val="en-US"/>
        </w:rPr>
        <w:t>(gambli</w:t>
      </w:r>
      <w:r w:rsidR="00AA36F5">
        <w:rPr>
          <w:rFonts w:asciiTheme="minorHAnsi" w:hAnsiTheme="minorHAnsi" w:cstheme="minorHAnsi"/>
          <w:lang w:val="en-US"/>
        </w:rPr>
        <w:t>ng) are aspects of schemes where although the investor’s money is safe, but the prizes come from interest generated through capital accumulation.</w:t>
      </w:r>
    </w:p>
    <w:p w:rsidR="00036A12" w:rsidRPr="00FA543C" w:rsidRDefault="00036A12" w:rsidP="00036A12">
      <w:pPr>
        <w:autoSpaceDE w:val="0"/>
        <w:autoSpaceDN w:val="0"/>
        <w:adjustRightInd w:val="0"/>
        <w:jc w:val="both"/>
        <w:rPr>
          <w:rFonts w:asciiTheme="minorHAnsi" w:hAnsiTheme="minorHAnsi" w:cstheme="minorHAnsi"/>
          <w:lang w:val="en-US"/>
        </w:rPr>
      </w:pPr>
    </w:p>
    <w:p w:rsidR="00CA3B87" w:rsidRPr="00CA3B87" w:rsidRDefault="00CA3B87" w:rsidP="00CA3B87">
      <w:pPr>
        <w:pStyle w:val="ListParagraph"/>
        <w:numPr>
          <w:ilvl w:val="0"/>
          <w:numId w:val="4"/>
        </w:numPr>
        <w:autoSpaceDE w:val="0"/>
        <w:autoSpaceDN w:val="0"/>
        <w:adjustRightInd w:val="0"/>
        <w:jc w:val="both"/>
        <w:rPr>
          <w:rFonts w:cstheme="minorHAnsi"/>
          <w:lang w:val="en-US"/>
        </w:rPr>
      </w:pPr>
      <w:r w:rsidRPr="00CA3B87">
        <w:rPr>
          <w:rFonts w:cstheme="minorHAnsi"/>
          <w:lang w:val="en-US"/>
        </w:rPr>
        <w:t xml:space="preserve">Other practices that are categorized as gambling, </w:t>
      </w:r>
      <w:r w:rsidRPr="00CA3B87">
        <w:rPr>
          <w:rFonts w:cstheme="minorHAnsi"/>
          <w:i/>
          <w:lang w:val="en-US"/>
        </w:rPr>
        <w:t xml:space="preserve">Riba, </w:t>
      </w:r>
      <w:r w:rsidRPr="00CA3B87">
        <w:rPr>
          <w:rFonts w:cstheme="minorHAnsi"/>
          <w:lang w:val="en-US"/>
        </w:rPr>
        <w:t xml:space="preserve">and </w:t>
      </w:r>
      <w:r w:rsidRPr="00CA3B87">
        <w:rPr>
          <w:rFonts w:cstheme="minorHAnsi"/>
          <w:i/>
          <w:lang w:val="en-US"/>
        </w:rPr>
        <w:t xml:space="preserve">Maisir </w:t>
      </w:r>
      <w:r w:rsidRPr="00CA3B87">
        <w:rPr>
          <w:rFonts w:cstheme="minorHAnsi"/>
          <w:lang w:val="en-US"/>
        </w:rPr>
        <w:t>and are hence forbidden in Islam include:</w:t>
      </w:r>
    </w:p>
    <w:p w:rsidR="00CA3B87" w:rsidRPr="00CA3B87" w:rsidRDefault="00CA3B87" w:rsidP="00CA3B87">
      <w:pPr>
        <w:pStyle w:val="ListParagraph"/>
        <w:numPr>
          <w:ilvl w:val="0"/>
          <w:numId w:val="4"/>
        </w:numPr>
        <w:autoSpaceDE w:val="0"/>
        <w:autoSpaceDN w:val="0"/>
        <w:adjustRightInd w:val="0"/>
        <w:jc w:val="both"/>
        <w:rPr>
          <w:rFonts w:cstheme="minorHAnsi"/>
          <w:lang w:val="en-US"/>
        </w:rPr>
      </w:pPr>
      <w:r w:rsidRPr="00CA3B87">
        <w:rPr>
          <w:rFonts w:cstheme="minorHAnsi"/>
          <w:lang w:val="en-US"/>
        </w:rPr>
        <w:t>Conventional banks and insurance transactions</w:t>
      </w:r>
    </w:p>
    <w:p w:rsidR="00CA3B87" w:rsidRPr="00CA3B87" w:rsidRDefault="00CA3B87" w:rsidP="00CA3B87">
      <w:pPr>
        <w:pStyle w:val="ListParagraph"/>
        <w:numPr>
          <w:ilvl w:val="0"/>
          <w:numId w:val="4"/>
        </w:numPr>
        <w:autoSpaceDE w:val="0"/>
        <w:autoSpaceDN w:val="0"/>
        <w:adjustRightInd w:val="0"/>
        <w:jc w:val="both"/>
        <w:rPr>
          <w:rFonts w:cstheme="minorHAnsi"/>
          <w:lang w:val="en-US"/>
        </w:rPr>
      </w:pPr>
      <w:r w:rsidRPr="00CA3B87">
        <w:rPr>
          <w:rFonts w:cstheme="minorHAnsi"/>
          <w:lang w:val="en-US"/>
        </w:rPr>
        <w:t>Governments or private/public sector companies generating revenue through lotteries and bonds</w:t>
      </w:r>
    </w:p>
    <w:p w:rsidR="00CA3B87" w:rsidRPr="00CA3B87" w:rsidRDefault="00CA3B87" w:rsidP="00CA3B87">
      <w:pPr>
        <w:pStyle w:val="ListParagraph"/>
        <w:numPr>
          <w:ilvl w:val="0"/>
          <w:numId w:val="4"/>
        </w:numPr>
        <w:autoSpaceDE w:val="0"/>
        <w:autoSpaceDN w:val="0"/>
        <w:adjustRightInd w:val="0"/>
        <w:jc w:val="both"/>
        <w:rPr>
          <w:rFonts w:cstheme="minorHAnsi"/>
          <w:lang w:val="en-US"/>
        </w:rPr>
      </w:pPr>
      <w:r w:rsidRPr="00CA3B87">
        <w:rPr>
          <w:rFonts w:cstheme="minorHAnsi"/>
          <w:lang w:val="en-US"/>
        </w:rPr>
        <w:t>Present futures and options contracts that are operating on the basis of price differences</w:t>
      </w:r>
    </w:p>
    <w:p w:rsidR="00CA3B87" w:rsidRDefault="00CA3B87" w:rsidP="00036A12">
      <w:pPr>
        <w:autoSpaceDE w:val="0"/>
        <w:autoSpaceDN w:val="0"/>
        <w:adjustRightInd w:val="0"/>
        <w:jc w:val="both"/>
        <w:rPr>
          <w:rFonts w:asciiTheme="minorHAnsi" w:hAnsiTheme="minorHAnsi" w:cstheme="minorHAnsi"/>
          <w:lang w:val="en-US"/>
        </w:rPr>
      </w:pPr>
    </w:p>
    <w:p w:rsidR="00036A12" w:rsidRPr="00FA543C" w:rsidRDefault="00CA3B8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Lotteries and prize bonds are more relevant to our discussion as only a very few participants win money from such schemes without sharing any liability or work, while other bondholders lose out. </w:t>
      </w:r>
    </w:p>
    <w:p w:rsidR="00036A12" w:rsidRPr="00FA543C" w:rsidRDefault="00036A12" w:rsidP="00036A12">
      <w:pPr>
        <w:rPr>
          <w:rFonts w:asciiTheme="minorHAnsi" w:hAnsiTheme="minorHAnsi" w:cstheme="minorHAnsi"/>
          <w:lang w:val="en-US"/>
        </w:rPr>
      </w:pPr>
    </w:p>
    <w:p w:rsidR="00036A12" w:rsidRPr="002E3B47" w:rsidRDefault="00036A12" w:rsidP="00036A12">
      <w:pPr>
        <w:shd w:val="clear" w:color="auto" w:fill="7030A0"/>
        <w:autoSpaceDE w:val="0"/>
        <w:autoSpaceDN w:val="0"/>
        <w:adjustRightInd w:val="0"/>
        <w:rPr>
          <w:rFonts w:asciiTheme="minorHAnsi" w:hAnsiTheme="minorHAnsi" w:cstheme="minorHAnsi"/>
          <w:b/>
          <w:bCs/>
          <w:color w:val="FFFFFF" w:themeColor="background1"/>
          <w:sz w:val="28"/>
          <w:szCs w:val="28"/>
          <w:lang w:val="en-US"/>
        </w:rPr>
      </w:pPr>
      <w:r>
        <w:rPr>
          <w:rFonts w:asciiTheme="minorHAnsi" w:hAnsiTheme="minorHAnsi" w:cstheme="minorHAnsi"/>
          <w:b/>
          <w:bCs/>
          <w:color w:val="FFFFFF" w:themeColor="background1"/>
          <w:sz w:val="28"/>
          <w:szCs w:val="28"/>
          <w:lang w:val="en-US"/>
        </w:rPr>
        <w:t xml:space="preserve"> </w:t>
      </w:r>
      <w:r w:rsidRPr="002E3B47">
        <w:rPr>
          <w:rFonts w:asciiTheme="minorHAnsi" w:hAnsiTheme="minorHAnsi" w:cstheme="minorHAnsi"/>
          <w:b/>
          <w:bCs/>
          <w:color w:val="FFFFFF" w:themeColor="background1"/>
          <w:sz w:val="28"/>
          <w:szCs w:val="28"/>
          <w:lang w:val="en-US"/>
        </w:rPr>
        <w:t>Alternative Financing Principles</w:t>
      </w:r>
    </w:p>
    <w:p w:rsidR="00036A12" w:rsidRPr="001E14E3" w:rsidRDefault="00036A12" w:rsidP="00036A12">
      <w:pPr>
        <w:autoSpaceDE w:val="0"/>
        <w:autoSpaceDN w:val="0"/>
        <w:adjustRightInd w:val="0"/>
        <w:rPr>
          <w:rFonts w:asciiTheme="minorHAnsi" w:hAnsiTheme="minorHAnsi" w:cstheme="minorHAnsi"/>
          <w:b/>
          <w:bCs/>
          <w:color w:val="7030A0"/>
          <w:lang w:val="en-US"/>
        </w:rPr>
      </w:pPr>
    </w:p>
    <w:p w:rsidR="00036A12" w:rsidRPr="00FA543C" w:rsidRDefault="00CA3B8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Islamic banks have a number of alternative financial tools to replace the system based on interest. </w:t>
      </w:r>
      <w:r w:rsidR="003654E0">
        <w:rPr>
          <w:rFonts w:asciiTheme="minorHAnsi" w:hAnsiTheme="minorHAnsi" w:cstheme="minorHAnsi"/>
          <w:lang w:val="en-US"/>
        </w:rPr>
        <w:t xml:space="preserve">These tools rely on the principle of participation and sharing, deferred trading principle for credit and forward sales, return-free loans, and a combination of other techniques. </w:t>
      </w:r>
    </w:p>
    <w:p w:rsidR="00036A12" w:rsidRDefault="00036A12" w:rsidP="00036A12">
      <w:pPr>
        <w:autoSpaceDE w:val="0"/>
        <w:autoSpaceDN w:val="0"/>
        <w:adjustRightInd w:val="0"/>
        <w:rPr>
          <w:rFonts w:asciiTheme="minorHAnsi" w:hAnsiTheme="minorHAnsi" w:cstheme="minorHAnsi"/>
          <w:lang w:val="en-US"/>
        </w:rPr>
      </w:pPr>
    </w:p>
    <w:p w:rsidR="00036A12" w:rsidRDefault="003654E0" w:rsidP="00036A12">
      <w:pPr>
        <w:autoSpaceDE w:val="0"/>
        <w:autoSpaceDN w:val="0"/>
        <w:adjustRightInd w:val="0"/>
        <w:rPr>
          <w:rFonts w:asciiTheme="minorHAnsi" w:hAnsiTheme="minorHAnsi" w:cstheme="minorHAnsi"/>
          <w:lang w:val="en-US"/>
        </w:rPr>
      </w:pPr>
      <w:r>
        <w:rPr>
          <w:rFonts w:asciiTheme="minorHAnsi" w:hAnsiTheme="minorHAnsi" w:cstheme="minorHAnsi"/>
          <w:lang w:val="en-US"/>
        </w:rPr>
        <w:t xml:space="preserve">Illustrated below are the major tools of Islamic finance as an alternative to conventional banking. </w:t>
      </w:r>
    </w:p>
    <w:p w:rsidR="00036A12" w:rsidRDefault="00036A12" w:rsidP="00036A12">
      <w:pPr>
        <w:autoSpaceDE w:val="0"/>
        <w:autoSpaceDN w:val="0"/>
        <w:adjustRightInd w:val="0"/>
        <w:jc w:val="center"/>
        <w:rPr>
          <w:rFonts w:asciiTheme="minorHAnsi" w:hAnsiTheme="minorHAnsi" w:cstheme="minorHAnsi"/>
          <w:lang w:val="en-US"/>
        </w:rPr>
      </w:pPr>
      <w:r>
        <w:rPr>
          <w:rFonts w:asciiTheme="minorHAnsi" w:hAnsiTheme="minorHAnsi" w:cstheme="minorHAnsi"/>
          <w:noProof/>
        </w:rPr>
        <w:lastRenderedPageBreak/>
        <w:drawing>
          <wp:inline distT="0" distB="0" distL="0" distR="0">
            <wp:extent cx="2622430" cy="2691441"/>
            <wp:effectExtent l="0" t="19050" r="0" b="13659"/>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036A12" w:rsidRDefault="00036A12" w:rsidP="00036A12">
      <w:pPr>
        <w:autoSpaceDE w:val="0"/>
        <w:autoSpaceDN w:val="0"/>
        <w:adjustRightInd w:val="0"/>
        <w:jc w:val="center"/>
        <w:rPr>
          <w:rFonts w:asciiTheme="minorHAnsi" w:hAnsiTheme="minorHAnsi" w:cstheme="minorHAnsi"/>
          <w:lang w:val="en-US"/>
        </w:rPr>
      </w:pPr>
    </w:p>
    <w:p w:rsidR="00036A12" w:rsidRDefault="00036A12" w:rsidP="00036A12">
      <w:pPr>
        <w:autoSpaceDE w:val="0"/>
        <w:autoSpaceDN w:val="0"/>
        <w:adjustRightInd w:val="0"/>
        <w:jc w:val="center"/>
        <w:rPr>
          <w:rFonts w:asciiTheme="minorHAnsi" w:hAnsiTheme="minorHAnsi" w:cstheme="minorHAnsi"/>
          <w:lang w:val="en-US"/>
        </w:rPr>
      </w:pPr>
      <w:r>
        <w:rPr>
          <w:rFonts w:asciiTheme="minorHAnsi" w:hAnsiTheme="minorHAnsi" w:cstheme="minorHAnsi"/>
          <w:lang w:val="en-US"/>
        </w:rPr>
        <w:t>Fig: 3.2</w:t>
      </w:r>
    </w:p>
    <w:p w:rsidR="00036A12" w:rsidRPr="00FA543C" w:rsidRDefault="00036A12" w:rsidP="00036A12">
      <w:pPr>
        <w:autoSpaceDE w:val="0"/>
        <w:autoSpaceDN w:val="0"/>
        <w:adjustRightInd w:val="0"/>
        <w:jc w:val="center"/>
        <w:rPr>
          <w:rFonts w:asciiTheme="minorHAnsi" w:hAnsiTheme="minorHAnsi" w:cstheme="minorHAnsi"/>
          <w:lang w:val="en-US"/>
        </w:rPr>
      </w:pPr>
    </w:p>
    <w:p w:rsidR="00036A12" w:rsidRDefault="00036A12" w:rsidP="00036A12">
      <w:pPr>
        <w:pStyle w:val="ListParagraph"/>
        <w:numPr>
          <w:ilvl w:val="0"/>
          <w:numId w:val="1"/>
        </w:numPr>
        <w:autoSpaceDE w:val="0"/>
        <w:autoSpaceDN w:val="0"/>
        <w:adjustRightInd w:val="0"/>
        <w:ind w:left="360"/>
        <w:jc w:val="both"/>
        <w:rPr>
          <w:rFonts w:eastAsia="Times New Roman" w:cstheme="minorHAnsi"/>
          <w:sz w:val="24"/>
          <w:szCs w:val="24"/>
          <w:lang w:val="en-US" w:eastAsia="en-GB"/>
        </w:rPr>
      </w:pPr>
      <w:r w:rsidRPr="00D04F68">
        <w:rPr>
          <w:rFonts w:eastAsia="Times New Roman" w:cstheme="minorHAnsi"/>
          <w:i/>
          <w:sz w:val="24"/>
          <w:szCs w:val="24"/>
          <w:lang w:val="en-US" w:eastAsia="en-GB"/>
        </w:rPr>
        <w:t>Mudarabah</w:t>
      </w:r>
      <w:r w:rsidR="003654E0" w:rsidRPr="00D04F68">
        <w:rPr>
          <w:rFonts w:eastAsia="Times New Roman" w:cstheme="minorHAnsi"/>
          <w:i/>
          <w:sz w:val="24"/>
          <w:szCs w:val="24"/>
          <w:lang w:val="en-US" w:eastAsia="en-GB"/>
        </w:rPr>
        <w:t xml:space="preserve">: </w:t>
      </w:r>
      <w:r w:rsidR="00D04F68" w:rsidRPr="00D04F68">
        <w:rPr>
          <w:rFonts w:eastAsia="Times New Roman" w:cstheme="minorHAnsi"/>
          <w:sz w:val="24"/>
          <w:szCs w:val="24"/>
          <w:lang w:val="en-US" w:eastAsia="en-GB"/>
        </w:rPr>
        <w:t xml:space="preserve">an arrangement where one party provides capital, while the other provides entrepreneurial skills. In this partnership, any loss is borne by the financier and </w:t>
      </w:r>
      <w:r w:rsidR="00D04F68">
        <w:rPr>
          <w:rFonts w:eastAsia="Times New Roman" w:cstheme="minorHAnsi"/>
          <w:sz w:val="24"/>
          <w:szCs w:val="24"/>
          <w:lang w:val="en-US" w:eastAsia="en-GB"/>
        </w:rPr>
        <w:t xml:space="preserve">the partners share </w:t>
      </w:r>
      <w:r w:rsidR="00D04F68" w:rsidRPr="00D04F68">
        <w:rPr>
          <w:rFonts w:eastAsia="Times New Roman" w:cstheme="minorHAnsi"/>
          <w:sz w:val="24"/>
          <w:szCs w:val="24"/>
          <w:lang w:val="en-US" w:eastAsia="en-GB"/>
        </w:rPr>
        <w:t>profit as per a pre-agreed ratio</w:t>
      </w:r>
      <w:r w:rsidR="00D04F68">
        <w:rPr>
          <w:rFonts w:eastAsia="Times New Roman" w:cstheme="minorHAnsi"/>
          <w:sz w:val="24"/>
          <w:szCs w:val="24"/>
          <w:lang w:val="en-US" w:eastAsia="en-GB"/>
        </w:rPr>
        <w:t>.</w:t>
      </w:r>
    </w:p>
    <w:p w:rsidR="00D04F68" w:rsidRPr="00D04F68" w:rsidRDefault="00D04F68" w:rsidP="00D04F68">
      <w:pPr>
        <w:pStyle w:val="ListParagraph"/>
        <w:autoSpaceDE w:val="0"/>
        <w:autoSpaceDN w:val="0"/>
        <w:adjustRightInd w:val="0"/>
        <w:ind w:left="360"/>
        <w:jc w:val="both"/>
        <w:rPr>
          <w:rFonts w:eastAsia="Times New Roman" w:cstheme="minorHAnsi"/>
          <w:sz w:val="24"/>
          <w:szCs w:val="24"/>
          <w:lang w:val="en-US" w:eastAsia="en-GB"/>
        </w:rPr>
      </w:pPr>
    </w:p>
    <w:p w:rsidR="00101A06" w:rsidRDefault="00036A12" w:rsidP="00101A06">
      <w:pPr>
        <w:pStyle w:val="ListParagraph"/>
        <w:numPr>
          <w:ilvl w:val="0"/>
          <w:numId w:val="1"/>
        </w:numPr>
        <w:autoSpaceDE w:val="0"/>
        <w:autoSpaceDN w:val="0"/>
        <w:adjustRightInd w:val="0"/>
        <w:ind w:left="360"/>
        <w:jc w:val="both"/>
        <w:rPr>
          <w:rFonts w:eastAsia="Times New Roman" w:cstheme="minorHAnsi"/>
          <w:sz w:val="24"/>
          <w:szCs w:val="24"/>
          <w:lang w:val="en-US" w:eastAsia="en-GB"/>
        </w:rPr>
      </w:pPr>
      <w:r w:rsidRPr="00101A06">
        <w:rPr>
          <w:rFonts w:eastAsia="Times New Roman" w:cstheme="minorHAnsi"/>
          <w:i/>
          <w:sz w:val="24"/>
          <w:szCs w:val="24"/>
          <w:lang w:val="en-US" w:eastAsia="en-GB"/>
        </w:rPr>
        <w:t>Musharakah</w:t>
      </w:r>
      <w:r w:rsidR="000E0554" w:rsidRPr="00101A06">
        <w:rPr>
          <w:rFonts w:eastAsia="Times New Roman" w:cstheme="minorHAnsi"/>
          <w:i/>
          <w:sz w:val="24"/>
          <w:szCs w:val="24"/>
          <w:lang w:val="en-US" w:eastAsia="en-GB"/>
        </w:rPr>
        <w:t xml:space="preserve">: </w:t>
      </w:r>
      <w:r w:rsidR="000E0554" w:rsidRPr="00101A06">
        <w:rPr>
          <w:rFonts w:eastAsia="Times New Roman" w:cstheme="minorHAnsi"/>
          <w:sz w:val="24"/>
          <w:szCs w:val="24"/>
          <w:lang w:val="en-US" w:eastAsia="en-GB"/>
        </w:rPr>
        <w:t xml:space="preserve">a partnership in a fixed duration project or a diminishing partnership where the company acquiring funds reimburses the bank’s share. </w:t>
      </w:r>
      <w:r w:rsidR="00101A06" w:rsidRPr="00101A06">
        <w:rPr>
          <w:rFonts w:eastAsia="Times New Roman" w:cstheme="minorHAnsi"/>
          <w:sz w:val="24"/>
          <w:szCs w:val="24"/>
          <w:lang w:val="en-US" w:eastAsia="en-GB"/>
        </w:rPr>
        <w:t xml:space="preserve">This arrangement may take the form of a permanent equity investment as well. It is more common for fixed asset (e.g. Housing) financing that can be leased. </w:t>
      </w:r>
    </w:p>
    <w:p w:rsidR="00101A06" w:rsidRPr="00101A06" w:rsidRDefault="00101A06" w:rsidP="00101A06">
      <w:pPr>
        <w:autoSpaceDE w:val="0"/>
        <w:autoSpaceDN w:val="0"/>
        <w:adjustRightInd w:val="0"/>
        <w:jc w:val="both"/>
        <w:rPr>
          <w:rFonts w:cstheme="minorHAnsi"/>
          <w:lang w:val="en-US"/>
        </w:rPr>
      </w:pPr>
    </w:p>
    <w:p w:rsidR="00036A12" w:rsidRPr="00883040" w:rsidRDefault="00036A12" w:rsidP="00036A12">
      <w:pPr>
        <w:pStyle w:val="ListParagraph"/>
        <w:numPr>
          <w:ilvl w:val="0"/>
          <w:numId w:val="1"/>
        </w:numPr>
        <w:autoSpaceDE w:val="0"/>
        <w:autoSpaceDN w:val="0"/>
        <w:adjustRightInd w:val="0"/>
        <w:ind w:left="360"/>
        <w:jc w:val="both"/>
        <w:rPr>
          <w:rFonts w:cstheme="minorHAnsi"/>
          <w:lang w:val="en-US"/>
        </w:rPr>
      </w:pPr>
      <w:r w:rsidRPr="00883040">
        <w:rPr>
          <w:rFonts w:eastAsia="Times New Roman" w:cstheme="minorHAnsi"/>
          <w:i/>
          <w:sz w:val="24"/>
          <w:szCs w:val="24"/>
          <w:lang w:val="en-US" w:eastAsia="en-GB"/>
        </w:rPr>
        <w:t>Murabaha–Mu’ajjal</w:t>
      </w:r>
      <w:r w:rsidR="00101A06" w:rsidRPr="00883040">
        <w:rPr>
          <w:rFonts w:eastAsia="Times New Roman" w:cstheme="minorHAnsi"/>
          <w:i/>
          <w:sz w:val="24"/>
          <w:szCs w:val="24"/>
          <w:lang w:val="en-US" w:eastAsia="en-GB"/>
        </w:rPr>
        <w:t>:</w:t>
      </w:r>
      <w:r w:rsidR="00101A06" w:rsidRPr="00883040">
        <w:rPr>
          <w:rFonts w:eastAsia="Times New Roman" w:cstheme="minorHAnsi"/>
          <w:sz w:val="24"/>
          <w:szCs w:val="24"/>
          <w:lang w:val="en-US" w:eastAsia="en-GB"/>
        </w:rPr>
        <w:t xml:space="preserve"> an arrangement involving the acquiring of goods on a customer’s demand or otherwise and their sale on credit at profit. In other words, </w:t>
      </w:r>
      <w:r w:rsidR="000A7C1E" w:rsidRPr="00883040">
        <w:rPr>
          <w:rFonts w:eastAsia="Times New Roman" w:cstheme="minorHAnsi"/>
          <w:sz w:val="24"/>
          <w:szCs w:val="24"/>
          <w:lang w:val="en-US" w:eastAsia="en-GB"/>
        </w:rPr>
        <w:t xml:space="preserve">it is debt covering the cost plus a profit margin. </w:t>
      </w:r>
      <w:r w:rsidR="00F55141" w:rsidRPr="00883040">
        <w:rPr>
          <w:rFonts w:eastAsia="Times New Roman" w:cstheme="minorHAnsi"/>
          <w:sz w:val="24"/>
          <w:szCs w:val="24"/>
          <w:lang w:val="en-US" w:eastAsia="en-GB"/>
        </w:rPr>
        <w:t>This debt is payable to the person who purchased on credit and suffered loss or destruction of wares in his/her ownership regardless of a profit or loss. To explain this arrangement we have a historical precedence from the time of the second Caliph Umar (RA). According to Ibn-e-</w:t>
      </w:r>
      <w:r w:rsidR="00883040" w:rsidRPr="00883040">
        <w:rPr>
          <w:rFonts w:eastAsia="Times New Roman" w:cstheme="minorHAnsi"/>
          <w:sz w:val="24"/>
          <w:szCs w:val="24"/>
          <w:lang w:val="en-US" w:eastAsia="en-GB"/>
        </w:rPr>
        <w:t xml:space="preserve">Jarir Tabari, Hind bint-e-Utbah came to Umar (RA) asking for a loan worth 4000 dinars from the public exchequer for trade, thus becoming liable to pay back the same amount. After getting the loan and trading with it, she suffered a loss. Despite the loss, Umar (RA) did not waive off the loan as it was from the public exchequer and she was liable to pay it back irrespective of profit or loss. </w:t>
      </w:r>
    </w:p>
    <w:p w:rsidR="00883040" w:rsidRPr="00883040" w:rsidRDefault="00883040" w:rsidP="00883040">
      <w:pPr>
        <w:autoSpaceDE w:val="0"/>
        <w:autoSpaceDN w:val="0"/>
        <w:adjustRightInd w:val="0"/>
        <w:jc w:val="both"/>
        <w:rPr>
          <w:rFonts w:cstheme="minorHAnsi"/>
          <w:lang w:val="en-US"/>
        </w:rPr>
      </w:pPr>
    </w:p>
    <w:p w:rsidR="00883040" w:rsidRPr="00883040" w:rsidRDefault="00036A12" w:rsidP="00883040">
      <w:pPr>
        <w:pStyle w:val="ListParagraph"/>
        <w:numPr>
          <w:ilvl w:val="0"/>
          <w:numId w:val="1"/>
        </w:numPr>
        <w:autoSpaceDE w:val="0"/>
        <w:autoSpaceDN w:val="0"/>
        <w:adjustRightInd w:val="0"/>
        <w:ind w:left="360"/>
        <w:jc w:val="both"/>
        <w:rPr>
          <w:rFonts w:cstheme="minorHAnsi"/>
          <w:lang w:val="en-US"/>
        </w:rPr>
      </w:pPr>
      <w:r w:rsidRPr="00883040">
        <w:rPr>
          <w:rFonts w:eastAsia="Times New Roman" w:cstheme="minorHAnsi"/>
          <w:i/>
          <w:sz w:val="24"/>
          <w:szCs w:val="24"/>
          <w:lang w:val="en-US" w:eastAsia="en-GB"/>
        </w:rPr>
        <w:t>Salam</w:t>
      </w:r>
      <w:r w:rsidR="00883040" w:rsidRPr="00883040">
        <w:rPr>
          <w:rFonts w:eastAsia="Times New Roman" w:cstheme="minorHAnsi"/>
          <w:i/>
          <w:sz w:val="24"/>
          <w:szCs w:val="24"/>
          <w:lang w:val="en-US" w:eastAsia="en-GB"/>
        </w:rPr>
        <w:t>:</w:t>
      </w:r>
      <w:r w:rsidRPr="00883040">
        <w:rPr>
          <w:rFonts w:eastAsia="Times New Roman" w:cstheme="minorHAnsi"/>
          <w:sz w:val="24"/>
          <w:szCs w:val="24"/>
          <w:lang w:val="en-US" w:eastAsia="en-GB"/>
        </w:rPr>
        <w:t xml:space="preserve"> </w:t>
      </w:r>
      <w:r w:rsidR="00883040" w:rsidRPr="00883040">
        <w:rPr>
          <w:rFonts w:eastAsia="Times New Roman" w:cstheme="minorHAnsi"/>
          <w:sz w:val="24"/>
          <w:szCs w:val="24"/>
          <w:lang w:val="en-US" w:eastAsia="en-GB"/>
        </w:rPr>
        <w:t xml:space="preserve">an arrangement where a party agrees to provide specific, precisely defined good at a future date in exchange for a prepayment. </w:t>
      </w:r>
    </w:p>
    <w:p w:rsidR="00883040" w:rsidRPr="00883040" w:rsidRDefault="00883040" w:rsidP="00883040">
      <w:pPr>
        <w:autoSpaceDE w:val="0"/>
        <w:autoSpaceDN w:val="0"/>
        <w:adjustRightInd w:val="0"/>
        <w:jc w:val="both"/>
        <w:rPr>
          <w:rFonts w:cstheme="minorHAnsi"/>
          <w:lang w:val="en-US"/>
        </w:rPr>
      </w:pPr>
    </w:p>
    <w:p w:rsidR="00036A12" w:rsidRDefault="00036A12" w:rsidP="00036A12">
      <w:pPr>
        <w:pStyle w:val="ListParagraph"/>
        <w:numPr>
          <w:ilvl w:val="0"/>
          <w:numId w:val="1"/>
        </w:numPr>
        <w:autoSpaceDE w:val="0"/>
        <w:autoSpaceDN w:val="0"/>
        <w:adjustRightInd w:val="0"/>
        <w:ind w:left="360"/>
        <w:jc w:val="both"/>
        <w:rPr>
          <w:rFonts w:eastAsia="Times New Roman" w:cstheme="minorHAnsi"/>
          <w:sz w:val="24"/>
          <w:szCs w:val="24"/>
          <w:lang w:val="en-US" w:eastAsia="en-GB"/>
        </w:rPr>
      </w:pPr>
      <w:r w:rsidRPr="00883040">
        <w:rPr>
          <w:rFonts w:eastAsia="Times New Roman" w:cstheme="minorHAnsi"/>
          <w:i/>
          <w:sz w:val="24"/>
          <w:szCs w:val="24"/>
          <w:lang w:val="en-US" w:eastAsia="en-GB"/>
        </w:rPr>
        <w:lastRenderedPageBreak/>
        <w:t>Ijarah</w:t>
      </w:r>
      <w:r w:rsidR="00883040">
        <w:rPr>
          <w:rFonts w:eastAsia="Times New Roman" w:cstheme="minorHAnsi"/>
          <w:i/>
          <w:sz w:val="24"/>
          <w:szCs w:val="24"/>
          <w:lang w:val="en-US" w:eastAsia="en-GB"/>
        </w:rPr>
        <w:t xml:space="preserve">: </w:t>
      </w:r>
      <w:r w:rsidRPr="00493C0A">
        <w:rPr>
          <w:rFonts w:eastAsia="Times New Roman" w:cstheme="minorHAnsi"/>
          <w:sz w:val="24"/>
          <w:szCs w:val="24"/>
          <w:lang w:val="en-US" w:eastAsia="en-GB"/>
        </w:rPr>
        <w:t xml:space="preserve"> </w:t>
      </w:r>
      <w:r w:rsidR="00883040">
        <w:rPr>
          <w:rFonts w:eastAsia="Times New Roman" w:cstheme="minorHAnsi"/>
          <w:sz w:val="24"/>
          <w:szCs w:val="24"/>
          <w:lang w:val="en-US" w:eastAsia="en-GB"/>
        </w:rPr>
        <w:t xml:space="preserve">an agreement involving leasing an asset and receiving rent. The lessor </w:t>
      </w:r>
      <w:r w:rsidR="00F30E64">
        <w:rPr>
          <w:rFonts w:eastAsia="Times New Roman" w:cstheme="minorHAnsi"/>
          <w:sz w:val="24"/>
          <w:szCs w:val="24"/>
          <w:lang w:val="en-US" w:eastAsia="en-GB"/>
        </w:rPr>
        <w:t>owns the asset and earns any profit or loss connected with its ownership as the asset is on lease.</w:t>
      </w:r>
    </w:p>
    <w:p w:rsidR="00036A12" w:rsidRPr="005B4D9E" w:rsidRDefault="00036A12" w:rsidP="00036A12">
      <w:pPr>
        <w:pStyle w:val="ListParagraph"/>
        <w:jc w:val="both"/>
        <w:rPr>
          <w:rFonts w:eastAsia="Times New Roman" w:cstheme="minorHAnsi"/>
          <w:sz w:val="24"/>
          <w:szCs w:val="24"/>
          <w:lang w:val="en-US" w:eastAsia="en-GB"/>
        </w:rPr>
      </w:pPr>
    </w:p>
    <w:p w:rsidR="00036A12" w:rsidRPr="00493C0A" w:rsidRDefault="00036A12" w:rsidP="00036A12">
      <w:pPr>
        <w:pStyle w:val="ListParagraph"/>
        <w:numPr>
          <w:ilvl w:val="0"/>
          <w:numId w:val="1"/>
        </w:numPr>
        <w:autoSpaceDE w:val="0"/>
        <w:autoSpaceDN w:val="0"/>
        <w:adjustRightInd w:val="0"/>
        <w:ind w:left="360"/>
        <w:jc w:val="both"/>
        <w:rPr>
          <w:rFonts w:eastAsia="Times New Roman" w:cstheme="minorHAnsi"/>
          <w:sz w:val="24"/>
          <w:szCs w:val="24"/>
          <w:lang w:val="en-US" w:eastAsia="en-GB"/>
        </w:rPr>
      </w:pPr>
      <w:r w:rsidRPr="00F30E64">
        <w:rPr>
          <w:rFonts w:eastAsia="Times New Roman" w:cstheme="minorHAnsi"/>
          <w:i/>
          <w:sz w:val="24"/>
          <w:szCs w:val="24"/>
          <w:lang w:val="en-US" w:eastAsia="en-GB"/>
        </w:rPr>
        <w:t>Istisna‘a</w:t>
      </w:r>
      <w:r w:rsidR="00F30E64">
        <w:rPr>
          <w:rFonts w:eastAsia="Times New Roman" w:cstheme="minorHAnsi"/>
          <w:i/>
          <w:sz w:val="24"/>
          <w:szCs w:val="24"/>
          <w:lang w:val="en-US" w:eastAsia="en-GB"/>
        </w:rPr>
        <w:t xml:space="preserve">: </w:t>
      </w:r>
      <w:r w:rsidR="00F30E64">
        <w:rPr>
          <w:rFonts w:eastAsia="Times New Roman" w:cstheme="minorHAnsi"/>
          <w:sz w:val="24"/>
          <w:szCs w:val="24"/>
          <w:lang w:val="en-US" w:eastAsia="en-GB"/>
        </w:rPr>
        <w:t xml:space="preserve">an agreement involving a person to manufacture or construct an item and supply it at a future date in exchange for a specific periodic payment. In other words, an agent contracts with a manufacturer to produce and supply a commodity while the customer makes periodic payments that cover the production cost and profit margin.  </w:t>
      </w:r>
    </w:p>
    <w:p w:rsidR="00036A12" w:rsidRPr="00FA543C" w:rsidRDefault="00E05FD2"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bank’s rate of return is known in credit sales i.e. </w:t>
      </w:r>
      <w:r>
        <w:rPr>
          <w:rFonts w:asciiTheme="minorHAnsi" w:hAnsiTheme="minorHAnsi" w:cstheme="minorHAnsi"/>
          <w:i/>
          <w:lang w:val="en-US"/>
        </w:rPr>
        <w:t xml:space="preserve">Murabaha, Musawamah, </w:t>
      </w:r>
      <w:r>
        <w:rPr>
          <w:rFonts w:asciiTheme="minorHAnsi" w:hAnsiTheme="minorHAnsi" w:cstheme="minorHAnsi"/>
          <w:lang w:val="en-US"/>
        </w:rPr>
        <w:t xml:space="preserve">and </w:t>
      </w:r>
      <w:r>
        <w:rPr>
          <w:rFonts w:asciiTheme="minorHAnsi" w:hAnsiTheme="minorHAnsi" w:cstheme="minorHAnsi"/>
          <w:i/>
          <w:lang w:val="en-US"/>
        </w:rPr>
        <w:t xml:space="preserve">Ijarah. </w:t>
      </w:r>
      <w:r>
        <w:rPr>
          <w:rFonts w:asciiTheme="minorHAnsi" w:hAnsiTheme="minorHAnsi" w:cstheme="minorHAnsi"/>
          <w:lang w:val="en-US"/>
        </w:rPr>
        <w:t xml:space="preserve">However, in the case of </w:t>
      </w:r>
      <w:r w:rsidRPr="00E05FD2">
        <w:rPr>
          <w:rFonts w:asciiTheme="minorHAnsi" w:hAnsiTheme="minorHAnsi" w:cstheme="minorHAnsi"/>
          <w:i/>
          <w:lang w:val="en-US"/>
        </w:rPr>
        <w:t>Ijarah</w:t>
      </w:r>
      <w:r>
        <w:rPr>
          <w:rFonts w:asciiTheme="minorHAnsi" w:hAnsiTheme="minorHAnsi" w:cstheme="minorHAnsi"/>
          <w:lang w:val="en-US"/>
        </w:rPr>
        <w:t xml:space="preserve"> the bank would have to bear the risk related to ownership of the asset and the expenses. Therefore, the net return in this case would be partially fixed. </w:t>
      </w:r>
    </w:p>
    <w:p w:rsidR="00036A12" w:rsidRPr="00FA543C" w:rsidRDefault="00036A12" w:rsidP="00036A12">
      <w:pPr>
        <w:jc w:val="both"/>
        <w:rPr>
          <w:rFonts w:asciiTheme="minorHAnsi" w:hAnsiTheme="minorHAnsi" w:cstheme="minorHAnsi"/>
          <w:lang w:val="en-US"/>
        </w:rPr>
      </w:pPr>
    </w:p>
    <w:p w:rsidR="00036A12" w:rsidRPr="00FA543C" w:rsidRDefault="00E05FD2"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bank is unable to specify the price of the asset in advance; therefore the return would be unknown in the case of </w:t>
      </w:r>
      <w:r>
        <w:rPr>
          <w:rFonts w:asciiTheme="minorHAnsi" w:hAnsiTheme="minorHAnsi" w:cstheme="minorHAnsi"/>
          <w:i/>
          <w:lang w:val="en-US"/>
        </w:rPr>
        <w:t xml:space="preserve">Salam </w:t>
      </w:r>
      <w:r>
        <w:rPr>
          <w:rFonts w:asciiTheme="minorHAnsi" w:hAnsiTheme="minorHAnsi" w:cstheme="minorHAnsi"/>
          <w:lang w:val="en-US"/>
        </w:rPr>
        <w:t xml:space="preserve">and </w:t>
      </w:r>
      <w:r>
        <w:rPr>
          <w:rFonts w:asciiTheme="minorHAnsi" w:hAnsiTheme="minorHAnsi" w:cstheme="minorHAnsi"/>
          <w:i/>
          <w:lang w:val="en-US"/>
        </w:rPr>
        <w:t xml:space="preserve">Istisna’a. </w:t>
      </w:r>
      <w:r w:rsidR="00B14592">
        <w:rPr>
          <w:rFonts w:asciiTheme="minorHAnsi" w:hAnsiTheme="minorHAnsi" w:cstheme="minorHAnsi"/>
          <w:lang w:val="en-US"/>
        </w:rPr>
        <w:t>However</w:t>
      </w:r>
      <w:r w:rsidR="00B97648">
        <w:rPr>
          <w:rFonts w:asciiTheme="minorHAnsi" w:hAnsiTheme="minorHAnsi" w:cstheme="minorHAnsi"/>
          <w:lang w:val="en-US"/>
        </w:rPr>
        <w:t>, the bank could have an idea about the return if it enters into a parallel contract with a party for disposal of the asset at a specific price. If the other party t</w:t>
      </w:r>
      <w:r w:rsidR="00B14592">
        <w:rPr>
          <w:rFonts w:asciiTheme="minorHAnsi" w:hAnsiTheme="minorHAnsi" w:cstheme="minorHAnsi"/>
          <w:lang w:val="en-US"/>
        </w:rPr>
        <w:t>o the contract (the promisor) were</w:t>
      </w:r>
      <w:r w:rsidR="00B97648">
        <w:rPr>
          <w:rFonts w:asciiTheme="minorHAnsi" w:hAnsiTheme="minorHAnsi" w:cstheme="minorHAnsi"/>
          <w:lang w:val="en-US"/>
        </w:rPr>
        <w:t xml:space="preserve"> not able to purchase the asset, the bank’s income would be affected. Therefore in sharing agreements, it is not possible to</w:t>
      </w:r>
      <w:r w:rsidR="00B14592">
        <w:rPr>
          <w:rFonts w:asciiTheme="minorHAnsi" w:hAnsiTheme="minorHAnsi" w:cstheme="minorHAnsi"/>
          <w:lang w:val="en-US"/>
        </w:rPr>
        <w:t xml:space="preserve"> </w:t>
      </w:r>
      <w:r w:rsidR="00B97648">
        <w:rPr>
          <w:rFonts w:asciiTheme="minorHAnsi" w:hAnsiTheme="minorHAnsi" w:cstheme="minorHAnsi"/>
          <w:lang w:val="en-US"/>
        </w:rPr>
        <w:t xml:space="preserve">know the rate of return in advance. </w:t>
      </w:r>
    </w:p>
    <w:p w:rsidR="00036A12" w:rsidRPr="00FA543C" w:rsidRDefault="00036A12" w:rsidP="00036A12">
      <w:pPr>
        <w:rPr>
          <w:rFonts w:asciiTheme="minorHAnsi" w:hAnsiTheme="minorHAnsi" w:cstheme="minorHAnsi"/>
          <w:lang w:val="en-US"/>
        </w:rPr>
      </w:pPr>
    </w:p>
    <w:p w:rsidR="00036A12" w:rsidRPr="001E14E3" w:rsidRDefault="00036A12" w:rsidP="00036A12">
      <w:pPr>
        <w:autoSpaceDE w:val="0"/>
        <w:autoSpaceDN w:val="0"/>
        <w:adjustRightInd w:val="0"/>
        <w:rPr>
          <w:rFonts w:asciiTheme="minorHAnsi" w:hAnsiTheme="minorHAnsi" w:cstheme="minorHAnsi"/>
          <w:i/>
          <w:iCs/>
          <w:color w:val="7030A0"/>
          <w:lang w:val="en-US"/>
        </w:rPr>
      </w:pPr>
      <w:r w:rsidRPr="001E14E3">
        <w:rPr>
          <w:rFonts w:asciiTheme="minorHAnsi" w:hAnsiTheme="minorHAnsi" w:cstheme="minorHAnsi"/>
          <w:i/>
          <w:iCs/>
          <w:color w:val="7030A0"/>
          <w:lang w:val="en-US"/>
        </w:rPr>
        <w:t>Security/Collateral</w:t>
      </w:r>
    </w:p>
    <w:p w:rsidR="00036A12" w:rsidRPr="00FA543C" w:rsidRDefault="00036A12" w:rsidP="00036A12">
      <w:pPr>
        <w:autoSpaceDE w:val="0"/>
        <w:autoSpaceDN w:val="0"/>
        <w:adjustRightInd w:val="0"/>
        <w:rPr>
          <w:rFonts w:asciiTheme="minorHAnsi" w:hAnsiTheme="minorHAnsi" w:cstheme="minorHAnsi"/>
          <w:i/>
          <w:iCs/>
          <w:lang w:val="en-US"/>
        </w:rPr>
      </w:pPr>
    </w:p>
    <w:p w:rsidR="00036A12" w:rsidRDefault="00B14592" w:rsidP="00036A12">
      <w:pPr>
        <w:autoSpaceDE w:val="0"/>
        <w:autoSpaceDN w:val="0"/>
        <w:adjustRightInd w:val="0"/>
        <w:jc w:val="both"/>
        <w:rPr>
          <w:rFonts w:asciiTheme="minorHAnsi" w:hAnsiTheme="minorHAnsi" w:cstheme="minorHAnsi"/>
          <w:i/>
          <w:iCs/>
          <w:lang w:val="en-US"/>
        </w:rPr>
      </w:pPr>
      <w:r>
        <w:rPr>
          <w:rFonts w:asciiTheme="minorHAnsi" w:hAnsiTheme="minorHAnsi" w:cstheme="minorHAnsi"/>
          <w:lang w:val="en-US"/>
        </w:rPr>
        <w:t>Banks may require clients to pay security in the form of mortgage, lien or a charge against his/her existing assets in debt-creating transactions. In</w:t>
      </w:r>
      <w:r w:rsidR="008061E2">
        <w:rPr>
          <w:rFonts w:asciiTheme="minorHAnsi" w:hAnsiTheme="minorHAnsi" w:cstheme="minorHAnsi"/>
          <w:lang w:val="en-US"/>
        </w:rPr>
        <w:t xml:space="preserve"> the case of an advance purchase, the bank may require a security ensuring the delivery of the commodity at a specified date. The bank may also require security to prevent non-performance of contract, however, it will not be entitled to enforce collateral if the business incurred loss without misconduct or negligence. </w:t>
      </w:r>
    </w:p>
    <w:p w:rsidR="00036A12" w:rsidRPr="00FA543C" w:rsidRDefault="00036A12" w:rsidP="00036A12">
      <w:pPr>
        <w:autoSpaceDE w:val="0"/>
        <w:autoSpaceDN w:val="0"/>
        <w:adjustRightInd w:val="0"/>
        <w:jc w:val="both"/>
        <w:rPr>
          <w:rFonts w:asciiTheme="minorHAnsi" w:hAnsiTheme="minorHAnsi" w:cstheme="minorHAnsi"/>
          <w:i/>
          <w:iCs/>
          <w:lang w:val="en-US"/>
        </w:rPr>
      </w:pPr>
    </w:p>
    <w:p w:rsidR="00036A12" w:rsidRPr="001E14E3" w:rsidRDefault="00036A12" w:rsidP="00036A12">
      <w:pPr>
        <w:autoSpaceDE w:val="0"/>
        <w:autoSpaceDN w:val="0"/>
        <w:adjustRightInd w:val="0"/>
        <w:jc w:val="both"/>
        <w:rPr>
          <w:rFonts w:asciiTheme="minorHAnsi" w:hAnsiTheme="minorHAnsi" w:cstheme="minorHAnsi"/>
          <w:i/>
          <w:iCs/>
          <w:color w:val="7030A0"/>
          <w:lang w:val="en-US"/>
        </w:rPr>
      </w:pPr>
      <w:r w:rsidRPr="001E14E3">
        <w:rPr>
          <w:rFonts w:asciiTheme="minorHAnsi" w:hAnsiTheme="minorHAnsi" w:cstheme="minorHAnsi"/>
          <w:i/>
          <w:iCs/>
          <w:color w:val="7030A0"/>
          <w:lang w:val="en-US"/>
        </w:rPr>
        <w:t>Liquidity</w:t>
      </w:r>
    </w:p>
    <w:p w:rsidR="00036A12" w:rsidRPr="00FA543C" w:rsidRDefault="00036A12" w:rsidP="00036A12">
      <w:pPr>
        <w:autoSpaceDE w:val="0"/>
        <w:autoSpaceDN w:val="0"/>
        <w:adjustRightInd w:val="0"/>
        <w:jc w:val="both"/>
        <w:rPr>
          <w:rFonts w:asciiTheme="minorHAnsi" w:hAnsiTheme="minorHAnsi" w:cstheme="minorHAnsi"/>
          <w:i/>
          <w:iCs/>
          <w:lang w:val="en-US"/>
        </w:rPr>
      </w:pPr>
    </w:p>
    <w:p w:rsidR="00036A12" w:rsidRPr="00FA543C" w:rsidRDefault="008061E2"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Liquidity refers to the readiness with which the bank can sell assets in exchange for cash when needed. </w:t>
      </w:r>
      <w:r>
        <w:rPr>
          <w:rFonts w:asciiTheme="minorHAnsi" w:hAnsiTheme="minorHAnsi" w:cstheme="minorHAnsi"/>
          <w:i/>
          <w:lang w:val="en-US"/>
        </w:rPr>
        <w:t xml:space="preserve">Murabaha </w:t>
      </w:r>
      <w:r>
        <w:rPr>
          <w:rFonts w:asciiTheme="minorHAnsi" w:hAnsiTheme="minorHAnsi" w:cstheme="minorHAnsi"/>
          <w:lang w:val="en-US"/>
        </w:rPr>
        <w:t xml:space="preserve">debts are considered non-liquid assets, as they cannot be sold in the market like debt instruments in conventional financial markets. This holds true for both </w:t>
      </w:r>
      <w:r>
        <w:rPr>
          <w:rFonts w:asciiTheme="minorHAnsi" w:hAnsiTheme="minorHAnsi" w:cstheme="minorHAnsi"/>
          <w:i/>
          <w:lang w:val="en-US"/>
        </w:rPr>
        <w:t xml:space="preserve">Salam </w:t>
      </w:r>
      <w:r>
        <w:rPr>
          <w:rFonts w:asciiTheme="minorHAnsi" w:hAnsiTheme="minorHAnsi" w:cstheme="minorHAnsi"/>
          <w:lang w:val="en-US"/>
        </w:rPr>
        <w:t xml:space="preserve">and </w:t>
      </w:r>
      <w:r>
        <w:rPr>
          <w:rFonts w:asciiTheme="minorHAnsi" w:hAnsiTheme="minorHAnsi" w:cstheme="minorHAnsi"/>
          <w:i/>
          <w:lang w:val="en-US"/>
        </w:rPr>
        <w:t xml:space="preserve">Istisna’a </w:t>
      </w:r>
      <w:r>
        <w:rPr>
          <w:rFonts w:asciiTheme="minorHAnsi" w:hAnsiTheme="minorHAnsi" w:cstheme="minorHAnsi"/>
          <w:lang w:val="en-US"/>
        </w:rPr>
        <w:t xml:space="preserve">as well, but assets in </w:t>
      </w:r>
      <w:r>
        <w:rPr>
          <w:rFonts w:asciiTheme="minorHAnsi" w:hAnsiTheme="minorHAnsi" w:cstheme="minorHAnsi"/>
          <w:i/>
          <w:lang w:val="en-US"/>
        </w:rPr>
        <w:t>Ijarah</w:t>
      </w:r>
      <w:r>
        <w:rPr>
          <w:rFonts w:asciiTheme="minorHAnsi" w:hAnsiTheme="minorHAnsi" w:cstheme="minorHAnsi"/>
          <w:lang w:val="en-US"/>
        </w:rPr>
        <w:t xml:space="preserve"> </w:t>
      </w:r>
      <w:r w:rsidR="005C6A03">
        <w:rPr>
          <w:rFonts w:asciiTheme="minorHAnsi" w:hAnsiTheme="minorHAnsi" w:cstheme="minorHAnsi"/>
          <w:lang w:val="en-US"/>
        </w:rPr>
        <w:t xml:space="preserve">and other sharing modes </w:t>
      </w:r>
      <w:r>
        <w:rPr>
          <w:rFonts w:asciiTheme="minorHAnsi" w:hAnsiTheme="minorHAnsi" w:cstheme="minorHAnsi"/>
          <w:lang w:val="en-US"/>
        </w:rPr>
        <w:t xml:space="preserve">are considered liquid assets </w:t>
      </w:r>
      <w:r w:rsidR="005C6A03">
        <w:rPr>
          <w:rFonts w:asciiTheme="minorHAnsi" w:hAnsiTheme="minorHAnsi" w:cstheme="minorHAnsi"/>
          <w:lang w:val="en-US"/>
        </w:rPr>
        <w:t xml:space="preserve">because they can be sold in secondary markets. </w:t>
      </w:r>
      <w:r>
        <w:rPr>
          <w:rFonts w:asciiTheme="minorHAnsi" w:hAnsiTheme="minorHAnsi" w:cstheme="minorHAnsi"/>
          <w:lang w:val="en-US"/>
        </w:rPr>
        <w:t xml:space="preserve"> </w:t>
      </w:r>
      <w:r>
        <w:rPr>
          <w:rFonts w:asciiTheme="minorHAnsi" w:hAnsiTheme="minorHAnsi" w:cstheme="minorHAnsi"/>
          <w:i/>
          <w:lang w:val="en-US"/>
        </w:rPr>
        <w:t xml:space="preserve"> </w:t>
      </w:r>
    </w:p>
    <w:p w:rsidR="00036A12" w:rsidRDefault="00036A12" w:rsidP="00036A12">
      <w:pPr>
        <w:rPr>
          <w:rFonts w:asciiTheme="minorHAnsi" w:hAnsiTheme="minorHAnsi" w:cstheme="minorHAnsi"/>
          <w:lang w:val="en-US"/>
        </w:rPr>
      </w:pPr>
    </w:p>
    <w:p w:rsidR="00036A12" w:rsidRDefault="00036A12" w:rsidP="00036A12">
      <w:pPr>
        <w:autoSpaceDE w:val="0"/>
        <w:autoSpaceDN w:val="0"/>
        <w:adjustRightInd w:val="0"/>
        <w:rPr>
          <w:rFonts w:asciiTheme="minorHAnsi" w:hAnsiTheme="minorHAnsi" w:cstheme="minorHAnsi"/>
          <w:b/>
          <w:iCs/>
          <w:color w:val="7030A0"/>
          <w:lang w:val="en-US"/>
        </w:rPr>
      </w:pPr>
      <w:r w:rsidRPr="001E14E3">
        <w:rPr>
          <w:rFonts w:asciiTheme="minorHAnsi" w:hAnsiTheme="minorHAnsi" w:cstheme="minorHAnsi"/>
          <w:b/>
          <w:iCs/>
          <w:color w:val="7030A0"/>
          <w:lang w:val="en-US"/>
        </w:rPr>
        <w:t>Valid Gains on Investment</w:t>
      </w:r>
    </w:p>
    <w:p w:rsidR="00036A12" w:rsidRPr="001E14E3" w:rsidRDefault="00036A12" w:rsidP="00036A12">
      <w:pPr>
        <w:autoSpaceDE w:val="0"/>
        <w:autoSpaceDN w:val="0"/>
        <w:adjustRightInd w:val="0"/>
        <w:rPr>
          <w:rFonts w:asciiTheme="minorHAnsi" w:hAnsiTheme="minorHAnsi" w:cstheme="minorHAnsi"/>
          <w:b/>
          <w:iCs/>
          <w:color w:val="7030A0"/>
          <w:lang w:val="en-US"/>
        </w:rPr>
      </w:pPr>
    </w:p>
    <w:p w:rsidR="00036A12" w:rsidRPr="00FA543C" w:rsidRDefault="005C6A03"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Islam does not prohibit all gains on investment or principal. </w:t>
      </w:r>
      <w:r w:rsidR="008B27A4">
        <w:rPr>
          <w:rFonts w:asciiTheme="minorHAnsi" w:hAnsiTheme="minorHAnsi" w:cstheme="minorHAnsi"/>
          <w:lang w:val="en-US"/>
        </w:rPr>
        <w:t xml:space="preserve">There are methods suggested for gainful deployment of surplus resources. According to </w:t>
      </w:r>
      <w:r w:rsidR="008B27A4">
        <w:rPr>
          <w:rFonts w:asciiTheme="minorHAnsi" w:hAnsiTheme="minorHAnsi" w:cstheme="minorHAnsi"/>
          <w:i/>
          <w:lang w:val="en-US"/>
        </w:rPr>
        <w:t xml:space="preserve">shari’a </w:t>
      </w:r>
      <w:r w:rsidR="008B27A4">
        <w:rPr>
          <w:rFonts w:asciiTheme="minorHAnsi" w:hAnsiTheme="minorHAnsi" w:cstheme="minorHAnsi"/>
          <w:lang w:val="en-US"/>
        </w:rPr>
        <w:t xml:space="preserve">profit has been identified as reward of capital and ex post profit symbolizing entrepreneurship and creation of additional wealth is also allowed in the </w:t>
      </w:r>
      <w:r w:rsidR="008B27A4">
        <w:rPr>
          <w:rFonts w:asciiTheme="minorHAnsi" w:hAnsiTheme="minorHAnsi" w:cstheme="minorHAnsi"/>
          <w:i/>
          <w:lang w:val="en-US"/>
        </w:rPr>
        <w:t xml:space="preserve">shari’a. </w:t>
      </w:r>
      <w:r w:rsidR="008B27A4">
        <w:rPr>
          <w:rFonts w:asciiTheme="minorHAnsi" w:hAnsiTheme="minorHAnsi" w:cstheme="minorHAnsi"/>
          <w:lang w:val="en-US"/>
        </w:rPr>
        <w:t xml:space="preserve">Risk and the liability of loss, however, have to be borne by the capital without any other party sharing the burden of loss on capital. </w:t>
      </w:r>
    </w:p>
    <w:p w:rsidR="00036A12" w:rsidRPr="00FA543C" w:rsidRDefault="00036A12" w:rsidP="00036A12">
      <w:pPr>
        <w:autoSpaceDE w:val="0"/>
        <w:autoSpaceDN w:val="0"/>
        <w:adjustRightInd w:val="0"/>
        <w:jc w:val="both"/>
        <w:rPr>
          <w:rFonts w:asciiTheme="minorHAnsi" w:hAnsiTheme="minorHAnsi" w:cstheme="minorHAnsi"/>
          <w:lang w:val="en-US"/>
        </w:rPr>
      </w:pPr>
    </w:p>
    <w:p w:rsidR="003B1457" w:rsidRDefault="008B27A4"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lastRenderedPageBreak/>
        <w:t xml:space="preserve">According to the Islamic financial framework, money is not recognized as capital and hence it cannot earn a profit on its own. Assets need to be real and tangible in order to generate profit. The financier is also </w:t>
      </w:r>
      <w:r w:rsidR="003B1457">
        <w:rPr>
          <w:rFonts w:asciiTheme="minorHAnsi" w:hAnsiTheme="minorHAnsi" w:cstheme="minorHAnsi"/>
          <w:lang w:val="en-US"/>
        </w:rPr>
        <w:t>an entrepreneur</w:t>
      </w:r>
      <w:r w:rsidR="0000145F">
        <w:rPr>
          <w:rFonts w:asciiTheme="minorHAnsi" w:hAnsiTheme="minorHAnsi" w:cstheme="minorHAnsi"/>
          <w:lang w:val="en-US"/>
        </w:rPr>
        <w:t xml:space="preserve">, as he/she will earn profit/loss on capital and earn wages on labour. </w:t>
      </w:r>
      <w:r w:rsidR="003B1457">
        <w:rPr>
          <w:rFonts w:asciiTheme="minorHAnsi" w:hAnsiTheme="minorHAnsi" w:cstheme="minorHAnsi"/>
          <w:lang w:val="en-US"/>
        </w:rPr>
        <w:t xml:space="preserve">In case he/she provides capital to another person to manage his/her business, then the financier will have a share in the profit or loss and the manager will earn wages in the form of a share in profit for his/her labour. However, if the capital owner incurs a loss, it will be borne by him/her alone while the business manager will not get wages. </w:t>
      </w:r>
    </w:p>
    <w:p w:rsidR="003B1457" w:rsidRDefault="003B1457" w:rsidP="00036A12">
      <w:pPr>
        <w:autoSpaceDE w:val="0"/>
        <w:autoSpaceDN w:val="0"/>
        <w:adjustRightInd w:val="0"/>
        <w:jc w:val="both"/>
        <w:rPr>
          <w:rFonts w:asciiTheme="minorHAnsi" w:hAnsiTheme="minorHAnsi" w:cstheme="minorHAnsi"/>
          <w:lang w:val="en-US"/>
        </w:rPr>
      </w:pPr>
    </w:p>
    <w:p w:rsidR="003B1457" w:rsidRPr="00FA543C" w:rsidRDefault="003B1457" w:rsidP="003B1457">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Therefore, earning of profit is permissible if it is dependent on the outcome of the business. One can earn profit on their investment or financing as long as it is directly or indirectly linked to certain assets being exposed to risk. </w:t>
      </w:r>
    </w:p>
    <w:p w:rsidR="00036A12" w:rsidRPr="00FA543C" w:rsidRDefault="00036A12" w:rsidP="00036A12">
      <w:pPr>
        <w:rPr>
          <w:rFonts w:asciiTheme="minorHAnsi" w:hAnsiTheme="minorHAnsi" w:cstheme="minorHAnsi"/>
          <w:lang w:val="en-US"/>
        </w:rPr>
      </w:pPr>
    </w:p>
    <w:p w:rsidR="00036A12" w:rsidRPr="001E14E3" w:rsidRDefault="00036A12" w:rsidP="00036A12">
      <w:pPr>
        <w:autoSpaceDE w:val="0"/>
        <w:autoSpaceDN w:val="0"/>
        <w:adjustRightInd w:val="0"/>
        <w:rPr>
          <w:rFonts w:asciiTheme="minorHAnsi" w:hAnsiTheme="minorHAnsi" w:cstheme="minorHAnsi"/>
          <w:i/>
          <w:iCs/>
          <w:color w:val="7030A0"/>
          <w:lang w:val="en-US"/>
        </w:rPr>
      </w:pPr>
      <w:r w:rsidRPr="001E14E3">
        <w:rPr>
          <w:rFonts w:asciiTheme="minorHAnsi" w:hAnsiTheme="minorHAnsi" w:cstheme="minorHAnsi"/>
          <w:i/>
          <w:iCs/>
          <w:color w:val="7030A0"/>
          <w:lang w:val="en-US"/>
        </w:rPr>
        <w:t>All Pre-fixed Returns are not Riba</w:t>
      </w:r>
    </w:p>
    <w:p w:rsidR="00036A12" w:rsidRPr="00FA543C" w:rsidRDefault="00036A12" w:rsidP="00036A12">
      <w:pPr>
        <w:autoSpaceDE w:val="0"/>
        <w:autoSpaceDN w:val="0"/>
        <w:adjustRightInd w:val="0"/>
        <w:rPr>
          <w:rFonts w:asciiTheme="minorHAnsi" w:hAnsiTheme="minorHAnsi" w:cstheme="minorHAnsi"/>
          <w:i/>
          <w:iCs/>
          <w:lang w:val="en-US"/>
        </w:rPr>
      </w:pPr>
    </w:p>
    <w:p w:rsidR="00036A12" w:rsidRDefault="003B145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All pre-set returns are not forbidden in </w:t>
      </w:r>
      <w:r>
        <w:rPr>
          <w:rFonts w:asciiTheme="minorHAnsi" w:hAnsiTheme="minorHAnsi" w:cstheme="minorHAnsi"/>
          <w:i/>
          <w:lang w:val="en-US"/>
        </w:rPr>
        <w:t xml:space="preserve">shari’a, </w:t>
      </w:r>
      <w:r>
        <w:rPr>
          <w:rFonts w:asciiTheme="minorHAnsi" w:hAnsiTheme="minorHAnsi" w:cstheme="minorHAnsi"/>
          <w:lang w:val="en-US"/>
        </w:rPr>
        <w:t xml:space="preserve">therefore income or returns do not necessarily have to be variable in order to conform to Islamic principles. </w:t>
      </w:r>
      <w:r w:rsidR="00704FC1">
        <w:rPr>
          <w:rFonts w:asciiTheme="minorHAnsi" w:hAnsiTheme="minorHAnsi" w:cstheme="minorHAnsi"/>
          <w:lang w:val="en-US"/>
        </w:rPr>
        <w:t xml:space="preserve">It depends on the nature of the transaction. For example in case of a loan or credit transaction, any increase in such a debt is not permissible. One can make a profit on the sale of goods according to </w:t>
      </w:r>
      <w:r w:rsidR="00704FC1">
        <w:rPr>
          <w:rFonts w:asciiTheme="minorHAnsi" w:hAnsiTheme="minorHAnsi" w:cstheme="minorHAnsi"/>
          <w:i/>
          <w:lang w:val="en-US"/>
        </w:rPr>
        <w:t xml:space="preserve">shari’a, </w:t>
      </w:r>
      <w:r w:rsidR="00704FC1">
        <w:rPr>
          <w:rFonts w:asciiTheme="minorHAnsi" w:hAnsiTheme="minorHAnsi" w:cstheme="minorHAnsi"/>
          <w:lang w:val="en-US"/>
        </w:rPr>
        <w:t xml:space="preserve">by selling a commodity (not money) for one price on a cash-and-carry basis and for a higher price on credit. Although, market forces should determine the cash or credit </w:t>
      </w:r>
      <w:r w:rsidR="00E928EF">
        <w:rPr>
          <w:rFonts w:asciiTheme="minorHAnsi" w:hAnsiTheme="minorHAnsi" w:cstheme="minorHAnsi"/>
          <w:lang w:val="en-US"/>
        </w:rPr>
        <w:t xml:space="preserve">prices, however there are certain conditions governing the differentiation between interest and legitimate profit. The following principles dictate the permissibility of transactions: </w:t>
      </w:r>
    </w:p>
    <w:p w:rsidR="00036A12" w:rsidRPr="00FA543C" w:rsidRDefault="00036A12" w:rsidP="00036A12">
      <w:pPr>
        <w:autoSpaceDE w:val="0"/>
        <w:autoSpaceDN w:val="0"/>
        <w:adjustRightInd w:val="0"/>
        <w:rPr>
          <w:rFonts w:asciiTheme="minorHAnsi" w:hAnsiTheme="minorHAnsi" w:cstheme="minorHAnsi"/>
          <w:lang w:val="en-US"/>
        </w:rPr>
      </w:pPr>
    </w:p>
    <w:p w:rsidR="00036A12" w:rsidRDefault="00036A12" w:rsidP="006C1D04">
      <w:pPr>
        <w:pStyle w:val="ListParagraph"/>
        <w:numPr>
          <w:ilvl w:val="0"/>
          <w:numId w:val="2"/>
        </w:numPr>
        <w:autoSpaceDE w:val="0"/>
        <w:autoSpaceDN w:val="0"/>
        <w:adjustRightInd w:val="0"/>
        <w:spacing w:line="240" w:lineRule="auto"/>
        <w:ind w:left="360"/>
        <w:jc w:val="both"/>
        <w:rPr>
          <w:rFonts w:cstheme="minorHAnsi"/>
          <w:sz w:val="24"/>
          <w:lang w:val="en-US"/>
        </w:rPr>
      </w:pPr>
      <w:r w:rsidRPr="00043AC3">
        <w:rPr>
          <w:rFonts w:cstheme="minorHAnsi"/>
          <w:i/>
          <w:sz w:val="24"/>
          <w:lang w:val="en-US"/>
        </w:rPr>
        <w:t>Bai‘</w:t>
      </w:r>
      <w:r w:rsidRPr="00043AC3">
        <w:rPr>
          <w:rFonts w:cstheme="minorHAnsi"/>
          <w:sz w:val="24"/>
          <w:lang w:val="en-US"/>
        </w:rPr>
        <w:t xml:space="preserve"> (sale/purchase of goods)</w:t>
      </w:r>
      <w:r w:rsidR="00E928EF" w:rsidRPr="00043AC3">
        <w:rPr>
          <w:rFonts w:cstheme="minorHAnsi"/>
          <w:sz w:val="24"/>
          <w:lang w:val="en-US"/>
        </w:rPr>
        <w:t>: involves definite transfer of ownership of goods to the buyer in exchange for a price that can be paid on the spot, deferred (in case of credit sales) or prepaid (</w:t>
      </w:r>
      <w:r w:rsidR="00E928EF" w:rsidRPr="00043AC3">
        <w:rPr>
          <w:rFonts w:cstheme="minorHAnsi"/>
          <w:i/>
          <w:sz w:val="24"/>
          <w:lang w:val="en-US"/>
        </w:rPr>
        <w:t>salam</w:t>
      </w:r>
      <w:r w:rsidR="00E928EF" w:rsidRPr="00043AC3">
        <w:rPr>
          <w:rFonts w:cstheme="minorHAnsi"/>
          <w:sz w:val="24"/>
          <w:lang w:val="en-US"/>
        </w:rPr>
        <w:t>). Any risk or reward related to goods bought by the buyer will be borne by him/her regardless of the manner in which he/she used the goods and the profit/loss incurred. The banks will set the price of the goods and create a d</w:t>
      </w:r>
      <w:r w:rsidR="00043AC3" w:rsidRPr="00043AC3">
        <w:rPr>
          <w:rFonts w:cstheme="minorHAnsi"/>
          <w:sz w:val="24"/>
          <w:lang w:val="en-US"/>
        </w:rPr>
        <w:t>ebt but after ownership has been</w:t>
      </w:r>
      <w:r w:rsidR="00E928EF" w:rsidRPr="00043AC3">
        <w:rPr>
          <w:rFonts w:cstheme="minorHAnsi"/>
          <w:sz w:val="24"/>
          <w:lang w:val="en-US"/>
        </w:rPr>
        <w:t xml:space="preserve"> transferred to the clients, banks cannot re-price the goods. </w:t>
      </w:r>
    </w:p>
    <w:p w:rsidR="00043AC3" w:rsidRPr="00043AC3" w:rsidRDefault="00043AC3" w:rsidP="006C1D04">
      <w:pPr>
        <w:pStyle w:val="ListParagraph"/>
        <w:autoSpaceDE w:val="0"/>
        <w:autoSpaceDN w:val="0"/>
        <w:adjustRightInd w:val="0"/>
        <w:spacing w:line="240" w:lineRule="auto"/>
        <w:ind w:left="360"/>
        <w:jc w:val="both"/>
        <w:rPr>
          <w:rFonts w:cstheme="minorHAnsi"/>
          <w:sz w:val="24"/>
          <w:lang w:val="en-US"/>
        </w:rPr>
      </w:pPr>
    </w:p>
    <w:p w:rsidR="00036A12" w:rsidRDefault="00036A12" w:rsidP="006C1D04">
      <w:pPr>
        <w:pStyle w:val="ListParagraph"/>
        <w:numPr>
          <w:ilvl w:val="0"/>
          <w:numId w:val="2"/>
        </w:numPr>
        <w:autoSpaceDE w:val="0"/>
        <w:autoSpaceDN w:val="0"/>
        <w:adjustRightInd w:val="0"/>
        <w:spacing w:line="240" w:lineRule="auto"/>
        <w:ind w:left="360"/>
        <w:jc w:val="both"/>
        <w:rPr>
          <w:rFonts w:cstheme="minorHAnsi"/>
          <w:sz w:val="24"/>
          <w:lang w:val="en-US"/>
        </w:rPr>
      </w:pPr>
      <w:r w:rsidRPr="00043AC3">
        <w:rPr>
          <w:rFonts w:cstheme="minorHAnsi"/>
          <w:i/>
          <w:sz w:val="24"/>
          <w:lang w:val="en-US"/>
        </w:rPr>
        <w:t>Hibah</w:t>
      </w:r>
      <w:r w:rsidRPr="005B4D9E">
        <w:rPr>
          <w:rFonts w:cstheme="minorHAnsi"/>
          <w:sz w:val="24"/>
          <w:lang w:val="en-US"/>
        </w:rPr>
        <w:t xml:space="preserve"> (gift)</w:t>
      </w:r>
      <w:r w:rsidR="00043AC3">
        <w:rPr>
          <w:rFonts w:cstheme="minorHAnsi"/>
          <w:sz w:val="24"/>
          <w:lang w:val="en-US"/>
        </w:rPr>
        <w:t xml:space="preserve">: refers to the permanent transfer of ownership of assets without any payment. Once a person gifts an asset to another person, he/she cannot take it back without the consent of the person who has received the gift. </w:t>
      </w:r>
    </w:p>
    <w:p w:rsidR="00043AC3" w:rsidRPr="00043AC3" w:rsidRDefault="00043AC3" w:rsidP="006C1D04">
      <w:pPr>
        <w:autoSpaceDE w:val="0"/>
        <w:autoSpaceDN w:val="0"/>
        <w:adjustRightInd w:val="0"/>
        <w:jc w:val="both"/>
        <w:rPr>
          <w:rFonts w:cstheme="minorHAnsi"/>
          <w:lang w:val="en-US"/>
        </w:rPr>
      </w:pPr>
    </w:p>
    <w:p w:rsidR="00036A12" w:rsidRDefault="00036A12" w:rsidP="006C1D04">
      <w:pPr>
        <w:pStyle w:val="ListParagraph"/>
        <w:numPr>
          <w:ilvl w:val="0"/>
          <w:numId w:val="2"/>
        </w:numPr>
        <w:autoSpaceDE w:val="0"/>
        <w:autoSpaceDN w:val="0"/>
        <w:adjustRightInd w:val="0"/>
        <w:spacing w:line="240" w:lineRule="auto"/>
        <w:ind w:left="360"/>
        <w:jc w:val="both"/>
        <w:rPr>
          <w:rFonts w:cstheme="minorHAnsi"/>
          <w:sz w:val="24"/>
          <w:lang w:val="en-US"/>
        </w:rPr>
      </w:pPr>
      <w:r w:rsidRPr="00043AC3">
        <w:rPr>
          <w:rFonts w:cstheme="minorHAnsi"/>
          <w:i/>
          <w:sz w:val="24"/>
          <w:lang w:val="en-US"/>
        </w:rPr>
        <w:t>Riba (Al-Nasiah)</w:t>
      </w:r>
      <w:r w:rsidR="00043AC3">
        <w:rPr>
          <w:rFonts w:cstheme="minorHAnsi"/>
          <w:sz w:val="24"/>
          <w:lang w:val="en-US"/>
        </w:rPr>
        <w:t xml:space="preserve">: involves exchanging temporary ownership of goods or money in exchange for a payment. This transaction relies on interest and is therefore prohibited. If this transfer of temporary ownership happens without payment then it is called </w:t>
      </w:r>
      <w:r w:rsidR="00043AC3">
        <w:rPr>
          <w:rFonts w:cstheme="minorHAnsi"/>
          <w:i/>
          <w:sz w:val="24"/>
          <w:lang w:val="en-US"/>
        </w:rPr>
        <w:t xml:space="preserve">qard-al-hasan/tabarru’ </w:t>
      </w:r>
      <w:r w:rsidR="00043AC3">
        <w:rPr>
          <w:rFonts w:cstheme="minorHAnsi"/>
          <w:sz w:val="24"/>
          <w:lang w:val="en-US"/>
        </w:rPr>
        <w:t xml:space="preserve">and is permissible in Islam. </w:t>
      </w:r>
    </w:p>
    <w:p w:rsidR="00043AC3" w:rsidRPr="00043AC3" w:rsidRDefault="00043AC3" w:rsidP="006C1D04">
      <w:pPr>
        <w:autoSpaceDE w:val="0"/>
        <w:autoSpaceDN w:val="0"/>
        <w:adjustRightInd w:val="0"/>
        <w:jc w:val="both"/>
        <w:rPr>
          <w:rFonts w:cstheme="minorHAnsi"/>
          <w:lang w:val="en-US"/>
        </w:rPr>
      </w:pPr>
    </w:p>
    <w:p w:rsidR="0021771E" w:rsidRPr="0021771E" w:rsidRDefault="00036A12" w:rsidP="006C1D04">
      <w:pPr>
        <w:pStyle w:val="ListParagraph"/>
        <w:numPr>
          <w:ilvl w:val="0"/>
          <w:numId w:val="2"/>
        </w:numPr>
        <w:autoSpaceDE w:val="0"/>
        <w:autoSpaceDN w:val="0"/>
        <w:adjustRightInd w:val="0"/>
        <w:spacing w:line="240" w:lineRule="auto"/>
        <w:ind w:left="360"/>
        <w:jc w:val="both"/>
        <w:rPr>
          <w:rFonts w:cstheme="minorHAnsi"/>
          <w:lang w:val="en-US"/>
        </w:rPr>
      </w:pPr>
      <w:r w:rsidRPr="0021771E">
        <w:rPr>
          <w:rFonts w:cstheme="minorHAnsi"/>
          <w:i/>
          <w:sz w:val="24"/>
          <w:lang w:val="en-US"/>
        </w:rPr>
        <w:t>Ijarah</w:t>
      </w:r>
      <w:r w:rsidR="00043AC3" w:rsidRPr="0021771E">
        <w:rPr>
          <w:rFonts w:cstheme="minorHAnsi"/>
          <w:sz w:val="24"/>
          <w:lang w:val="en-US"/>
        </w:rPr>
        <w:t xml:space="preserve">: </w:t>
      </w:r>
      <w:r w:rsidR="00DD6960" w:rsidRPr="0021771E">
        <w:rPr>
          <w:rFonts w:cstheme="minorHAnsi"/>
          <w:sz w:val="24"/>
          <w:lang w:val="en-US"/>
        </w:rPr>
        <w:t xml:space="preserve">involves leasing or renting out of assets on the condition that the lessor will bear risk and expenses related to the asset as long as it is leased. </w:t>
      </w:r>
      <w:r w:rsidR="0021771E" w:rsidRPr="0021771E">
        <w:rPr>
          <w:rFonts w:cstheme="minorHAnsi"/>
          <w:sz w:val="24"/>
          <w:lang w:val="en-US"/>
        </w:rPr>
        <w:t xml:space="preserve">There is no concept of interest in </w:t>
      </w:r>
      <w:r w:rsidR="0021771E" w:rsidRPr="0021771E">
        <w:rPr>
          <w:rFonts w:cstheme="minorHAnsi"/>
          <w:i/>
          <w:sz w:val="24"/>
          <w:lang w:val="en-US"/>
        </w:rPr>
        <w:t xml:space="preserve">ijarah. </w:t>
      </w:r>
      <w:r w:rsidR="0021771E" w:rsidRPr="0021771E">
        <w:rPr>
          <w:rFonts w:cstheme="minorHAnsi"/>
          <w:sz w:val="24"/>
          <w:lang w:val="en-US"/>
        </w:rPr>
        <w:t xml:space="preserve">However, </w:t>
      </w:r>
      <w:r w:rsidR="0021771E" w:rsidRPr="0021771E">
        <w:rPr>
          <w:rFonts w:cstheme="minorHAnsi"/>
          <w:i/>
          <w:sz w:val="24"/>
          <w:lang w:val="en-US"/>
        </w:rPr>
        <w:t xml:space="preserve">shari’a </w:t>
      </w:r>
      <w:r w:rsidR="0021771E" w:rsidRPr="0021771E">
        <w:rPr>
          <w:rFonts w:cstheme="minorHAnsi"/>
          <w:sz w:val="24"/>
          <w:lang w:val="en-US"/>
        </w:rPr>
        <w:t xml:space="preserve">allows predetermined rent inclusive of the time value of money so it can be argued that predetermined time value of money can also be added in debts and loans. This analogy would be incorrect because rent is calculated on the capacity of the asset to give usufruct (the right to use someone </w:t>
      </w:r>
      <w:r w:rsidR="0021771E" w:rsidRPr="0021771E">
        <w:rPr>
          <w:rFonts w:cstheme="minorHAnsi"/>
          <w:sz w:val="24"/>
          <w:lang w:val="en-US"/>
        </w:rPr>
        <w:lastRenderedPageBreak/>
        <w:t xml:space="preserve">else’s asset), which is uncertain. Therefore, time value of money remains uncertain until the asset completes its life. Moreover, the lessor bears the burden of risk or reward, as he/she is the owner of the leased asset. </w:t>
      </w:r>
    </w:p>
    <w:p w:rsidR="0021771E" w:rsidRPr="0021771E" w:rsidRDefault="0021771E" w:rsidP="0021771E">
      <w:pPr>
        <w:autoSpaceDE w:val="0"/>
        <w:autoSpaceDN w:val="0"/>
        <w:adjustRightInd w:val="0"/>
        <w:jc w:val="both"/>
        <w:rPr>
          <w:rFonts w:cstheme="minorHAnsi"/>
          <w:lang w:val="en-US"/>
        </w:rPr>
      </w:pPr>
    </w:p>
    <w:p w:rsidR="00036A12" w:rsidRPr="0021771E" w:rsidRDefault="00FD2250" w:rsidP="006C1D04">
      <w:pPr>
        <w:pStyle w:val="ListParagraph"/>
        <w:autoSpaceDE w:val="0"/>
        <w:autoSpaceDN w:val="0"/>
        <w:adjustRightInd w:val="0"/>
        <w:spacing w:line="240" w:lineRule="auto"/>
        <w:ind w:left="357"/>
        <w:jc w:val="both"/>
        <w:rPr>
          <w:rFonts w:cstheme="minorHAnsi"/>
          <w:sz w:val="24"/>
          <w:szCs w:val="24"/>
          <w:lang w:val="en-US"/>
        </w:rPr>
      </w:pPr>
      <w:r>
        <w:rPr>
          <w:rFonts w:cstheme="minorHAnsi"/>
          <w:sz w:val="24"/>
          <w:szCs w:val="24"/>
          <w:lang w:val="en-US"/>
        </w:rPr>
        <w:t>Moreover, items like money, yarn, edibles and fuel cannot be leased out because after these items are consumed, they no longer exist and therefore the lessor cannot bear their risk or expenses.</w:t>
      </w:r>
      <w:r w:rsidR="00355920">
        <w:rPr>
          <w:rFonts w:cstheme="minorHAnsi"/>
          <w:sz w:val="24"/>
          <w:szCs w:val="24"/>
          <w:lang w:val="en-US"/>
        </w:rPr>
        <w:t xml:space="preserve"> Such items can be bought or sold and loaned, and in the latter case they can be loaned for items of their like. </w:t>
      </w:r>
      <w:r>
        <w:rPr>
          <w:rFonts w:cstheme="minorHAnsi"/>
          <w:sz w:val="24"/>
          <w:szCs w:val="24"/>
          <w:lang w:val="en-US"/>
        </w:rPr>
        <w:t xml:space="preserve"> One can lease out their assets</w:t>
      </w:r>
      <w:r w:rsidR="00355920">
        <w:rPr>
          <w:rFonts w:cstheme="minorHAnsi"/>
          <w:sz w:val="24"/>
          <w:szCs w:val="24"/>
          <w:lang w:val="en-US"/>
        </w:rPr>
        <w:t xml:space="preserve"> e.g. airplanes, ships, houses, motor vehicles, etc.</w:t>
      </w:r>
      <w:r>
        <w:rPr>
          <w:rFonts w:cstheme="minorHAnsi"/>
          <w:sz w:val="24"/>
          <w:szCs w:val="24"/>
          <w:lang w:val="en-US"/>
        </w:rPr>
        <w:t xml:space="preserve"> for a fixed or specified amount of rent.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355920" w:rsidP="00355920">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According to the discussion above, Islamic banks can engage in trading and leasing and charge a fixed amount of rent, inclusive of a fixed amount of profit margin, for such transactions. However, in loaning or in credit transactions (where debt is created) banks cannot charge any amount over and above the amount of the loan or of the debt that has been created. </w:t>
      </w:r>
    </w:p>
    <w:p w:rsidR="00355920" w:rsidRDefault="00355920" w:rsidP="00355920">
      <w:pPr>
        <w:autoSpaceDE w:val="0"/>
        <w:autoSpaceDN w:val="0"/>
        <w:adjustRightInd w:val="0"/>
        <w:jc w:val="both"/>
        <w:rPr>
          <w:rFonts w:asciiTheme="minorHAnsi" w:hAnsiTheme="minorHAnsi" w:cstheme="minorHAnsi"/>
          <w:i/>
          <w:iCs/>
          <w:lang w:val="en-US"/>
        </w:rPr>
      </w:pPr>
    </w:p>
    <w:p w:rsidR="00036A12" w:rsidRPr="001E14E3" w:rsidRDefault="00036A12" w:rsidP="00036A12">
      <w:pPr>
        <w:autoSpaceDE w:val="0"/>
        <w:autoSpaceDN w:val="0"/>
        <w:adjustRightInd w:val="0"/>
        <w:rPr>
          <w:rFonts w:asciiTheme="minorHAnsi" w:hAnsiTheme="minorHAnsi" w:cstheme="minorHAnsi"/>
          <w:b/>
          <w:iCs/>
          <w:color w:val="7030A0"/>
          <w:lang w:val="en-US"/>
        </w:rPr>
      </w:pPr>
      <w:r w:rsidRPr="001E14E3">
        <w:rPr>
          <w:rFonts w:asciiTheme="minorHAnsi" w:hAnsiTheme="minorHAnsi" w:cstheme="minorHAnsi"/>
          <w:b/>
          <w:iCs/>
          <w:color w:val="7030A0"/>
          <w:lang w:val="en-US"/>
        </w:rPr>
        <w:t>Variable Rates on Investments</w:t>
      </w:r>
    </w:p>
    <w:p w:rsidR="00036A12" w:rsidRPr="00FA543C" w:rsidRDefault="00036A12" w:rsidP="00036A12">
      <w:pPr>
        <w:autoSpaceDE w:val="0"/>
        <w:autoSpaceDN w:val="0"/>
        <w:adjustRightInd w:val="0"/>
        <w:rPr>
          <w:rFonts w:asciiTheme="minorHAnsi" w:hAnsiTheme="minorHAnsi" w:cstheme="minorHAnsi"/>
          <w:i/>
          <w:iCs/>
          <w:lang w:val="en-US"/>
        </w:rPr>
      </w:pPr>
    </w:p>
    <w:p w:rsidR="00036A12" w:rsidRPr="00FA543C" w:rsidRDefault="00355920" w:rsidP="00036A12">
      <w:pPr>
        <w:autoSpaceDE w:val="0"/>
        <w:autoSpaceDN w:val="0"/>
        <w:adjustRightInd w:val="0"/>
        <w:jc w:val="both"/>
        <w:rPr>
          <w:rFonts w:asciiTheme="minorHAnsi" w:hAnsiTheme="minorHAnsi" w:cstheme="minorHAnsi"/>
          <w:lang w:val="en-US"/>
        </w:rPr>
      </w:pPr>
      <w:r>
        <w:rPr>
          <w:rFonts w:asciiTheme="minorHAnsi" w:hAnsiTheme="minorHAnsi" w:cstheme="minorHAnsi"/>
          <w:i/>
          <w:lang w:val="en-US"/>
        </w:rPr>
        <w:t xml:space="preserve">Musharakah, Mudarabah, </w:t>
      </w:r>
      <w:r>
        <w:rPr>
          <w:rFonts w:asciiTheme="minorHAnsi" w:hAnsiTheme="minorHAnsi" w:cstheme="minorHAnsi"/>
          <w:lang w:val="en-US"/>
        </w:rPr>
        <w:t xml:space="preserve">and their variants known as </w:t>
      </w:r>
      <w:r>
        <w:rPr>
          <w:rFonts w:asciiTheme="minorHAnsi" w:hAnsiTheme="minorHAnsi" w:cstheme="minorHAnsi"/>
          <w:i/>
          <w:lang w:val="en-US"/>
        </w:rPr>
        <w:t xml:space="preserve">Shirkah </w:t>
      </w:r>
      <w:r>
        <w:rPr>
          <w:rFonts w:asciiTheme="minorHAnsi" w:hAnsiTheme="minorHAnsi" w:cstheme="minorHAnsi"/>
          <w:lang w:val="en-US"/>
        </w:rPr>
        <w:t xml:space="preserve">are partnership-based transactions that generate variable returns for the investors.  </w:t>
      </w:r>
      <w:r w:rsidR="008272FE">
        <w:rPr>
          <w:rFonts w:asciiTheme="minorHAnsi" w:hAnsiTheme="minorHAnsi" w:cstheme="minorHAnsi"/>
          <w:i/>
          <w:lang w:val="en-US"/>
        </w:rPr>
        <w:t xml:space="preserve">Shirkah </w:t>
      </w:r>
      <w:r w:rsidR="008272FE">
        <w:rPr>
          <w:rFonts w:asciiTheme="minorHAnsi" w:hAnsiTheme="minorHAnsi" w:cstheme="minorHAnsi"/>
          <w:lang w:val="en-US"/>
        </w:rPr>
        <w:t xml:space="preserve">is major tool in Islamic banking through which banks can mobilize funds from savers and investors and earn variable returns for themselves and for the depositors. These partnership modes can be used on the assets side to generate variable returns for the banks. </w:t>
      </w:r>
      <w:r w:rsidR="003D04CB">
        <w:rPr>
          <w:rFonts w:asciiTheme="minorHAnsi" w:hAnsiTheme="minorHAnsi" w:cstheme="minorHAnsi"/>
          <w:lang w:val="en-US"/>
        </w:rPr>
        <w:t xml:space="preserve">Products in these modes can be structured to yield partially fixed returns for the investors as well, for example when </w:t>
      </w:r>
      <w:r w:rsidR="003D04CB">
        <w:rPr>
          <w:rFonts w:asciiTheme="minorHAnsi" w:hAnsiTheme="minorHAnsi" w:cstheme="minorHAnsi"/>
          <w:i/>
          <w:lang w:val="en-US"/>
        </w:rPr>
        <w:t xml:space="preserve">shirkah </w:t>
      </w:r>
      <w:r w:rsidR="003D04CB">
        <w:rPr>
          <w:rFonts w:asciiTheme="minorHAnsi" w:hAnsiTheme="minorHAnsi" w:cstheme="minorHAnsi"/>
          <w:lang w:val="en-US"/>
        </w:rPr>
        <w:t xml:space="preserve">based investment is attached to trade and </w:t>
      </w:r>
      <w:r w:rsidR="003D04CB">
        <w:rPr>
          <w:rFonts w:asciiTheme="minorHAnsi" w:hAnsiTheme="minorHAnsi" w:cstheme="minorHAnsi"/>
          <w:i/>
          <w:lang w:val="en-US"/>
        </w:rPr>
        <w:t xml:space="preserve">ijarah </w:t>
      </w:r>
      <w:r w:rsidR="003D04CB">
        <w:rPr>
          <w:rFonts w:asciiTheme="minorHAnsi" w:hAnsiTheme="minorHAnsi" w:cstheme="minorHAnsi"/>
          <w:lang w:val="en-US"/>
        </w:rPr>
        <w:t xml:space="preserve">(fixed earning modes). Examples of such schemes include diminishing </w:t>
      </w:r>
      <w:r w:rsidR="003D04CB">
        <w:rPr>
          <w:rFonts w:asciiTheme="minorHAnsi" w:hAnsiTheme="minorHAnsi" w:cstheme="minorHAnsi"/>
          <w:i/>
          <w:lang w:val="en-US"/>
        </w:rPr>
        <w:t xml:space="preserve">musharakah </w:t>
      </w:r>
      <w:r w:rsidR="003D04CB">
        <w:rPr>
          <w:rFonts w:asciiTheme="minorHAnsi" w:hAnsiTheme="minorHAnsi" w:cstheme="minorHAnsi"/>
          <w:lang w:val="en-US"/>
        </w:rPr>
        <w:t xml:space="preserve">on the basis of </w:t>
      </w:r>
      <w:r w:rsidR="003D04CB">
        <w:rPr>
          <w:rFonts w:asciiTheme="minorHAnsi" w:hAnsiTheme="minorHAnsi" w:cstheme="minorHAnsi"/>
          <w:i/>
          <w:lang w:val="en-US"/>
        </w:rPr>
        <w:t>shirkat-ul-milk</w:t>
      </w:r>
      <w:r w:rsidR="008272FE">
        <w:rPr>
          <w:rFonts w:asciiTheme="minorHAnsi" w:hAnsiTheme="minorHAnsi" w:cstheme="minorHAnsi"/>
          <w:lang w:val="en-US"/>
        </w:rPr>
        <w:t xml:space="preserve"> </w:t>
      </w:r>
      <w:r w:rsidR="003D04CB">
        <w:rPr>
          <w:rFonts w:asciiTheme="minorHAnsi" w:hAnsiTheme="minorHAnsi" w:cstheme="minorHAnsi"/>
          <w:lang w:val="en-US"/>
        </w:rPr>
        <w:t xml:space="preserve">and securitization through </w:t>
      </w:r>
      <w:r w:rsidR="003D04CB">
        <w:rPr>
          <w:rFonts w:asciiTheme="minorHAnsi" w:hAnsiTheme="minorHAnsi" w:cstheme="minorHAnsi"/>
          <w:i/>
          <w:lang w:val="en-US"/>
        </w:rPr>
        <w:t xml:space="preserve">shirkah.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3D04CB"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In </w:t>
      </w:r>
      <w:r>
        <w:rPr>
          <w:rFonts w:asciiTheme="minorHAnsi" w:hAnsiTheme="minorHAnsi" w:cstheme="minorHAnsi"/>
          <w:i/>
          <w:lang w:val="en-US"/>
        </w:rPr>
        <w:t xml:space="preserve">shirkah, </w:t>
      </w:r>
      <w:r>
        <w:rPr>
          <w:rFonts w:asciiTheme="minorHAnsi" w:hAnsiTheme="minorHAnsi" w:cstheme="minorHAnsi"/>
          <w:lang w:val="en-US"/>
        </w:rPr>
        <w:t xml:space="preserve">partners are free come to mutual consensus and determine the ratio of profit to be shared by each and the loss incurred by each partner will be in direct proportion to their investment. Therefore, the business risk that partners are exposed to in </w:t>
      </w:r>
      <w:r>
        <w:rPr>
          <w:rFonts w:asciiTheme="minorHAnsi" w:hAnsiTheme="minorHAnsi" w:cstheme="minorHAnsi"/>
          <w:i/>
          <w:lang w:val="en-US"/>
        </w:rPr>
        <w:t xml:space="preserve">shirkah </w:t>
      </w:r>
      <w:r>
        <w:rPr>
          <w:rFonts w:asciiTheme="minorHAnsi" w:hAnsiTheme="minorHAnsi" w:cstheme="minorHAnsi"/>
          <w:lang w:val="en-US"/>
        </w:rPr>
        <w:t xml:space="preserve">modes is more than the risk in trade or </w:t>
      </w:r>
      <w:r>
        <w:rPr>
          <w:rFonts w:asciiTheme="minorHAnsi" w:hAnsiTheme="minorHAnsi" w:cstheme="minorHAnsi"/>
          <w:i/>
          <w:lang w:val="en-US"/>
        </w:rPr>
        <w:t xml:space="preserve">ijarah. </w:t>
      </w:r>
      <w:r>
        <w:rPr>
          <w:rFonts w:asciiTheme="minorHAnsi" w:hAnsiTheme="minorHAnsi" w:cstheme="minorHAnsi"/>
          <w:lang w:val="en-US"/>
        </w:rPr>
        <w:t>The</w:t>
      </w:r>
      <w:r w:rsidR="00D96FE8">
        <w:rPr>
          <w:rFonts w:asciiTheme="minorHAnsi" w:hAnsiTheme="minorHAnsi" w:cstheme="minorHAnsi"/>
          <w:lang w:val="en-US"/>
        </w:rPr>
        <w:t xml:space="preserve"> higher the risk </w:t>
      </w:r>
      <w:r>
        <w:rPr>
          <w:rFonts w:asciiTheme="minorHAnsi" w:hAnsiTheme="minorHAnsi" w:cstheme="minorHAnsi"/>
          <w:lang w:val="en-US"/>
        </w:rPr>
        <w:t>a partner is exposed to, the hig</w:t>
      </w:r>
      <w:r w:rsidR="00D96FE8">
        <w:rPr>
          <w:rFonts w:asciiTheme="minorHAnsi" w:hAnsiTheme="minorHAnsi" w:cstheme="minorHAnsi"/>
          <w:lang w:val="en-US"/>
        </w:rPr>
        <w:t>her will be their share in prof</w:t>
      </w:r>
      <w:r>
        <w:rPr>
          <w:rFonts w:asciiTheme="minorHAnsi" w:hAnsiTheme="minorHAnsi" w:cstheme="minorHAnsi"/>
          <w:lang w:val="en-US"/>
        </w:rPr>
        <w:t xml:space="preserve">it. </w:t>
      </w:r>
      <w:r w:rsidR="00D96FE8">
        <w:rPr>
          <w:rFonts w:asciiTheme="minorHAnsi" w:hAnsiTheme="minorHAnsi" w:cstheme="minorHAnsi"/>
          <w:lang w:val="en-US"/>
        </w:rPr>
        <w:t xml:space="preserve">Although Islamic banks have yet to fully utilize the potential that </w:t>
      </w:r>
      <w:r w:rsidR="00D96FE8">
        <w:rPr>
          <w:rFonts w:asciiTheme="minorHAnsi" w:hAnsiTheme="minorHAnsi" w:cstheme="minorHAnsi"/>
          <w:i/>
          <w:lang w:val="en-US"/>
        </w:rPr>
        <w:t xml:space="preserve">shirkah </w:t>
      </w:r>
      <w:r w:rsidR="00D96FE8">
        <w:rPr>
          <w:rFonts w:asciiTheme="minorHAnsi" w:hAnsiTheme="minorHAnsi" w:cstheme="minorHAnsi"/>
          <w:lang w:val="en-US"/>
        </w:rPr>
        <w:t xml:space="preserve">investments have to offer, these modes are widely used in various parts of the world and are preferred over debt-based financing. </w:t>
      </w:r>
    </w:p>
    <w:p w:rsidR="00036A12" w:rsidRPr="00FA543C" w:rsidRDefault="00036A12" w:rsidP="00036A12">
      <w:pPr>
        <w:rPr>
          <w:rFonts w:asciiTheme="minorHAnsi" w:hAnsiTheme="minorHAnsi" w:cstheme="minorHAnsi"/>
          <w:lang w:val="en-US"/>
        </w:rPr>
      </w:pPr>
    </w:p>
    <w:p w:rsidR="00036A12"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Entitlement to Profit – With Risk and Responsibility</w:t>
      </w:r>
    </w:p>
    <w:p w:rsidR="00036A12" w:rsidRPr="001E14E3" w:rsidRDefault="00036A12" w:rsidP="00036A12">
      <w:pPr>
        <w:autoSpaceDE w:val="0"/>
        <w:autoSpaceDN w:val="0"/>
        <w:adjustRightInd w:val="0"/>
        <w:rPr>
          <w:rFonts w:asciiTheme="minorHAnsi" w:hAnsiTheme="minorHAnsi" w:cstheme="minorHAnsi"/>
          <w:b/>
          <w:bCs/>
          <w:color w:val="7030A0"/>
          <w:lang w:val="en-US"/>
        </w:rPr>
      </w:pPr>
    </w:p>
    <w:p w:rsidR="00036A12" w:rsidRDefault="00D96FE8"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In </w:t>
      </w:r>
      <w:r>
        <w:rPr>
          <w:rFonts w:asciiTheme="minorHAnsi" w:hAnsiTheme="minorHAnsi" w:cstheme="minorHAnsi"/>
          <w:i/>
          <w:lang w:val="en-US"/>
        </w:rPr>
        <w:t>sharia</w:t>
      </w:r>
      <w:r>
        <w:rPr>
          <w:rFonts w:asciiTheme="minorHAnsi" w:hAnsiTheme="minorHAnsi" w:cstheme="minorHAnsi"/>
          <w:lang w:val="en-US"/>
        </w:rPr>
        <w:t xml:space="preserve"> the maxims:</w:t>
      </w:r>
      <w:r w:rsidR="00036A12" w:rsidRPr="00FA543C">
        <w:rPr>
          <w:rFonts w:asciiTheme="minorHAnsi" w:hAnsiTheme="minorHAnsi" w:cstheme="minorHAnsi"/>
          <w:lang w:val="en-US"/>
        </w:rPr>
        <w:t xml:space="preserve"> </w:t>
      </w:r>
      <w:r w:rsidR="00036A12" w:rsidRPr="00D96FE8">
        <w:rPr>
          <w:rFonts w:asciiTheme="minorHAnsi" w:hAnsiTheme="minorHAnsi" w:cstheme="minorHAnsi"/>
          <w:i/>
          <w:lang w:val="en-US"/>
        </w:rPr>
        <w:t>“Al Kharaj bi-al-Daman”</w:t>
      </w:r>
      <w:r w:rsidR="00036A12" w:rsidRPr="00FA543C">
        <w:rPr>
          <w:rFonts w:asciiTheme="minorHAnsi" w:hAnsiTheme="minorHAnsi" w:cstheme="minorHAnsi"/>
          <w:lang w:val="en-US"/>
        </w:rPr>
        <w:t xml:space="preserve"> or </w:t>
      </w:r>
      <w:r w:rsidR="00036A12" w:rsidRPr="00D96FE8">
        <w:rPr>
          <w:rFonts w:asciiTheme="minorHAnsi" w:hAnsiTheme="minorHAnsi" w:cstheme="minorHAnsi"/>
          <w:i/>
          <w:lang w:val="en-US"/>
        </w:rPr>
        <w:t>“Al Ghunmbil Ghurm”</w:t>
      </w:r>
      <w:r w:rsidR="00F04D8D">
        <w:rPr>
          <w:rFonts w:asciiTheme="minorHAnsi" w:hAnsiTheme="minorHAnsi" w:cstheme="minorHAnsi"/>
          <w:i/>
          <w:lang w:val="en-US"/>
        </w:rPr>
        <w:t xml:space="preserve"> </w:t>
      </w:r>
      <w:r w:rsidR="00F04D8D">
        <w:rPr>
          <w:rFonts w:asciiTheme="minorHAnsi" w:hAnsiTheme="minorHAnsi" w:cstheme="minorHAnsi"/>
          <w:lang w:val="en-US"/>
        </w:rPr>
        <w:t xml:space="preserve">form the basis if return on capital and imply that there is no profit on investment without the risk of loss. </w:t>
      </w:r>
      <w:r w:rsidR="005B5BE9">
        <w:rPr>
          <w:rFonts w:asciiTheme="minorHAnsi" w:hAnsiTheme="minorHAnsi" w:cstheme="minorHAnsi"/>
          <w:lang w:val="en-US"/>
        </w:rPr>
        <w:t xml:space="preserve">In order to earn profit, one has share the risk and reward of ownership through setting the prince of goods, services and usufruct of goods. </w:t>
      </w:r>
    </w:p>
    <w:p w:rsidR="005B5BE9" w:rsidRPr="00FA543C" w:rsidRDefault="005B5BE9"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I</w:t>
      </w:r>
      <w:r w:rsidR="00144820">
        <w:rPr>
          <w:rFonts w:asciiTheme="minorHAnsi" w:hAnsiTheme="minorHAnsi" w:cstheme="minorHAnsi"/>
          <w:lang w:val="en-US"/>
        </w:rPr>
        <w:t xml:space="preserve">n Islamic banking, investment goes beyond mere monetary or financial transactions and is only materialized when bank’s depositors or the banks indulge in a real activity. This is because according to Islamic financial principles money is not recognized as </w:t>
      </w:r>
      <w:r w:rsidR="00144820">
        <w:rPr>
          <w:rFonts w:asciiTheme="minorHAnsi" w:hAnsiTheme="minorHAnsi" w:cstheme="minorHAnsi"/>
          <w:lang w:val="en-US"/>
        </w:rPr>
        <w:lastRenderedPageBreak/>
        <w:t xml:space="preserve">capital and hence cannot earn returns unless it is paired with entrepreneurship in which case it has potential to multiply and generate returns.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AB1DF0"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willingness and ability of an investor to bear the risk of potential loss in investment is directly related to the value addition and return on investment. Reward should be determined by the productivity of </w:t>
      </w:r>
      <w:r w:rsidR="00FE7C00">
        <w:rPr>
          <w:rFonts w:asciiTheme="minorHAnsi" w:hAnsiTheme="minorHAnsi" w:cstheme="minorHAnsi"/>
          <w:lang w:val="en-US"/>
        </w:rPr>
        <w:t xml:space="preserve">the investment, therefore, lotteries, prize bonds and gambling do not fall into this category, as these activities rely on interest and are not productive. These prohibited activities are not based on the concept of sharing business risk and operate on pure luck, chance or the probability of a hazard.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F60B62"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Islamic banks are liable to bear ownership transfer risk, credit risk, market risk, commodity risk, price or rate of return risk, legal risk, etc. in debt-creating transactions. However, it is allowed for them to undertake risk-mitigating measures and to manage risk without eliminating it or transferring it to any other party without transferring the reward to the party as well.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E72299"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In the case of loans, there is no question of a share in profit or loss as the creditor gets his/her money back (exactly the amount of the loan) regardless of whether the debtor incurred a profit or a loss. On the other hand, in case of trade, as long as the asset is in the ownership of the seller or the lessor, he/she will have to bear the risk and expenses related to the asset</w:t>
      </w:r>
      <w:r w:rsidR="005D0DBD">
        <w:rPr>
          <w:rFonts w:asciiTheme="minorHAnsi" w:hAnsiTheme="minorHAnsi" w:cstheme="minorHAnsi"/>
          <w:lang w:val="en-US"/>
        </w:rPr>
        <w:t xml:space="preserve">. After the asset has been sold, then the risk along with the ownership is transferred to the buyer, and in case of a credit sale the buyer will have to pay the full price at the agreed time even if the asset has been destroyed. The buyer can, however, mitigate the risk of bearing loss through </w:t>
      </w:r>
      <w:r w:rsidR="005D0DBD">
        <w:rPr>
          <w:rFonts w:asciiTheme="minorHAnsi" w:hAnsiTheme="minorHAnsi" w:cstheme="minorHAnsi"/>
          <w:i/>
          <w:lang w:val="en-US"/>
        </w:rPr>
        <w:t xml:space="preserve">takaful, </w:t>
      </w:r>
      <w:r w:rsidR="005D0DBD">
        <w:rPr>
          <w:rFonts w:asciiTheme="minorHAnsi" w:hAnsiTheme="minorHAnsi" w:cstheme="minorHAnsi"/>
          <w:lang w:val="en-US"/>
        </w:rPr>
        <w:t xml:space="preserve">but he/she will be liable to pay the agreed price in any case. In </w:t>
      </w:r>
      <w:r w:rsidR="005D0DBD">
        <w:rPr>
          <w:rFonts w:asciiTheme="minorHAnsi" w:hAnsiTheme="minorHAnsi" w:cstheme="minorHAnsi"/>
          <w:i/>
          <w:lang w:val="en-US"/>
        </w:rPr>
        <w:t xml:space="preserve">Ijarah, </w:t>
      </w:r>
      <w:r w:rsidR="005D0DBD">
        <w:rPr>
          <w:rFonts w:asciiTheme="minorHAnsi" w:hAnsiTheme="minorHAnsi" w:cstheme="minorHAnsi"/>
          <w:lang w:val="en-US"/>
        </w:rPr>
        <w:t xml:space="preserve">the lessor is only entitled to rent so long as the asset is in usable condition, meaning that he/she will have to bear ownership related expenses and the risk. </w:t>
      </w:r>
      <w:r>
        <w:rPr>
          <w:rFonts w:asciiTheme="minorHAnsi" w:hAnsiTheme="minorHAnsi" w:cstheme="minorHAnsi"/>
          <w:lang w:val="en-US"/>
        </w:rPr>
        <w:t xml:space="preserve"> </w:t>
      </w:r>
    </w:p>
    <w:p w:rsidR="00036A12" w:rsidRPr="00FA543C" w:rsidRDefault="00036A12" w:rsidP="00036A12">
      <w:pPr>
        <w:autoSpaceDE w:val="0"/>
        <w:autoSpaceDN w:val="0"/>
        <w:adjustRightInd w:val="0"/>
        <w:rPr>
          <w:rFonts w:asciiTheme="minorHAnsi" w:hAnsiTheme="minorHAnsi" w:cstheme="minorHAnsi"/>
          <w:lang w:val="en-US"/>
        </w:rPr>
      </w:pPr>
    </w:p>
    <w:p w:rsidR="00036A12" w:rsidRPr="001E14E3"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Islamic Banks Dealing in Goods not in Money</w:t>
      </w:r>
    </w:p>
    <w:p w:rsidR="00036A12" w:rsidRPr="00FA543C" w:rsidRDefault="00036A12" w:rsidP="00036A12">
      <w:pPr>
        <w:autoSpaceDE w:val="0"/>
        <w:autoSpaceDN w:val="0"/>
        <w:adjustRightInd w:val="0"/>
        <w:rPr>
          <w:rFonts w:asciiTheme="minorHAnsi" w:hAnsiTheme="minorHAnsi" w:cstheme="minorHAnsi"/>
          <w:b/>
          <w:bCs/>
          <w:lang w:val="en-US"/>
        </w:rPr>
      </w:pPr>
    </w:p>
    <w:p w:rsidR="00036A12"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Conventional banks</w:t>
      </w:r>
      <w:r w:rsidR="005D0DBD">
        <w:rPr>
          <w:rFonts w:asciiTheme="minorHAnsi" w:hAnsiTheme="minorHAnsi" w:cstheme="minorHAnsi"/>
          <w:lang w:val="en-US"/>
        </w:rPr>
        <w:t xml:space="preserve"> function on the principle of interest through monetary transactions. They pay interest to the public in exchange for money deposited, and loan money to the needy and charge interest over the actual amount of debt. </w:t>
      </w:r>
      <w:r w:rsidR="00DC61E0">
        <w:rPr>
          <w:rFonts w:asciiTheme="minorHAnsi" w:hAnsiTheme="minorHAnsi" w:cstheme="minorHAnsi"/>
          <w:lang w:val="en-US"/>
        </w:rPr>
        <w:t xml:space="preserve">In case of finance lease or in foreign and domestic trade activities, although goods are involved but banks have no concern with goods or assets. They only deal with financing the purchase of goods and only require documents to facilitate trade. Therefore, banks take no responsibility or risk related to the subject of the contract (assets or goods). </w:t>
      </w:r>
      <w:r w:rsidRPr="00FA543C">
        <w:rPr>
          <w:rFonts w:asciiTheme="minorHAnsi" w:hAnsiTheme="minorHAnsi" w:cstheme="minorHAnsi"/>
          <w:lang w:val="en-US"/>
        </w:rPr>
        <w:t xml:space="preserve">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DC61E0"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According to Islamic principle, however, banks are required to deal with goods and documents and money is only considered a medium of exchange for selling, purchasing, leasing, etc. of goods and earning profit from such activities. Documents are required for materializing sale and lease contracts in accordance with guidance from </w:t>
      </w:r>
      <w:r>
        <w:rPr>
          <w:rFonts w:asciiTheme="minorHAnsi" w:hAnsiTheme="minorHAnsi" w:cstheme="minorHAnsi"/>
          <w:i/>
          <w:lang w:val="en-US"/>
        </w:rPr>
        <w:t xml:space="preserve">shari’a. </w:t>
      </w:r>
    </w:p>
    <w:p w:rsidR="00036A12" w:rsidRDefault="00036A12" w:rsidP="00036A12">
      <w:pPr>
        <w:autoSpaceDE w:val="0"/>
        <w:autoSpaceDN w:val="0"/>
        <w:adjustRightInd w:val="0"/>
        <w:jc w:val="both"/>
        <w:rPr>
          <w:rFonts w:asciiTheme="minorHAnsi" w:hAnsiTheme="minorHAnsi" w:cstheme="minorHAnsi"/>
          <w:lang w:val="en-US"/>
        </w:rPr>
      </w:pPr>
    </w:p>
    <w:p w:rsidR="00036A12" w:rsidRDefault="00886FAA"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It is clear from the discussion above that banks act as intermediaries between investors or savers and fund users through goods and documents to represent the ownership of real assets. </w:t>
      </w:r>
    </w:p>
    <w:p w:rsidR="00886FAA" w:rsidRDefault="00886FAA" w:rsidP="00036A12">
      <w:pPr>
        <w:autoSpaceDE w:val="0"/>
        <w:autoSpaceDN w:val="0"/>
        <w:adjustRightInd w:val="0"/>
        <w:jc w:val="both"/>
        <w:rPr>
          <w:rFonts w:asciiTheme="minorHAnsi" w:hAnsiTheme="minorHAnsi" w:cstheme="minorHAnsi"/>
          <w:lang w:val="en-US"/>
        </w:rPr>
      </w:pPr>
    </w:p>
    <w:p w:rsidR="00886FAA" w:rsidRDefault="00886FAA" w:rsidP="00036A12">
      <w:pPr>
        <w:autoSpaceDE w:val="0"/>
        <w:autoSpaceDN w:val="0"/>
        <w:adjustRightInd w:val="0"/>
        <w:jc w:val="both"/>
        <w:rPr>
          <w:rFonts w:asciiTheme="minorHAnsi" w:hAnsiTheme="minorHAnsi" w:cstheme="minorHAnsi"/>
          <w:lang w:val="en-US"/>
        </w:rPr>
      </w:pPr>
    </w:p>
    <w:p w:rsidR="00886FAA" w:rsidRPr="00FA543C" w:rsidRDefault="00886FAA"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rPr>
          <w:rFonts w:asciiTheme="minorHAnsi" w:hAnsiTheme="minorHAnsi" w:cstheme="minorHAnsi"/>
          <w:b/>
          <w:bCs/>
          <w:lang w:val="en-US"/>
        </w:rPr>
      </w:pPr>
    </w:p>
    <w:p w:rsidR="00036A12"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Transparency and Documentation</w:t>
      </w:r>
    </w:p>
    <w:p w:rsidR="00036A12" w:rsidRPr="001E14E3" w:rsidRDefault="00036A12" w:rsidP="00036A12">
      <w:pPr>
        <w:autoSpaceDE w:val="0"/>
        <w:autoSpaceDN w:val="0"/>
        <w:adjustRightInd w:val="0"/>
        <w:rPr>
          <w:rFonts w:asciiTheme="minorHAnsi" w:hAnsiTheme="minorHAnsi" w:cstheme="minorHAnsi"/>
          <w:b/>
          <w:bCs/>
          <w:color w:val="7030A0"/>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Islamic banks</w:t>
      </w:r>
      <w:r w:rsidR="00886FAA">
        <w:rPr>
          <w:rFonts w:asciiTheme="minorHAnsi" w:hAnsiTheme="minorHAnsi" w:cstheme="minorHAnsi"/>
          <w:lang w:val="en-US"/>
        </w:rPr>
        <w:t xml:space="preserve"> need to be more particular about documentation and disclosure of information than conventional banks because in </w:t>
      </w:r>
      <w:r w:rsidR="00A57CD1">
        <w:rPr>
          <w:rFonts w:asciiTheme="minorHAnsi" w:hAnsiTheme="minorHAnsi" w:cstheme="minorHAnsi"/>
          <w:lang w:val="en-US"/>
        </w:rPr>
        <w:t xml:space="preserve">transactions such as </w:t>
      </w:r>
      <w:r w:rsidR="00A57CD1">
        <w:rPr>
          <w:rFonts w:asciiTheme="minorHAnsi" w:hAnsiTheme="minorHAnsi" w:cstheme="minorHAnsi"/>
          <w:i/>
          <w:lang w:val="en-US"/>
        </w:rPr>
        <w:t xml:space="preserve">murabaha </w:t>
      </w:r>
      <w:r w:rsidR="00A57CD1">
        <w:rPr>
          <w:rFonts w:asciiTheme="minorHAnsi" w:hAnsiTheme="minorHAnsi" w:cstheme="minorHAnsi"/>
          <w:lang w:val="en-US"/>
        </w:rPr>
        <w:t xml:space="preserve">if all information regarding cost/price and the mode of payment is not disclosed than the whole process can be deemed </w:t>
      </w:r>
      <w:r w:rsidR="00A57CD1">
        <w:rPr>
          <w:rFonts w:asciiTheme="minorHAnsi" w:hAnsiTheme="minorHAnsi" w:cstheme="minorHAnsi"/>
          <w:i/>
          <w:lang w:val="en-US"/>
        </w:rPr>
        <w:t xml:space="preserve">shari’a </w:t>
      </w:r>
      <w:r w:rsidR="00A57CD1">
        <w:rPr>
          <w:rFonts w:asciiTheme="minorHAnsi" w:hAnsiTheme="minorHAnsi" w:cstheme="minorHAnsi"/>
          <w:lang w:val="en-US"/>
        </w:rPr>
        <w:t xml:space="preserve">non-compliant. </w:t>
      </w:r>
      <w:r w:rsidRPr="00FA543C">
        <w:rPr>
          <w:rFonts w:asciiTheme="minorHAnsi" w:hAnsiTheme="minorHAnsi" w:cstheme="minorHAnsi"/>
          <w:lang w:val="en-US"/>
        </w:rPr>
        <w:t xml:space="preserve"> </w:t>
      </w:r>
    </w:p>
    <w:p w:rsidR="00036A12" w:rsidRPr="00FA543C" w:rsidRDefault="00036A12" w:rsidP="00036A12">
      <w:pPr>
        <w:jc w:val="both"/>
        <w:rPr>
          <w:rFonts w:asciiTheme="minorHAnsi" w:hAnsiTheme="minorHAnsi" w:cstheme="minorHAnsi"/>
          <w:lang w:val="en-US"/>
        </w:rPr>
      </w:pPr>
    </w:p>
    <w:p w:rsidR="00036A12" w:rsidRDefault="00237ED9"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Islamic financial principles dictate that all transactions in credit sales or purchases must be recorded and conducted in the presence of witnesses. According to the Holy Prophet’s (PBUH) practice, all information about the goods involved in trade must be disclosed and the competitive market must have equal and sufficient information regarding prices and the goods’ features. Islamic banks have to follow the example set by the Holy Prophet (PBUH) and ensure that they are not limited to the role of a financier whose sole concern is earning interest on loans. On the contrary, Islamic banks </w:t>
      </w:r>
      <w:r w:rsidR="00C04056">
        <w:rPr>
          <w:rFonts w:asciiTheme="minorHAnsi" w:hAnsiTheme="minorHAnsi" w:cstheme="minorHAnsi"/>
          <w:lang w:val="en-US"/>
        </w:rPr>
        <w:t xml:space="preserve">must use financing modes to finance real physical assets such as machinery, inventory, equipment, etc. Similarly, the banks’ clients are bound to indulge in business activities that add value to the economy rather than being mere paper transactions. </w:t>
      </w:r>
    </w:p>
    <w:p w:rsidR="00C04056" w:rsidRPr="00FA543C" w:rsidRDefault="00C04056" w:rsidP="00036A12">
      <w:pPr>
        <w:autoSpaceDE w:val="0"/>
        <w:autoSpaceDN w:val="0"/>
        <w:adjustRightInd w:val="0"/>
        <w:jc w:val="both"/>
        <w:rPr>
          <w:rFonts w:asciiTheme="minorHAnsi" w:hAnsiTheme="minorHAnsi" w:cstheme="minorHAnsi"/>
          <w:lang w:val="en-US"/>
        </w:rPr>
      </w:pPr>
    </w:p>
    <w:p w:rsidR="00036A12" w:rsidRPr="00FA543C" w:rsidRDefault="00C04056"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As a partner in trade, Islamic banks must be careful about choosing their clients and the nature of business they are indulging in. </w:t>
      </w:r>
      <w:r w:rsidR="00374E59">
        <w:rPr>
          <w:rFonts w:asciiTheme="minorHAnsi" w:hAnsiTheme="minorHAnsi" w:cstheme="minorHAnsi"/>
          <w:lang w:val="en-US"/>
        </w:rPr>
        <w:t xml:space="preserve">If they follow </w:t>
      </w:r>
      <w:r w:rsidR="00374E59">
        <w:rPr>
          <w:rFonts w:asciiTheme="minorHAnsi" w:hAnsiTheme="minorHAnsi" w:cstheme="minorHAnsi"/>
          <w:i/>
          <w:lang w:val="en-US"/>
        </w:rPr>
        <w:t xml:space="preserve">shari’a </w:t>
      </w:r>
      <w:r w:rsidR="00374E59">
        <w:rPr>
          <w:rFonts w:asciiTheme="minorHAnsi" w:hAnsiTheme="minorHAnsi" w:cstheme="minorHAnsi"/>
          <w:lang w:val="en-US"/>
        </w:rPr>
        <w:t xml:space="preserve">compliant practices and get guidance from Islamic principles, then they are far less likely to participate in illegal practices such as money laundering as compared to conventional banks. </w:t>
      </w:r>
    </w:p>
    <w:p w:rsidR="00036A12" w:rsidRPr="00FA543C" w:rsidRDefault="00036A12" w:rsidP="00036A12">
      <w:pPr>
        <w:rPr>
          <w:rFonts w:asciiTheme="minorHAnsi" w:hAnsiTheme="minorHAnsi" w:cstheme="minorHAnsi"/>
          <w:lang w:val="en-US"/>
        </w:rPr>
      </w:pPr>
    </w:p>
    <w:p w:rsidR="00036A12" w:rsidRPr="001E14E3"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Additional Risks Faced by Islamic Banks</w:t>
      </w:r>
    </w:p>
    <w:p w:rsidR="00036A12" w:rsidRPr="00FA543C" w:rsidRDefault="00036A12" w:rsidP="00036A12">
      <w:pPr>
        <w:autoSpaceDE w:val="0"/>
        <w:autoSpaceDN w:val="0"/>
        <w:adjustRightInd w:val="0"/>
        <w:rPr>
          <w:rFonts w:asciiTheme="minorHAnsi" w:hAnsiTheme="minorHAnsi" w:cstheme="minorHAnsi"/>
          <w:lang w:val="en-US"/>
        </w:rPr>
      </w:pPr>
    </w:p>
    <w:p w:rsidR="00036A12" w:rsidRPr="00FA543C" w:rsidRDefault="00134E9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There are several risks associated with transactions that Islamic banks are involved in, so although they can take collateral for providing finance, they cannot rely too heavily on it. They need to undertake a careful evaluation of risks in order to mitigate them. Asset and market risks, </w:t>
      </w:r>
      <w:r>
        <w:rPr>
          <w:rFonts w:asciiTheme="minorHAnsi" w:hAnsiTheme="minorHAnsi" w:cstheme="minorHAnsi"/>
          <w:i/>
          <w:lang w:val="en-US"/>
        </w:rPr>
        <w:t xml:space="preserve">shari’a </w:t>
      </w:r>
      <w:r>
        <w:rPr>
          <w:rFonts w:asciiTheme="minorHAnsi" w:hAnsiTheme="minorHAnsi" w:cstheme="minorHAnsi"/>
          <w:lang w:val="en-US"/>
        </w:rPr>
        <w:t xml:space="preserve">non-compliance risks, greater rate of return and fiduciary risks, legal and withdrawal risks, etc. are just some of the additional risks that Islamic banks have to face.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5A4240" w:rsidP="0023360C">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In transactions such as </w:t>
      </w:r>
      <w:r>
        <w:rPr>
          <w:rFonts w:asciiTheme="minorHAnsi" w:hAnsiTheme="minorHAnsi" w:cstheme="minorHAnsi"/>
          <w:i/>
          <w:lang w:val="en-US"/>
        </w:rPr>
        <w:t xml:space="preserve">Murabaha </w:t>
      </w:r>
      <w:r>
        <w:rPr>
          <w:rFonts w:asciiTheme="minorHAnsi" w:hAnsiTheme="minorHAnsi" w:cstheme="minorHAnsi"/>
          <w:lang w:val="en-US"/>
        </w:rPr>
        <w:t xml:space="preserve">(before on ward sale to the client), </w:t>
      </w:r>
      <w:r>
        <w:rPr>
          <w:rFonts w:asciiTheme="minorHAnsi" w:hAnsiTheme="minorHAnsi" w:cstheme="minorHAnsi"/>
          <w:i/>
          <w:lang w:val="en-US"/>
        </w:rPr>
        <w:t xml:space="preserve">Salam </w:t>
      </w:r>
      <w:r>
        <w:rPr>
          <w:rFonts w:asciiTheme="minorHAnsi" w:hAnsiTheme="minorHAnsi" w:cstheme="minorHAnsi"/>
          <w:lang w:val="en-US"/>
        </w:rPr>
        <w:t xml:space="preserve">(after receiving delivery from the seller), and </w:t>
      </w:r>
      <w:r>
        <w:rPr>
          <w:rFonts w:asciiTheme="minorHAnsi" w:hAnsiTheme="minorHAnsi" w:cstheme="minorHAnsi"/>
          <w:i/>
          <w:lang w:val="en-US"/>
        </w:rPr>
        <w:t xml:space="preserve">Ijarah </w:t>
      </w:r>
      <w:r>
        <w:rPr>
          <w:rFonts w:asciiTheme="minorHAnsi" w:hAnsiTheme="minorHAnsi" w:cstheme="minorHAnsi"/>
          <w:lang w:val="en-US"/>
        </w:rPr>
        <w:t xml:space="preserve">there is a greater asset risk, as banks have to bear the risk of ownership. However, in </w:t>
      </w:r>
      <w:r>
        <w:rPr>
          <w:rFonts w:asciiTheme="minorHAnsi" w:hAnsiTheme="minorHAnsi" w:cstheme="minorHAnsi"/>
          <w:i/>
          <w:lang w:val="en-US"/>
        </w:rPr>
        <w:t xml:space="preserve">Shirkah </w:t>
      </w:r>
      <w:r>
        <w:rPr>
          <w:rFonts w:asciiTheme="minorHAnsi" w:hAnsiTheme="minorHAnsi" w:cstheme="minorHAnsi"/>
          <w:lang w:val="en-US"/>
        </w:rPr>
        <w:t xml:space="preserve">transactions risk is shared according to the share in ownership. Changes in government’s trade policy or in the economy can lead to variations in demand and the price of goods, which can result in asset, price and rate of return risk. In order to mitigate that risk, it is directed that receivables created in </w:t>
      </w:r>
      <w:r>
        <w:rPr>
          <w:rFonts w:asciiTheme="minorHAnsi" w:hAnsiTheme="minorHAnsi" w:cstheme="minorHAnsi"/>
          <w:i/>
          <w:lang w:val="en-US"/>
        </w:rPr>
        <w:t xml:space="preserve">murabaha </w:t>
      </w:r>
      <w:r>
        <w:rPr>
          <w:rFonts w:asciiTheme="minorHAnsi" w:hAnsiTheme="minorHAnsi" w:cstheme="minorHAnsi"/>
          <w:lang w:val="en-US"/>
        </w:rPr>
        <w:t xml:space="preserve">cannot be altered or enhanced even if the general market rate rises. In case of </w:t>
      </w:r>
      <w:r>
        <w:rPr>
          <w:rFonts w:asciiTheme="minorHAnsi" w:hAnsiTheme="minorHAnsi" w:cstheme="minorHAnsi"/>
          <w:i/>
          <w:lang w:val="en-US"/>
        </w:rPr>
        <w:t xml:space="preserve">shari’a </w:t>
      </w:r>
      <w:r>
        <w:rPr>
          <w:rFonts w:asciiTheme="minorHAnsi" w:hAnsiTheme="minorHAnsi" w:cstheme="minorHAnsi"/>
          <w:lang w:val="en-US"/>
        </w:rPr>
        <w:t xml:space="preserve">non-compliance, all related income would go to the Charity Account and the bank would risk losing its credibility </w:t>
      </w:r>
      <w:r w:rsidR="0023360C">
        <w:rPr>
          <w:rFonts w:asciiTheme="minorHAnsi" w:hAnsiTheme="minorHAnsi" w:cstheme="minorHAnsi"/>
          <w:lang w:val="en-US"/>
        </w:rPr>
        <w:t xml:space="preserve">with its client, leading to withdrawal risk and a contagion effect for the overall Islamic finance market. Islamic banks’ greater involvement in assets may result in higher levels of legal risk as compared to conventional banks. </w:t>
      </w:r>
    </w:p>
    <w:p w:rsidR="0023360C" w:rsidRDefault="0023360C" w:rsidP="0023360C">
      <w:pPr>
        <w:autoSpaceDE w:val="0"/>
        <w:autoSpaceDN w:val="0"/>
        <w:adjustRightInd w:val="0"/>
        <w:jc w:val="both"/>
        <w:rPr>
          <w:rFonts w:asciiTheme="minorHAnsi" w:hAnsiTheme="minorHAnsi" w:cstheme="minorHAnsi"/>
          <w:lang w:val="en-US"/>
        </w:rPr>
      </w:pPr>
    </w:p>
    <w:p w:rsidR="0023360C" w:rsidRDefault="0023360C" w:rsidP="0023360C">
      <w:pPr>
        <w:autoSpaceDE w:val="0"/>
        <w:autoSpaceDN w:val="0"/>
        <w:adjustRightInd w:val="0"/>
        <w:jc w:val="both"/>
        <w:rPr>
          <w:rFonts w:asciiTheme="minorHAnsi" w:hAnsiTheme="minorHAnsi" w:cstheme="minorHAnsi"/>
          <w:lang w:val="en-US"/>
        </w:rPr>
      </w:pPr>
    </w:p>
    <w:p w:rsidR="0023360C" w:rsidRDefault="0023360C" w:rsidP="0023360C">
      <w:pPr>
        <w:autoSpaceDE w:val="0"/>
        <w:autoSpaceDN w:val="0"/>
        <w:adjustRightInd w:val="0"/>
        <w:jc w:val="both"/>
        <w:rPr>
          <w:rFonts w:asciiTheme="minorHAnsi" w:hAnsiTheme="minorHAnsi" w:cstheme="minorHAnsi"/>
          <w:lang w:val="en-US"/>
        </w:rPr>
      </w:pPr>
    </w:p>
    <w:p w:rsidR="0023360C" w:rsidRDefault="0023360C" w:rsidP="0023360C">
      <w:pPr>
        <w:autoSpaceDE w:val="0"/>
        <w:autoSpaceDN w:val="0"/>
        <w:adjustRightInd w:val="0"/>
        <w:jc w:val="both"/>
        <w:rPr>
          <w:rFonts w:asciiTheme="minorHAnsi" w:hAnsiTheme="minorHAnsi" w:cstheme="minorHAnsi"/>
          <w:lang w:val="en-US"/>
        </w:rPr>
      </w:pPr>
    </w:p>
    <w:p w:rsidR="0023360C" w:rsidRPr="00FA543C" w:rsidRDefault="0023360C" w:rsidP="0023360C">
      <w:pPr>
        <w:autoSpaceDE w:val="0"/>
        <w:autoSpaceDN w:val="0"/>
        <w:adjustRightInd w:val="0"/>
        <w:jc w:val="both"/>
        <w:rPr>
          <w:rFonts w:asciiTheme="minorHAnsi" w:hAnsiTheme="minorHAnsi" w:cstheme="minorHAnsi"/>
          <w:lang w:val="en-US"/>
        </w:rPr>
      </w:pPr>
    </w:p>
    <w:p w:rsidR="00036A12"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Debt versus Equity</w:t>
      </w:r>
    </w:p>
    <w:p w:rsidR="00036A12" w:rsidRPr="001E14E3" w:rsidRDefault="00036A12" w:rsidP="00036A12">
      <w:pPr>
        <w:autoSpaceDE w:val="0"/>
        <w:autoSpaceDN w:val="0"/>
        <w:adjustRightInd w:val="0"/>
        <w:rPr>
          <w:rFonts w:asciiTheme="minorHAnsi" w:hAnsiTheme="minorHAnsi" w:cstheme="minorHAnsi"/>
          <w:b/>
          <w:bCs/>
          <w:color w:val="7030A0"/>
          <w:lang w:val="en-US"/>
        </w:rPr>
      </w:pPr>
    </w:p>
    <w:p w:rsidR="00036A12" w:rsidRPr="00FA543C" w:rsidRDefault="0023360C"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In our discussion above, we have established that debt cannot be eliminated from Islamic finance. When Islamic financial institutions provide funding or assistance, debt is automatically created and must be shown clearly in the balance sheets. Therefore, the question is not “debt versus equity”, rather it deals with putting greater emphasis on creating equity and ensuring that once debt is created, its amount must remain the same and should not increase </w:t>
      </w:r>
      <w:r w:rsidR="00BE4007">
        <w:rPr>
          <w:rFonts w:asciiTheme="minorHAnsi" w:hAnsiTheme="minorHAnsi" w:cstheme="minorHAnsi"/>
          <w:lang w:val="en-US"/>
        </w:rPr>
        <w:t>as per conventional opportunity cost theory or the principle of interest.</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BE4007" w:rsidP="00BE4007">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In a lot of circumstances it is not feasible or advisable to use </w:t>
      </w:r>
      <w:r>
        <w:rPr>
          <w:rFonts w:asciiTheme="minorHAnsi" w:hAnsiTheme="minorHAnsi" w:cstheme="minorHAnsi"/>
          <w:i/>
          <w:lang w:val="en-US"/>
        </w:rPr>
        <w:t xml:space="preserve">shirkah </w:t>
      </w:r>
      <w:r>
        <w:rPr>
          <w:rFonts w:asciiTheme="minorHAnsi" w:hAnsiTheme="minorHAnsi" w:cstheme="minorHAnsi"/>
          <w:lang w:val="en-US"/>
        </w:rPr>
        <w:t xml:space="preserve">modes depending on the risk profile of investors. Take for example, a widow who comes to an Islamic bank to invest her money in a </w:t>
      </w:r>
      <w:r>
        <w:rPr>
          <w:rFonts w:asciiTheme="minorHAnsi" w:hAnsiTheme="minorHAnsi" w:cstheme="minorHAnsi"/>
          <w:i/>
          <w:lang w:val="en-US"/>
        </w:rPr>
        <w:t xml:space="preserve">shari’a </w:t>
      </w:r>
      <w:r>
        <w:rPr>
          <w:rFonts w:asciiTheme="minorHAnsi" w:hAnsiTheme="minorHAnsi" w:cstheme="minorHAnsi"/>
          <w:lang w:val="en-US"/>
        </w:rPr>
        <w:t xml:space="preserve">compliant business that is less risky as she cannot bear the risk of loss that is associated with </w:t>
      </w:r>
      <w:r>
        <w:rPr>
          <w:rFonts w:asciiTheme="minorHAnsi" w:hAnsiTheme="minorHAnsi" w:cstheme="minorHAnsi"/>
          <w:i/>
          <w:lang w:val="en-US"/>
        </w:rPr>
        <w:t xml:space="preserve">shirkah. </w:t>
      </w:r>
      <w:r>
        <w:rPr>
          <w:rFonts w:asciiTheme="minorHAnsi" w:hAnsiTheme="minorHAnsi" w:cstheme="minorHAnsi"/>
          <w:lang w:val="en-US"/>
        </w:rPr>
        <w:t xml:space="preserve">In this case, the bank will be bound to invest its client’s funds in trade or </w:t>
      </w:r>
      <w:r>
        <w:rPr>
          <w:rFonts w:asciiTheme="minorHAnsi" w:hAnsiTheme="minorHAnsi" w:cstheme="minorHAnsi"/>
          <w:i/>
          <w:lang w:val="en-US"/>
        </w:rPr>
        <w:t xml:space="preserve">ijarah </w:t>
      </w:r>
      <w:r>
        <w:rPr>
          <w:rFonts w:asciiTheme="minorHAnsi" w:hAnsiTheme="minorHAnsi" w:cstheme="minorHAnsi"/>
          <w:lang w:val="en-US"/>
        </w:rPr>
        <w:t xml:space="preserve">activities where debt will be created.  </w:t>
      </w:r>
      <w:r>
        <w:rPr>
          <w:rFonts w:asciiTheme="minorHAnsi" w:hAnsiTheme="minorHAnsi" w:cstheme="minorHAnsi"/>
          <w:i/>
          <w:lang w:val="en-US"/>
        </w:rPr>
        <w:t xml:space="preserve"> </w:t>
      </w:r>
    </w:p>
    <w:p w:rsidR="00BE4007" w:rsidRPr="00FA543C" w:rsidRDefault="00BE4007" w:rsidP="00BE4007">
      <w:pPr>
        <w:autoSpaceDE w:val="0"/>
        <w:autoSpaceDN w:val="0"/>
        <w:adjustRightInd w:val="0"/>
        <w:jc w:val="both"/>
        <w:rPr>
          <w:rFonts w:asciiTheme="minorHAnsi" w:hAnsiTheme="minorHAnsi" w:cstheme="minorHAnsi"/>
          <w:lang w:val="en-US"/>
        </w:rPr>
      </w:pPr>
    </w:p>
    <w:p w:rsidR="00036A12" w:rsidRPr="00FA543C" w:rsidRDefault="00BE400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Although many economic and financial experts </w:t>
      </w:r>
      <w:r w:rsidR="00020CD1">
        <w:rPr>
          <w:rFonts w:asciiTheme="minorHAnsi" w:hAnsiTheme="minorHAnsi" w:cstheme="minorHAnsi"/>
          <w:lang w:val="en-US"/>
        </w:rPr>
        <w:t xml:space="preserve">doing research on Islamic finance claim that </w:t>
      </w:r>
      <w:r w:rsidR="00020CD1">
        <w:rPr>
          <w:rFonts w:asciiTheme="minorHAnsi" w:hAnsiTheme="minorHAnsi" w:cstheme="minorHAnsi"/>
          <w:i/>
          <w:lang w:val="en-US"/>
        </w:rPr>
        <w:t xml:space="preserve">shirkah </w:t>
      </w:r>
      <w:r w:rsidR="00020CD1">
        <w:rPr>
          <w:rFonts w:asciiTheme="minorHAnsi" w:hAnsiTheme="minorHAnsi" w:cstheme="minorHAnsi"/>
          <w:lang w:val="en-US"/>
        </w:rPr>
        <w:t xml:space="preserve">is the only way to avoid interest thus it provides a sole alternative to interest-based conventional banking. However, it can be argued that debt has always existed and forms the basis of economies. There is no harm in creating debt as Prophet (PBUH) himself incurred debt for personal and State requirements, but it must be ensured that debt remains interest-free. This argument implies that </w:t>
      </w:r>
      <w:r w:rsidR="00020CD1">
        <w:rPr>
          <w:rFonts w:asciiTheme="minorHAnsi" w:hAnsiTheme="minorHAnsi" w:cstheme="minorHAnsi"/>
          <w:i/>
          <w:lang w:val="en-US"/>
        </w:rPr>
        <w:t xml:space="preserve">murabaha, salam, </w:t>
      </w:r>
      <w:r w:rsidR="00020CD1">
        <w:rPr>
          <w:rFonts w:asciiTheme="minorHAnsi" w:hAnsiTheme="minorHAnsi" w:cstheme="minorHAnsi"/>
          <w:lang w:val="en-US"/>
        </w:rPr>
        <w:t xml:space="preserve">and </w:t>
      </w:r>
      <w:r w:rsidR="00020CD1">
        <w:rPr>
          <w:rFonts w:asciiTheme="minorHAnsi" w:hAnsiTheme="minorHAnsi" w:cstheme="minorHAnsi"/>
          <w:i/>
          <w:lang w:val="en-US"/>
        </w:rPr>
        <w:t xml:space="preserve">ijarah </w:t>
      </w:r>
      <w:r w:rsidR="00020CD1">
        <w:rPr>
          <w:rFonts w:asciiTheme="minorHAnsi" w:hAnsiTheme="minorHAnsi" w:cstheme="minorHAnsi"/>
          <w:lang w:val="en-US"/>
        </w:rPr>
        <w:t xml:space="preserve">are legitimate tools of Islamic finance. The issue therefore, is not whether debt creation is permissible, but whether a greater preference should be given to equity over debt.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020CD1"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main purpose of Islamic finance providing alternatives to conventional modes of finance is to strike a healthy balance between debt and equity. Economies that rely too heavily on debt are unstable and risk frequent collapses. The US economy, for example, has incurred levels of </w:t>
      </w:r>
      <w:r w:rsidR="00D86528">
        <w:rPr>
          <w:rFonts w:asciiTheme="minorHAnsi" w:hAnsiTheme="minorHAnsi" w:cstheme="minorHAnsi"/>
          <w:lang w:val="en-US"/>
        </w:rPr>
        <w:t xml:space="preserve">public and private debt that threaten its economic balance. Had it not been for the fact that US dollar is the reserve currency and financial policies of international institutions like the World Bank, World Trade Organization, and International Monetary Fund; the US economy might have found it difficult bear the enormous debt burden. </w:t>
      </w:r>
    </w:p>
    <w:p w:rsidR="00036A12" w:rsidRPr="00FA543C" w:rsidRDefault="00036A12" w:rsidP="00036A12">
      <w:pPr>
        <w:rPr>
          <w:rFonts w:asciiTheme="minorHAnsi" w:hAnsiTheme="minorHAnsi" w:cstheme="minorHAnsi"/>
          <w:lang w:val="en-US"/>
        </w:rPr>
      </w:pPr>
    </w:p>
    <w:p w:rsidR="00036A12"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Islamic Banking: Business versus Benevolence</w:t>
      </w:r>
    </w:p>
    <w:p w:rsidR="00036A12" w:rsidRPr="001E14E3" w:rsidRDefault="00036A12" w:rsidP="00036A12">
      <w:pPr>
        <w:autoSpaceDE w:val="0"/>
        <w:autoSpaceDN w:val="0"/>
        <w:adjustRightInd w:val="0"/>
        <w:rPr>
          <w:rFonts w:asciiTheme="minorHAnsi" w:hAnsiTheme="minorHAnsi" w:cstheme="minorHAnsi"/>
          <w:b/>
          <w:bCs/>
          <w:color w:val="7030A0"/>
          <w:lang w:val="en-US"/>
        </w:rPr>
      </w:pPr>
    </w:p>
    <w:p w:rsidR="00036A12" w:rsidRDefault="00D86528"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Islamic banks’ conformity to </w:t>
      </w:r>
      <w:r>
        <w:rPr>
          <w:rFonts w:asciiTheme="minorHAnsi" w:hAnsiTheme="minorHAnsi" w:cstheme="minorHAnsi"/>
          <w:i/>
          <w:lang w:val="en-US"/>
        </w:rPr>
        <w:t xml:space="preserve">shari’a </w:t>
      </w:r>
      <w:r>
        <w:rPr>
          <w:rFonts w:asciiTheme="minorHAnsi" w:hAnsiTheme="minorHAnsi" w:cstheme="minorHAnsi"/>
          <w:lang w:val="en-US"/>
        </w:rPr>
        <w:t xml:space="preserve">often lead some to think that these banks function more like social security centers rather than businesses. This is neither true, not the intention behind Islamic financial principles. Islamic banks do not provide return-free loans to the needy and they do not provide benevolent assistance to charities. Banks are under no obligation to contribute towards charity, which is a noble and rewarding activity on a personal level, as they cannot dole out their clients’ and depositors’ funds at their free will. </w:t>
      </w:r>
    </w:p>
    <w:p w:rsidR="00D86528" w:rsidRDefault="00D86528" w:rsidP="00036A12">
      <w:pPr>
        <w:autoSpaceDE w:val="0"/>
        <w:autoSpaceDN w:val="0"/>
        <w:adjustRightInd w:val="0"/>
        <w:jc w:val="both"/>
        <w:rPr>
          <w:rFonts w:asciiTheme="minorHAnsi" w:hAnsiTheme="minorHAnsi" w:cstheme="minorHAnsi"/>
          <w:lang w:val="en-US"/>
        </w:rPr>
      </w:pPr>
    </w:p>
    <w:p w:rsidR="00D86528" w:rsidRDefault="00D86528" w:rsidP="00036A12">
      <w:pPr>
        <w:autoSpaceDE w:val="0"/>
        <w:autoSpaceDN w:val="0"/>
        <w:adjustRightInd w:val="0"/>
        <w:jc w:val="both"/>
        <w:rPr>
          <w:rFonts w:asciiTheme="minorHAnsi" w:hAnsiTheme="minorHAnsi" w:cstheme="minorHAnsi"/>
          <w:lang w:val="en-US"/>
        </w:rPr>
      </w:pPr>
    </w:p>
    <w:p w:rsidR="00D86528" w:rsidRDefault="00D86528" w:rsidP="00036A12">
      <w:pPr>
        <w:autoSpaceDE w:val="0"/>
        <w:autoSpaceDN w:val="0"/>
        <w:adjustRightInd w:val="0"/>
        <w:jc w:val="both"/>
        <w:rPr>
          <w:rFonts w:asciiTheme="minorHAnsi" w:hAnsiTheme="minorHAnsi" w:cstheme="minorHAnsi"/>
          <w:lang w:val="en-US"/>
        </w:rPr>
      </w:pPr>
    </w:p>
    <w:p w:rsidR="00D86528" w:rsidRPr="00FA543C" w:rsidRDefault="00D86528"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rPr>
          <w:rFonts w:asciiTheme="minorHAnsi" w:hAnsiTheme="minorHAnsi" w:cstheme="minorHAnsi"/>
          <w:lang w:val="en-US"/>
        </w:rPr>
      </w:pPr>
    </w:p>
    <w:p w:rsidR="00036A12" w:rsidRDefault="00036A12" w:rsidP="00036A12">
      <w:pPr>
        <w:autoSpaceDE w:val="0"/>
        <w:autoSpaceDN w:val="0"/>
        <w:adjustRightInd w:val="0"/>
        <w:rPr>
          <w:rFonts w:asciiTheme="minorHAnsi" w:hAnsiTheme="minorHAnsi" w:cstheme="minorHAnsi"/>
          <w:b/>
          <w:bCs/>
          <w:color w:val="7030A0"/>
          <w:lang w:val="en-US"/>
        </w:rPr>
      </w:pPr>
      <w:r w:rsidRPr="001E14E3">
        <w:rPr>
          <w:rFonts w:asciiTheme="minorHAnsi" w:hAnsiTheme="minorHAnsi" w:cstheme="minorHAnsi"/>
          <w:b/>
          <w:bCs/>
          <w:color w:val="7030A0"/>
          <w:lang w:val="en-US"/>
        </w:rPr>
        <w:t>Exchange Rules</w:t>
      </w:r>
    </w:p>
    <w:p w:rsidR="00036A12" w:rsidRPr="001E14E3" w:rsidRDefault="00036A12" w:rsidP="00036A12">
      <w:pPr>
        <w:autoSpaceDE w:val="0"/>
        <w:autoSpaceDN w:val="0"/>
        <w:adjustRightInd w:val="0"/>
        <w:rPr>
          <w:rFonts w:asciiTheme="minorHAnsi" w:hAnsiTheme="minorHAnsi" w:cstheme="minorHAnsi"/>
          <w:b/>
          <w:bCs/>
          <w:color w:val="7030A0"/>
          <w:lang w:val="en-US"/>
        </w:rPr>
      </w:pPr>
    </w:p>
    <w:p w:rsidR="00036A12" w:rsidRPr="00FA543C" w:rsidRDefault="00C31A4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exchange of goods is an important aspect of Islamic banking transactions. These exchanges can take various forms such as simultaneous exchanges on the spot, spot delivery and deferred payment, or spot payment with deferred delivery. </w:t>
      </w:r>
      <w:r w:rsidR="00DD713D">
        <w:rPr>
          <w:rFonts w:asciiTheme="minorHAnsi" w:hAnsiTheme="minorHAnsi" w:cstheme="minorHAnsi"/>
          <w:lang w:val="en-US"/>
        </w:rPr>
        <w:t xml:space="preserve">These exchanges are guided by </w:t>
      </w:r>
      <w:r w:rsidR="00DD713D">
        <w:rPr>
          <w:rFonts w:asciiTheme="minorHAnsi" w:hAnsiTheme="minorHAnsi" w:cstheme="minorHAnsi"/>
          <w:i/>
          <w:lang w:val="en-US"/>
        </w:rPr>
        <w:t xml:space="preserve">shari’a </w:t>
      </w:r>
      <w:r w:rsidR="00DD713D">
        <w:rPr>
          <w:rFonts w:asciiTheme="minorHAnsi" w:hAnsiTheme="minorHAnsi" w:cstheme="minorHAnsi"/>
          <w:lang w:val="en-US"/>
        </w:rPr>
        <w:t>rules and limitations and are therefore quite different from conventional exchange practices. According to conventional principles, both items being exchanged in a transaction can be delayed or deferred without taking ownership of the goods or assets or without bearing the related risk. That is not the case in Islamic finance.</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In Islamic finance,</w:t>
      </w:r>
      <w:r w:rsidR="00DD713D">
        <w:rPr>
          <w:rFonts w:asciiTheme="minorHAnsi" w:hAnsiTheme="minorHAnsi" w:cstheme="minorHAnsi"/>
          <w:lang w:val="en-US"/>
        </w:rPr>
        <w:t xml:space="preserve"> only one of the items being exchanged can be deferred and the goods or assets that are not owned cannot be sold off. As per Islamic principles, different exchange rules apply to different types of wealth and different contracts. </w:t>
      </w:r>
      <w:r w:rsidRPr="00700E6F">
        <w:rPr>
          <w:rFonts w:asciiTheme="minorHAnsi" w:hAnsiTheme="minorHAnsi" w:cstheme="minorHAnsi"/>
          <w:lang w:val="en-US"/>
        </w:rPr>
        <w:t>Goods</w:t>
      </w:r>
      <w:r w:rsidR="0026013C">
        <w:rPr>
          <w:rFonts w:asciiTheme="minorHAnsi" w:hAnsiTheme="minorHAnsi" w:cstheme="minorHAnsi"/>
          <w:lang w:val="en-US"/>
        </w:rPr>
        <w:t xml:space="preserve"> except gold, silver and monetary units, shares representing pools of assets and durable assets can be exchanged in the market at market prices as long as at least one item involved in the exchange is delivered at the spot. The rule of </w:t>
      </w:r>
      <w:r w:rsidR="0026013C">
        <w:rPr>
          <w:rFonts w:asciiTheme="minorHAnsi" w:hAnsiTheme="minorHAnsi" w:cstheme="minorHAnsi"/>
          <w:i/>
          <w:lang w:val="en-US"/>
        </w:rPr>
        <w:t xml:space="preserve">Bai’al Sarf </w:t>
      </w:r>
      <w:r w:rsidR="0026013C">
        <w:rPr>
          <w:rFonts w:asciiTheme="minorHAnsi" w:hAnsiTheme="minorHAnsi" w:cstheme="minorHAnsi"/>
          <w:lang w:val="en-US"/>
        </w:rPr>
        <w:t>i.e. equal for equal and hand-to-hand (in the case of homogenous currency) and hand-to-hand (in the case of different currency units) is applied in the case of gold, silver and monetary units (</w:t>
      </w:r>
      <w:r w:rsidR="0026013C">
        <w:rPr>
          <w:rFonts w:asciiTheme="minorHAnsi" w:hAnsiTheme="minorHAnsi" w:cstheme="minorHAnsi"/>
          <w:i/>
          <w:lang w:val="en-US"/>
        </w:rPr>
        <w:t>athman</w:t>
      </w:r>
      <w:r w:rsidR="0026013C">
        <w:rPr>
          <w:rFonts w:asciiTheme="minorHAnsi" w:hAnsiTheme="minorHAnsi" w:cstheme="minorHAnsi"/>
          <w:lang w:val="en-US"/>
        </w:rPr>
        <w:t>). Rentals or wages can be prepaid, deferred or paid on the spot in exchange for usufruct (the right to use someone else’s asset without destroying or damaging it) and services. Loans or debts have to be paid back in their original amount i.e. without premium or discount, and cannot be sold without</w:t>
      </w:r>
      <w:r w:rsidR="00700A69">
        <w:rPr>
          <w:rFonts w:asciiTheme="minorHAnsi" w:hAnsiTheme="minorHAnsi" w:cstheme="minorHAnsi"/>
          <w:lang w:val="en-US"/>
        </w:rPr>
        <w:t xml:space="preserve"> asking the original debtor first and it must be sold at face value.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700A69"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The Holy Prophet (PBUH) laid the principles guiding the exchange of six commodities: gold, silver, wheat, barley, dates, and salt. These commodities are further divided into two categories; gold and silver categorized as monetary units, while the rest are edible goods. Further discussion by the jurists has identified two causes (</w:t>
      </w:r>
      <w:r>
        <w:rPr>
          <w:rFonts w:asciiTheme="minorHAnsi" w:hAnsiTheme="minorHAnsi" w:cstheme="minorHAnsi"/>
          <w:i/>
          <w:lang w:val="en-US"/>
        </w:rPr>
        <w:t>‘illah</w:t>
      </w:r>
      <w:r>
        <w:rPr>
          <w:rFonts w:asciiTheme="minorHAnsi" w:hAnsiTheme="minorHAnsi" w:cstheme="minorHAnsi"/>
          <w:lang w:val="en-US"/>
        </w:rPr>
        <w:t xml:space="preserve">) for prohibition and has reached a consensus on a number of rules and aspects.   </w:t>
      </w:r>
    </w:p>
    <w:p w:rsidR="00036A12" w:rsidRDefault="00036A12" w:rsidP="00036A12">
      <w:pPr>
        <w:autoSpaceDE w:val="0"/>
        <w:autoSpaceDN w:val="0"/>
        <w:adjustRightInd w:val="0"/>
        <w:jc w:val="both"/>
        <w:rPr>
          <w:rFonts w:asciiTheme="minorHAnsi" w:hAnsiTheme="minorHAnsi" w:cstheme="minorHAnsi"/>
          <w:lang w:val="en-US"/>
        </w:rPr>
      </w:pPr>
    </w:p>
    <w:p w:rsidR="00700A69" w:rsidRDefault="00700A69"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According to the OIC Fiqh Council, during its eleventh session (14-19 November, 1998):</w:t>
      </w:r>
    </w:p>
    <w:p w:rsidR="00700A69" w:rsidRDefault="00700A69"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 xml:space="preserve">“It is not permissible in </w:t>
      </w:r>
      <w:r w:rsidRPr="00700A69">
        <w:rPr>
          <w:rFonts w:asciiTheme="minorHAnsi" w:hAnsiTheme="minorHAnsi" w:cstheme="minorHAnsi"/>
          <w:i/>
          <w:lang w:val="en-US"/>
        </w:rPr>
        <w:t>Shari’a</w:t>
      </w:r>
      <w:r>
        <w:rPr>
          <w:rFonts w:asciiTheme="minorHAnsi" w:hAnsiTheme="minorHAnsi" w:cstheme="minorHAnsi"/>
          <w:lang w:val="en-US"/>
        </w:rPr>
        <w:t xml:space="preserve"> </w:t>
      </w:r>
      <w:r w:rsidRPr="00FA543C">
        <w:rPr>
          <w:rFonts w:asciiTheme="minorHAnsi" w:hAnsiTheme="minorHAnsi" w:cstheme="minorHAnsi"/>
          <w:lang w:val="en-US"/>
        </w:rPr>
        <w:t xml:space="preserve">to sell currencies by deferred sale, and it is not permissible, still, to fix a date for exchanging them. This is evidenced in the </w:t>
      </w:r>
      <w:r w:rsidR="00700A69">
        <w:rPr>
          <w:rFonts w:asciiTheme="minorHAnsi" w:hAnsiTheme="minorHAnsi" w:cstheme="minorHAnsi"/>
          <w:i/>
          <w:lang w:val="en-US"/>
        </w:rPr>
        <w:t xml:space="preserve">Qur’¯an, Sunnah </w:t>
      </w:r>
      <w:r w:rsidR="00700A69">
        <w:rPr>
          <w:rFonts w:asciiTheme="minorHAnsi" w:hAnsiTheme="minorHAnsi" w:cstheme="minorHAnsi"/>
          <w:lang w:val="en-US"/>
        </w:rPr>
        <w:t>and</w:t>
      </w:r>
      <w:r w:rsidRPr="00700A69">
        <w:rPr>
          <w:rFonts w:asciiTheme="minorHAnsi" w:hAnsiTheme="minorHAnsi" w:cstheme="minorHAnsi"/>
          <w:i/>
          <w:lang w:val="en-US"/>
        </w:rPr>
        <w:t xml:space="preserve"> Ijm¯a’</w:t>
      </w:r>
      <w:r w:rsidRPr="00FA543C">
        <w:rPr>
          <w:rFonts w:asciiTheme="minorHAnsi" w:hAnsiTheme="minorHAnsi" w:cstheme="minorHAnsi"/>
          <w:lang w:val="en-US"/>
        </w:rPr>
        <w:t>.”</w:t>
      </w:r>
    </w:p>
    <w:p w:rsidR="00700A69" w:rsidRDefault="00700A69" w:rsidP="00036A12">
      <w:pPr>
        <w:autoSpaceDE w:val="0"/>
        <w:autoSpaceDN w:val="0"/>
        <w:adjustRightInd w:val="0"/>
        <w:jc w:val="both"/>
        <w:rPr>
          <w:rFonts w:asciiTheme="minorHAnsi" w:hAnsiTheme="minorHAnsi" w:cstheme="minorHAnsi"/>
          <w:lang w:val="en-US"/>
        </w:rPr>
      </w:pPr>
    </w:p>
    <w:p w:rsidR="00D80B5D" w:rsidRDefault="00D80B5D"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Furthermore</w:t>
      </w:r>
      <w:r w:rsidR="00700A69">
        <w:rPr>
          <w:rFonts w:asciiTheme="minorHAnsi" w:hAnsiTheme="minorHAnsi" w:cstheme="minorHAnsi"/>
          <w:lang w:val="en-US"/>
        </w:rPr>
        <w:t>, it was the Council</w:t>
      </w:r>
      <w:r>
        <w:rPr>
          <w:rFonts w:asciiTheme="minorHAnsi" w:hAnsiTheme="minorHAnsi" w:cstheme="minorHAnsi"/>
          <w:lang w:val="en-US"/>
        </w:rPr>
        <w:t>’s observation that much of the modern financial crises and economic instability is due to contemporary money transactions. They recommended:</w:t>
      </w:r>
    </w:p>
    <w:p w:rsidR="00D80B5D" w:rsidRDefault="00D80B5D"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 xml:space="preserve">“It is incumbent upon Muslim governments to exercise control over money markets and to regulate their activities relating to transactions in currencies and other money-related transactions, in accordance with the principles of Islamic </w:t>
      </w:r>
      <w:r w:rsidRPr="00D80B5D">
        <w:rPr>
          <w:rFonts w:asciiTheme="minorHAnsi" w:hAnsiTheme="minorHAnsi" w:cstheme="minorHAnsi"/>
          <w:i/>
          <w:lang w:val="en-US"/>
        </w:rPr>
        <w:t>Shar¯ı´ah</w:t>
      </w:r>
      <w:r w:rsidRPr="00FA543C">
        <w:rPr>
          <w:rFonts w:asciiTheme="minorHAnsi" w:hAnsiTheme="minorHAnsi" w:cstheme="minorHAnsi"/>
          <w:lang w:val="en-US"/>
        </w:rPr>
        <w:t>, because these principles are the safety valve against economic disaster”.</w:t>
      </w:r>
    </w:p>
    <w:p w:rsidR="00036A12" w:rsidRPr="00FA543C" w:rsidRDefault="00036A12" w:rsidP="00036A12">
      <w:pPr>
        <w:jc w:val="both"/>
        <w:rPr>
          <w:rFonts w:asciiTheme="minorHAnsi" w:hAnsiTheme="minorHAnsi" w:cstheme="minorHAnsi"/>
          <w:lang w:val="en-US"/>
        </w:rPr>
      </w:pPr>
    </w:p>
    <w:p w:rsidR="00D80B5D" w:rsidRDefault="00D80B5D" w:rsidP="00036A12">
      <w:pPr>
        <w:autoSpaceDE w:val="0"/>
        <w:autoSpaceDN w:val="0"/>
        <w:adjustRightInd w:val="0"/>
        <w:jc w:val="both"/>
        <w:rPr>
          <w:rFonts w:asciiTheme="minorHAnsi" w:hAnsiTheme="minorHAnsi" w:cstheme="minorHAnsi"/>
          <w:b/>
          <w:bCs/>
          <w:color w:val="7030A0"/>
          <w:lang w:val="en-US"/>
        </w:rPr>
      </w:pPr>
    </w:p>
    <w:p w:rsidR="00D80B5D" w:rsidRDefault="00D80B5D" w:rsidP="00036A12">
      <w:pPr>
        <w:autoSpaceDE w:val="0"/>
        <w:autoSpaceDN w:val="0"/>
        <w:adjustRightInd w:val="0"/>
        <w:jc w:val="both"/>
        <w:rPr>
          <w:rFonts w:asciiTheme="minorHAnsi" w:hAnsiTheme="minorHAnsi" w:cstheme="minorHAnsi"/>
          <w:b/>
          <w:bCs/>
          <w:color w:val="7030A0"/>
          <w:lang w:val="en-US"/>
        </w:rPr>
      </w:pPr>
    </w:p>
    <w:p w:rsidR="00D80B5D" w:rsidRDefault="00D80B5D" w:rsidP="00036A12">
      <w:pPr>
        <w:autoSpaceDE w:val="0"/>
        <w:autoSpaceDN w:val="0"/>
        <w:adjustRightInd w:val="0"/>
        <w:jc w:val="both"/>
        <w:rPr>
          <w:rFonts w:asciiTheme="minorHAnsi" w:hAnsiTheme="minorHAnsi" w:cstheme="minorHAnsi"/>
          <w:b/>
          <w:bCs/>
          <w:color w:val="7030A0"/>
          <w:lang w:val="en-US"/>
        </w:rPr>
      </w:pPr>
    </w:p>
    <w:p w:rsidR="00036A12" w:rsidRDefault="00036A12" w:rsidP="00036A12">
      <w:pPr>
        <w:autoSpaceDE w:val="0"/>
        <w:autoSpaceDN w:val="0"/>
        <w:adjustRightInd w:val="0"/>
        <w:jc w:val="both"/>
        <w:rPr>
          <w:rFonts w:asciiTheme="minorHAnsi" w:hAnsiTheme="minorHAnsi" w:cstheme="minorHAnsi"/>
          <w:b/>
          <w:bCs/>
          <w:color w:val="7030A0"/>
          <w:lang w:val="en-US"/>
        </w:rPr>
      </w:pPr>
      <w:r w:rsidRPr="001E14E3">
        <w:rPr>
          <w:rFonts w:asciiTheme="minorHAnsi" w:hAnsiTheme="minorHAnsi" w:cstheme="minorHAnsi"/>
          <w:b/>
          <w:bCs/>
          <w:color w:val="7030A0"/>
          <w:lang w:val="en-US"/>
        </w:rPr>
        <w:t>Time Value of Money in Islamic Finance</w:t>
      </w:r>
    </w:p>
    <w:p w:rsidR="00036A12" w:rsidRPr="001E14E3" w:rsidRDefault="00036A12" w:rsidP="00036A12">
      <w:pPr>
        <w:autoSpaceDE w:val="0"/>
        <w:autoSpaceDN w:val="0"/>
        <w:adjustRightInd w:val="0"/>
        <w:jc w:val="both"/>
        <w:rPr>
          <w:rFonts w:asciiTheme="minorHAnsi" w:hAnsiTheme="minorHAnsi" w:cstheme="minorHAnsi"/>
          <w:b/>
          <w:bCs/>
          <w:color w:val="7030A0"/>
          <w:lang w:val="en-US"/>
        </w:rPr>
      </w:pPr>
    </w:p>
    <w:p w:rsidR="00036A12" w:rsidRPr="00FA543C" w:rsidRDefault="003B6CC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Islamic Fiqh Academy of the OIC and </w:t>
      </w:r>
      <w:r>
        <w:rPr>
          <w:rFonts w:asciiTheme="minorHAnsi" w:hAnsiTheme="minorHAnsi" w:cstheme="minorHAnsi"/>
          <w:i/>
          <w:lang w:val="en-US"/>
        </w:rPr>
        <w:t xml:space="preserve">shari’a </w:t>
      </w:r>
      <w:r>
        <w:rPr>
          <w:rFonts w:asciiTheme="minorHAnsi" w:hAnsiTheme="minorHAnsi" w:cstheme="minorHAnsi"/>
          <w:lang w:val="en-US"/>
        </w:rPr>
        <w:t>boards of all Islamic banks have reached a consensus that the credit price of a commodity can differ and be more than its cash price on t</w:t>
      </w:r>
      <w:r w:rsidR="009249AA">
        <w:rPr>
          <w:rFonts w:asciiTheme="minorHAnsi" w:hAnsiTheme="minorHAnsi" w:cstheme="minorHAnsi"/>
          <w:lang w:val="en-US"/>
        </w:rPr>
        <w:t xml:space="preserve">he condition that the price is settled between the parties before hand. Therefore, time value of money is a legitimate phenomenon according to </w:t>
      </w:r>
      <w:r w:rsidR="009249AA">
        <w:rPr>
          <w:rFonts w:asciiTheme="minorHAnsi" w:hAnsiTheme="minorHAnsi" w:cstheme="minorHAnsi"/>
          <w:i/>
          <w:lang w:val="en-US"/>
        </w:rPr>
        <w:t xml:space="preserve">shari’a. </w:t>
      </w:r>
      <w:r w:rsidR="001B0DD2">
        <w:rPr>
          <w:rFonts w:asciiTheme="minorHAnsi" w:hAnsiTheme="minorHAnsi" w:cstheme="minorHAnsi"/>
          <w:lang w:val="en-US"/>
        </w:rPr>
        <w:t>However</w:t>
      </w:r>
      <w:r w:rsidR="009249AA">
        <w:rPr>
          <w:rFonts w:asciiTheme="minorHAnsi" w:hAnsiTheme="minorHAnsi" w:cstheme="minorHAnsi"/>
          <w:lang w:val="en-US"/>
        </w:rPr>
        <w:t xml:space="preserve">, it is prohibited that once the price has been settled among the parties there is any increase in it due to delayed payment. This is in conformity with the principle that once accredit sale has been made, a debt is created </w:t>
      </w:r>
      <w:r w:rsidR="001B0DD2">
        <w:rPr>
          <w:rFonts w:asciiTheme="minorHAnsi" w:hAnsiTheme="minorHAnsi" w:cstheme="minorHAnsi"/>
          <w:lang w:val="en-US"/>
        </w:rPr>
        <w:t xml:space="preserve">that belongs to the purchaser permanently and the seller has no right to re-price it as the commodity no longer belongs to him/her.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04314E"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Time and place of the sale affect the commodity’s price. For example a commodity sold for a 100 GBP in an upscale neighborhood might be selling for 70 GBP in a middle-income area. Similarly a commodity that is available for a 100 GBP in the morning might be selling for half that price by the evening. </w:t>
      </w:r>
      <w:r>
        <w:rPr>
          <w:rFonts w:asciiTheme="minorHAnsi" w:hAnsiTheme="minorHAnsi" w:cstheme="minorHAnsi"/>
          <w:i/>
          <w:lang w:val="en-US"/>
        </w:rPr>
        <w:t xml:space="preserve">Shari’a </w:t>
      </w:r>
      <w:r>
        <w:rPr>
          <w:rFonts w:asciiTheme="minorHAnsi" w:hAnsiTheme="minorHAnsi" w:cstheme="minorHAnsi"/>
          <w:lang w:val="en-US"/>
        </w:rPr>
        <w:t xml:space="preserve">accepts the influence of all these factors as long as </w:t>
      </w:r>
      <w:r w:rsidR="00647510">
        <w:rPr>
          <w:rFonts w:asciiTheme="minorHAnsi" w:hAnsiTheme="minorHAnsi" w:cstheme="minorHAnsi"/>
          <w:lang w:val="en-US"/>
        </w:rPr>
        <w:t>genuine market forces drive them</w:t>
      </w:r>
      <w:r>
        <w:rPr>
          <w:rFonts w:asciiTheme="minorHAnsi" w:hAnsiTheme="minorHAnsi" w:cstheme="minorHAnsi"/>
          <w:lang w:val="en-US"/>
        </w:rPr>
        <w:t xml:space="preserve">. </w:t>
      </w:r>
      <w:r w:rsidR="00647510">
        <w:rPr>
          <w:rFonts w:asciiTheme="minorHAnsi" w:hAnsiTheme="minorHAnsi" w:cstheme="minorHAnsi"/>
          <w:lang w:val="en-US"/>
        </w:rPr>
        <w:t xml:space="preserve">Going by this principle, it is acceptable for the credit price of a commodity to be higher than its cash price and forward contracts like </w:t>
      </w:r>
      <w:r w:rsidR="00647510">
        <w:rPr>
          <w:rFonts w:asciiTheme="minorHAnsi" w:hAnsiTheme="minorHAnsi" w:cstheme="minorHAnsi"/>
          <w:i/>
          <w:lang w:val="en-US"/>
        </w:rPr>
        <w:t xml:space="preserve">salam </w:t>
      </w:r>
      <w:r w:rsidR="00647510">
        <w:rPr>
          <w:rFonts w:asciiTheme="minorHAnsi" w:hAnsiTheme="minorHAnsi" w:cstheme="minorHAnsi"/>
          <w:lang w:val="en-US"/>
        </w:rPr>
        <w:t xml:space="preserve">have a lower future delivery price than its spot price. </w:t>
      </w:r>
      <w:r w:rsidR="00647510">
        <w:rPr>
          <w:rFonts w:asciiTheme="minorHAnsi" w:hAnsiTheme="minorHAnsi" w:cstheme="minorHAnsi"/>
          <w:i/>
          <w:lang w:val="en-US"/>
        </w:rPr>
        <w:t xml:space="preserve">Shari’a </w:t>
      </w:r>
      <w:r w:rsidR="00647510">
        <w:rPr>
          <w:rFonts w:asciiTheme="minorHAnsi" w:hAnsiTheme="minorHAnsi" w:cstheme="minorHAnsi"/>
          <w:lang w:val="en-US"/>
        </w:rPr>
        <w:t xml:space="preserve">prohibits the mutual exchange of gold, silver or monetary values except when it occurs simultaneously, thereby reinforcing the concept of time value of money. </w:t>
      </w:r>
      <w:r w:rsidR="00837EB9">
        <w:rPr>
          <w:rFonts w:asciiTheme="minorHAnsi" w:hAnsiTheme="minorHAnsi" w:cstheme="minorHAnsi"/>
          <w:lang w:val="en-US"/>
        </w:rPr>
        <w:t xml:space="preserve">This principle is in place because while a person can benefit from the use of currency that has been prepaid to him/her without exchange of commodity, the other party cannot benefit from the use of the commodity at the same time. </w:t>
      </w:r>
    </w:p>
    <w:p w:rsidR="00036A12" w:rsidRDefault="00036A12" w:rsidP="00036A12">
      <w:pPr>
        <w:autoSpaceDE w:val="0"/>
        <w:autoSpaceDN w:val="0"/>
        <w:adjustRightInd w:val="0"/>
        <w:jc w:val="both"/>
        <w:rPr>
          <w:rFonts w:asciiTheme="minorHAnsi" w:hAnsiTheme="minorHAnsi" w:cstheme="minorHAnsi"/>
          <w:lang w:val="en-US"/>
        </w:rPr>
      </w:pPr>
    </w:p>
    <w:p w:rsidR="00036A12" w:rsidRPr="00FA543C" w:rsidRDefault="00837EB9" w:rsidP="00036A12">
      <w:pPr>
        <w:autoSpaceDE w:val="0"/>
        <w:autoSpaceDN w:val="0"/>
        <w:adjustRightInd w:val="0"/>
        <w:jc w:val="both"/>
        <w:rPr>
          <w:rFonts w:asciiTheme="minorHAnsi" w:hAnsiTheme="minorHAnsi" w:cstheme="minorHAnsi"/>
          <w:lang w:val="en-US"/>
        </w:rPr>
      </w:pPr>
      <w:r>
        <w:rPr>
          <w:rFonts w:asciiTheme="minorHAnsi" w:hAnsiTheme="minorHAnsi" w:cstheme="minorHAnsi"/>
          <w:i/>
          <w:lang w:val="en-US"/>
        </w:rPr>
        <w:t xml:space="preserve">Salam </w:t>
      </w:r>
      <w:r>
        <w:rPr>
          <w:rFonts w:asciiTheme="minorHAnsi" w:hAnsiTheme="minorHAnsi" w:cstheme="minorHAnsi"/>
          <w:lang w:val="en-US"/>
        </w:rPr>
        <w:t xml:space="preserve">is basically a forward contract allowing the purchase of a commodity in exchange for immediate payment to be delivered at a future date. The principle governing this contract is that the immediate payment for goods that are to be delivered in the future will be less than the cash and carry price of the goods at the time of the contract. Therefore, </w:t>
      </w:r>
      <w:r>
        <w:rPr>
          <w:rFonts w:asciiTheme="minorHAnsi" w:hAnsiTheme="minorHAnsi" w:cstheme="minorHAnsi"/>
          <w:i/>
          <w:lang w:val="en-US"/>
        </w:rPr>
        <w:t xml:space="preserve">salam </w:t>
      </w:r>
      <w:r>
        <w:rPr>
          <w:rFonts w:asciiTheme="minorHAnsi" w:hAnsiTheme="minorHAnsi" w:cstheme="minorHAnsi"/>
          <w:lang w:val="en-US"/>
        </w:rPr>
        <w:t xml:space="preserve">is another example of the legitimacy of time value of money.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837EB9"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Moreover, according to </w:t>
      </w:r>
      <w:r>
        <w:rPr>
          <w:rFonts w:asciiTheme="minorHAnsi" w:hAnsiTheme="minorHAnsi" w:cstheme="minorHAnsi"/>
          <w:i/>
          <w:lang w:val="en-US"/>
        </w:rPr>
        <w:t xml:space="preserve">shari’a, </w:t>
      </w:r>
      <w:r>
        <w:rPr>
          <w:rFonts w:asciiTheme="minorHAnsi" w:hAnsiTheme="minorHAnsi" w:cstheme="minorHAnsi"/>
          <w:lang w:val="en-US"/>
        </w:rPr>
        <w:t xml:space="preserve">time value of money can only materialize in trade of goods and not in exchanges involving monetary value, loans or debts. While Islamic principles allow the conversion of money into assets in order to determine its utility, it considers the practice of loaning as a virtuous act from which it is prohibited to generate returns. </w:t>
      </w:r>
    </w:p>
    <w:p w:rsidR="00036A12" w:rsidRDefault="00036A12" w:rsidP="00036A12">
      <w:pPr>
        <w:autoSpaceDE w:val="0"/>
        <w:autoSpaceDN w:val="0"/>
        <w:adjustRightInd w:val="0"/>
        <w:jc w:val="both"/>
        <w:rPr>
          <w:rFonts w:asciiTheme="minorHAnsi" w:hAnsiTheme="minorHAnsi" w:cstheme="minorHAnsi"/>
          <w:lang w:val="en-US"/>
        </w:rPr>
      </w:pPr>
    </w:p>
    <w:p w:rsidR="00036A12" w:rsidRDefault="00B629AB"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Mark-up in trade is permissible if the business conforms to Islamic principles but adding interest to loans is prohibited, implying therefore that time value of money in case of loans or debts where the purchaser’s liability has already been specified is not allowed. Time, which is invaluable and cannot be returned, must not be confused with money, which once lost can be restored. However, in business time is an essential concept as it balances the market forces of demand and supply. </w:t>
      </w:r>
    </w:p>
    <w:p w:rsidR="00B629AB" w:rsidRDefault="00B629AB" w:rsidP="00036A12">
      <w:pPr>
        <w:autoSpaceDE w:val="0"/>
        <w:autoSpaceDN w:val="0"/>
        <w:adjustRightInd w:val="0"/>
        <w:jc w:val="both"/>
        <w:rPr>
          <w:rFonts w:asciiTheme="minorHAnsi" w:hAnsiTheme="minorHAnsi" w:cstheme="minorHAnsi"/>
          <w:lang w:val="en-US"/>
        </w:rPr>
      </w:pPr>
    </w:p>
    <w:p w:rsidR="00B629AB" w:rsidRDefault="00B629AB" w:rsidP="00036A12">
      <w:pPr>
        <w:autoSpaceDE w:val="0"/>
        <w:autoSpaceDN w:val="0"/>
        <w:adjustRightInd w:val="0"/>
        <w:jc w:val="both"/>
        <w:rPr>
          <w:rFonts w:asciiTheme="minorHAnsi" w:hAnsiTheme="minorHAnsi" w:cstheme="minorHAnsi"/>
          <w:lang w:val="en-US"/>
        </w:rPr>
      </w:pPr>
    </w:p>
    <w:p w:rsidR="00B629AB" w:rsidRDefault="00B629AB" w:rsidP="00036A12">
      <w:pPr>
        <w:autoSpaceDE w:val="0"/>
        <w:autoSpaceDN w:val="0"/>
        <w:adjustRightInd w:val="0"/>
        <w:jc w:val="both"/>
        <w:rPr>
          <w:rFonts w:asciiTheme="minorHAnsi" w:hAnsiTheme="minorHAnsi" w:cstheme="minorHAnsi"/>
          <w:lang w:val="en-US"/>
        </w:rPr>
      </w:pPr>
    </w:p>
    <w:p w:rsidR="00B629AB" w:rsidRDefault="00B629AB" w:rsidP="00036A12">
      <w:pPr>
        <w:autoSpaceDE w:val="0"/>
        <w:autoSpaceDN w:val="0"/>
        <w:adjustRightInd w:val="0"/>
        <w:jc w:val="both"/>
        <w:rPr>
          <w:rFonts w:asciiTheme="minorHAnsi" w:hAnsiTheme="minorHAnsi" w:cstheme="minorHAnsi"/>
          <w:lang w:val="en-US"/>
        </w:rPr>
      </w:pPr>
    </w:p>
    <w:p w:rsidR="00B629AB" w:rsidRDefault="00B629AB" w:rsidP="00036A12">
      <w:pPr>
        <w:autoSpaceDE w:val="0"/>
        <w:autoSpaceDN w:val="0"/>
        <w:adjustRightInd w:val="0"/>
        <w:jc w:val="both"/>
        <w:rPr>
          <w:rFonts w:asciiTheme="minorHAnsi" w:hAnsiTheme="minorHAnsi" w:cstheme="minorHAnsi"/>
          <w:lang w:val="en-US"/>
        </w:rPr>
      </w:pPr>
    </w:p>
    <w:p w:rsidR="00036A12" w:rsidRPr="00FA543C" w:rsidRDefault="00036A12" w:rsidP="00036A12">
      <w:pPr>
        <w:jc w:val="both"/>
        <w:rPr>
          <w:rFonts w:asciiTheme="minorHAnsi" w:hAnsiTheme="minorHAnsi" w:cstheme="minorHAnsi"/>
          <w:lang w:val="en-US"/>
        </w:rPr>
      </w:pPr>
    </w:p>
    <w:p w:rsidR="00036A12" w:rsidRDefault="00036A12" w:rsidP="00036A12">
      <w:pPr>
        <w:autoSpaceDE w:val="0"/>
        <w:autoSpaceDN w:val="0"/>
        <w:adjustRightInd w:val="0"/>
        <w:jc w:val="both"/>
        <w:rPr>
          <w:rFonts w:asciiTheme="minorHAnsi" w:hAnsiTheme="minorHAnsi" w:cstheme="minorHAnsi"/>
          <w:b/>
          <w:bCs/>
          <w:color w:val="7030A0"/>
          <w:lang w:val="en-US"/>
        </w:rPr>
      </w:pPr>
      <w:r w:rsidRPr="001E14E3">
        <w:rPr>
          <w:rFonts w:asciiTheme="minorHAnsi" w:hAnsiTheme="minorHAnsi" w:cstheme="minorHAnsi"/>
          <w:b/>
          <w:bCs/>
          <w:color w:val="7030A0"/>
          <w:lang w:val="en-US"/>
        </w:rPr>
        <w:t>Money, Monetary Policy and Islamic Finance</w:t>
      </w:r>
    </w:p>
    <w:p w:rsidR="00036A12" w:rsidRPr="001E14E3" w:rsidRDefault="00036A12" w:rsidP="00036A12">
      <w:pPr>
        <w:autoSpaceDE w:val="0"/>
        <w:autoSpaceDN w:val="0"/>
        <w:adjustRightInd w:val="0"/>
        <w:jc w:val="both"/>
        <w:rPr>
          <w:rFonts w:asciiTheme="minorHAnsi" w:hAnsiTheme="minorHAnsi" w:cstheme="minorHAnsi"/>
          <w:b/>
          <w:bCs/>
          <w:color w:val="7030A0"/>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Money</w:t>
      </w:r>
      <w:r w:rsidR="00DE7461">
        <w:rPr>
          <w:rFonts w:asciiTheme="minorHAnsi" w:hAnsiTheme="minorHAnsi" w:cstheme="minorHAnsi"/>
          <w:lang w:val="en-US"/>
        </w:rPr>
        <w:t xml:space="preserve"> plays a pivotal role in the financial system of an economy, although its value and status in Islamic finance are very different than in conventional systems. </w:t>
      </w:r>
      <w:r w:rsidRPr="00FA543C">
        <w:rPr>
          <w:rFonts w:asciiTheme="minorHAnsi" w:hAnsiTheme="minorHAnsi" w:cstheme="minorHAnsi"/>
          <w:lang w:val="en-US"/>
        </w:rPr>
        <w:t xml:space="preserve"> </w:t>
      </w:r>
      <w:r w:rsidR="00036C83">
        <w:rPr>
          <w:rFonts w:asciiTheme="minorHAnsi" w:hAnsiTheme="minorHAnsi" w:cstheme="minorHAnsi"/>
          <w:lang w:val="en-US"/>
        </w:rPr>
        <w:t xml:space="preserve">In conventional financial markets, money is considered a commodity that can be bought, sold or lent in exchange for profit or rent regardless of its use in the hands of the borrower. This is in contradiction to Islamic principles and regulations therefore Islamic financial markets function differently from conventional ones.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E</w:t>
      </w:r>
      <w:r w:rsidR="00036C83">
        <w:rPr>
          <w:rFonts w:asciiTheme="minorHAnsi" w:hAnsiTheme="minorHAnsi" w:cstheme="minorHAnsi"/>
          <w:lang w:val="en-US"/>
        </w:rPr>
        <w:t xml:space="preserve">ven though money cannot be considered a commodity, its utility as a medium of exchange has been appreciated by Islamic finance, which favours money over barter system (goods exchanged for goods). The prohibition of </w:t>
      </w:r>
      <w:r w:rsidR="00036C83">
        <w:rPr>
          <w:rFonts w:asciiTheme="minorHAnsi" w:hAnsiTheme="minorHAnsi" w:cstheme="minorHAnsi"/>
          <w:i/>
          <w:lang w:val="en-US"/>
        </w:rPr>
        <w:t xml:space="preserve">Riba Al-Fadl </w:t>
      </w:r>
      <w:r w:rsidR="00D75A42">
        <w:rPr>
          <w:rFonts w:asciiTheme="minorHAnsi" w:hAnsiTheme="minorHAnsi" w:cstheme="minorHAnsi"/>
          <w:lang w:val="en-US"/>
        </w:rPr>
        <w:t xml:space="preserve">(a barter exchange where the commodities are of unequal value or where one commodity’s delivery is postponed) is designed to shift towards a money-oriented economy and to make barter transactions fair. </w:t>
      </w:r>
    </w:p>
    <w:p w:rsidR="00036A12" w:rsidRDefault="00036A12" w:rsidP="00036A12">
      <w:pPr>
        <w:autoSpaceDE w:val="0"/>
        <w:autoSpaceDN w:val="0"/>
        <w:adjustRightInd w:val="0"/>
        <w:jc w:val="both"/>
        <w:rPr>
          <w:rFonts w:asciiTheme="minorHAnsi" w:hAnsiTheme="minorHAnsi" w:cstheme="minorHAnsi"/>
          <w:b/>
          <w:bCs/>
          <w:color w:val="7030A0"/>
          <w:lang w:val="en-US"/>
        </w:rPr>
      </w:pPr>
    </w:p>
    <w:p w:rsidR="00036A12" w:rsidRDefault="00036A12" w:rsidP="00036A12">
      <w:pPr>
        <w:autoSpaceDE w:val="0"/>
        <w:autoSpaceDN w:val="0"/>
        <w:adjustRightInd w:val="0"/>
        <w:jc w:val="both"/>
        <w:rPr>
          <w:rFonts w:asciiTheme="minorHAnsi" w:hAnsiTheme="minorHAnsi" w:cstheme="minorHAnsi"/>
          <w:b/>
          <w:bCs/>
          <w:color w:val="7030A0"/>
          <w:lang w:val="en-US"/>
        </w:rPr>
      </w:pPr>
      <w:r w:rsidRPr="001E14E3">
        <w:rPr>
          <w:rFonts w:asciiTheme="minorHAnsi" w:hAnsiTheme="minorHAnsi" w:cstheme="minorHAnsi"/>
          <w:b/>
          <w:bCs/>
          <w:color w:val="7030A0"/>
          <w:lang w:val="en-US"/>
        </w:rPr>
        <w:t>Status of Paper Money</w:t>
      </w:r>
    </w:p>
    <w:p w:rsidR="00036A12" w:rsidRPr="001E14E3" w:rsidRDefault="00036A12" w:rsidP="00036A12">
      <w:pPr>
        <w:autoSpaceDE w:val="0"/>
        <w:autoSpaceDN w:val="0"/>
        <w:adjustRightInd w:val="0"/>
        <w:jc w:val="both"/>
        <w:rPr>
          <w:rFonts w:asciiTheme="minorHAnsi" w:hAnsiTheme="minorHAnsi" w:cstheme="minorHAnsi"/>
          <w:b/>
          <w:bCs/>
          <w:color w:val="7030A0"/>
          <w:lang w:val="en-US"/>
        </w:rPr>
      </w:pPr>
    </w:p>
    <w:p w:rsidR="00036A12" w:rsidRPr="00FA543C" w:rsidRDefault="00D75A42"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The representation of money has evolved through many forms over time, from various kinds of goods, to metallic money and ultimately to modern day paper and electronic money. </w:t>
      </w:r>
      <w:r w:rsidR="00577221">
        <w:rPr>
          <w:rFonts w:asciiTheme="minorHAnsi" w:hAnsiTheme="minorHAnsi" w:cstheme="minorHAnsi"/>
          <w:lang w:val="en-US"/>
        </w:rPr>
        <w:t xml:space="preserve">Paper money or currency notes are also called </w:t>
      </w:r>
      <w:r w:rsidR="00577221">
        <w:rPr>
          <w:rFonts w:asciiTheme="minorHAnsi" w:hAnsiTheme="minorHAnsi" w:cstheme="minorHAnsi"/>
          <w:i/>
          <w:lang w:val="en-US"/>
        </w:rPr>
        <w:t xml:space="preserve">thaman </w:t>
      </w:r>
      <w:r w:rsidR="00577221">
        <w:rPr>
          <w:rFonts w:asciiTheme="minorHAnsi" w:hAnsiTheme="minorHAnsi" w:cstheme="minorHAnsi"/>
          <w:lang w:val="en-US"/>
        </w:rPr>
        <w:t xml:space="preserve">(the price of anything), which was represented by gold or silver in the past. </w:t>
      </w:r>
      <w:r w:rsidR="003D4E7A">
        <w:rPr>
          <w:rFonts w:asciiTheme="minorHAnsi" w:hAnsiTheme="minorHAnsi" w:cstheme="minorHAnsi"/>
          <w:lang w:val="en-US"/>
        </w:rPr>
        <w:t xml:space="preserve">As a currency note, money only serves the purpose of being a medium of exchange and has no intrinsic value on its own. Similarly the present system of fiat money has monetary value in order to make payments that are universally acceptable.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3D4E7A"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Making money a part of production and sales process entails that labour and other resources used to manufacture goods and services generate benefits that are ultimately passed on to the society. Therefore, paper money has to abide by all principles of </w:t>
      </w:r>
      <w:r>
        <w:rPr>
          <w:rFonts w:asciiTheme="minorHAnsi" w:hAnsiTheme="minorHAnsi" w:cstheme="minorHAnsi"/>
          <w:i/>
          <w:lang w:val="en-US"/>
        </w:rPr>
        <w:t xml:space="preserve">shari’a </w:t>
      </w:r>
      <w:r>
        <w:rPr>
          <w:rFonts w:asciiTheme="minorHAnsi" w:hAnsiTheme="minorHAnsi" w:cstheme="minorHAnsi"/>
          <w:lang w:val="en-US"/>
        </w:rPr>
        <w:t xml:space="preserve">i.e. the ones relating to </w:t>
      </w:r>
      <w:r>
        <w:rPr>
          <w:rFonts w:asciiTheme="minorHAnsi" w:hAnsiTheme="minorHAnsi" w:cstheme="minorHAnsi"/>
          <w:i/>
          <w:lang w:val="en-US"/>
        </w:rPr>
        <w:t xml:space="preserve">riba, zakat, </w:t>
      </w:r>
      <w:r>
        <w:rPr>
          <w:rFonts w:asciiTheme="minorHAnsi" w:hAnsiTheme="minorHAnsi" w:cstheme="minorHAnsi"/>
          <w:lang w:val="en-US"/>
        </w:rPr>
        <w:t xml:space="preserve">etc. For example a </w:t>
      </w:r>
      <w:r>
        <w:rPr>
          <w:rFonts w:ascii="Cambria" w:hAnsi="Cambria" w:cstheme="minorHAnsi"/>
          <w:lang w:val="en-US"/>
        </w:rPr>
        <w:t>£</w:t>
      </w:r>
      <w:r>
        <w:rPr>
          <w:rFonts w:asciiTheme="minorHAnsi" w:hAnsiTheme="minorHAnsi" w:cstheme="minorHAnsi"/>
          <w:lang w:val="en-US"/>
        </w:rPr>
        <w:t xml:space="preserve">10 note cannot be sold or exchanged for a </w:t>
      </w:r>
      <w:r>
        <w:rPr>
          <w:rFonts w:ascii="Cambria" w:hAnsi="Cambria" w:cstheme="minorHAnsi"/>
          <w:lang w:val="en-US"/>
        </w:rPr>
        <w:t xml:space="preserve">£12 note because it has no intrinsic value without the involvement of an asset, good or service in the exchange. </w:t>
      </w:r>
      <w:r w:rsidR="00276E76">
        <w:rPr>
          <w:rFonts w:ascii="Cambria" w:hAnsi="Cambria" w:cstheme="minorHAnsi"/>
          <w:lang w:val="en-US"/>
        </w:rPr>
        <w:t xml:space="preserve">Therefore currency notes can only be exchanged equal-for-equal, although this condition is relaxed for currency notes from different countries, which cannot be exchanged equal-for-equal but have to abide by the rules of </w:t>
      </w:r>
      <w:r w:rsidR="00276E76">
        <w:rPr>
          <w:rFonts w:ascii="Cambria" w:hAnsi="Cambria" w:cstheme="minorHAnsi"/>
          <w:i/>
          <w:lang w:val="en-US"/>
        </w:rPr>
        <w:t xml:space="preserve">Bai’ alSarf </w:t>
      </w:r>
      <w:r w:rsidR="00276E76">
        <w:rPr>
          <w:rFonts w:ascii="Cambria" w:hAnsi="Cambria" w:cstheme="minorHAnsi"/>
          <w:lang w:val="en-US"/>
        </w:rPr>
        <w:t xml:space="preserve">(hand-to-hand exchange). </w:t>
      </w:r>
    </w:p>
    <w:p w:rsidR="00036A12" w:rsidRPr="00FA543C" w:rsidRDefault="00036A12" w:rsidP="00036A12">
      <w:pPr>
        <w:autoSpaceDE w:val="0"/>
        <w:autoSpaceDN w:val="0"/>
        <w:adjustRightInd w:val="0"/>
        <w:jc w:val="both"/>
        <w:rPr>
          <w:rFonts w:asciiTheme="minorHAnsi" w:hAnsiTheme="minorHAnsi" w:cstheme="minorHAnsi"/>
          <w:b/>
          <w:bCs/>
          <w:lang w:val="en-US"/>
        </w:rPr>
      </w:pPr>
    </w:p>
    <w:p w:rsidR="00036A12" w:rsidRDefault="00036A12" w:rsidP="00036A12">
      <w:pPr>
        <w:autoSpaceDE w:val="0"/>
        <w:autoSpaceDN w:val="0"/>
        <w:adjustRightInd w:val="0"/>
        <w:jc w:val="both"/>
        <w:rPr>
          <w:rFonts w:asciiTheme="minorHAnsi" w:hAnsiTheme="minorHAnsi" w:cstheme="minorHAnsi"/>
          <w:b/>
          <w:bCs/>
          <w:color w:val="7030A0"/>
          <w:lang w:val="en-US"/>
        </w:rPr>
      </w:pPr>
      <w:r w:rsidRPr="00A379FB">
        <w:rPr>
          <w:rFonts w:asciiTheme="minorHAnsi" w:hAnsiTheme="minorHAnsi" w:cstheme="minorHAnsi"/>
          <w:b/>
          <w:bCs/>
          <w:color w:val="7030A0"/>
          <w:lang w:val="en-US"/>
        </w:rPr>
        <w:t>Trading in Currencies</w:t>
      </w:r>
    </w:p>
    <w:p w:rsidR="00036A12" w:rsidRPr="00A379FB" w:rsidRDefault="00036A12" w:rsidP="00036A12">
      <w:pPr>
        <w:autoSpaceDE w:val="0"/>
        <w:autoSpaceDN w:val="0"/>
        <w:adjustRightInd w:val="0"/>
        <w:jc w:val="both"/>
        <w:rPr>
          <w:rFonts w:asciiTheme="minorHAnsi" w:hAnsiTheme="minorHAnsi" w:cstheme="minorHAnsi"/>
          <w:b/>
          <w:bCs/>
          <w:color w:val="7030A0"/>
          <w:lang w:val="en-US"/>
        </w:rPr>
      </w:pPr>
    </w:p>
    <w:p w:rsidR="00276E76" w:rsidRDefault="00276E76"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According to </w:t>
      </w:r>
      <w:r>
        <w:rPr>
          <w:rFonts w:asciiTheme="minorHAnsi" w:hAnsiTheme="minorHAnsi" w:cstheme="minorHAnsi"/>
          <w:i/>
          <w:lang w:val="en-US"/>
        </w:rPr>
        <w:t xml:space="preserve">shari’a </w:t>
      </w:r>
      <w:r>
        <w:rPr>
          <w:rFonts w:asciiTheme="minorHAnsi" w:hAnsiTheme="minorHAnsi" w:cstheme="minorHAnsi"/>
          <w:lang w:val="en-US"/>
        </w:rPr>
        <w:t>money is different from commodities in two basic ways:</w:t>
      </w:r>
    </w:p>
    <w:p w:rsidR="00276E76" w:rsidRDefault="00276E76"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First, money cannot be the subject of any trade like a normal commodity. It can only serve its purpose as a medium of exchange and as a measure of value. </w:t>
      </w:r>
    </w:p>
    <w:p w:rsidR="006922EC" w:rsidRDefault="00276E76"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Second, if in exceptional cases money has to be exchanged for money, or a debt is being returned, then it has to be equal-for-equal so that it is not being traded as a commodity itself. </w:t>
      </w:r>
    </w:p>
    <w:p w:rsidR="006922EC" w:rsidRDefault="006922EC" w:rsidP="006922EC">
      <w:pPr>
        <w:autoSpaceDE w:val="0"/>
        <w:autoSpaceDN w:val="0"/>
        <w:adjustRightInd w:val="0"/>
        <w:jc w:val="both"/>
        <w:rPr>
          <w:rFonts w:asciiTheme="minorHAnsi" w:hAnsiTheme="minorHAnsi" w:cstheme="minorHAnsi"/>
          <w:lang w:val="en-US"/>
        </w:rPr>
      </w:pPr>
    </w:p>
    <w:p w:rsidR="006922EC" w:rsidRDefault="006922EC" w:rsidP="006922EC">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Sheikh M. Taqi Usmani says the following on the subject:</w:t>
      </w:r>
    </w:p>
    <w:p w:rsidR="006922EC" w:rsidRDefault="006922EC" w:rsidP="006922EC">
      <w:pPr>
        <w:autoSpaceDE w:val="0"/>
        <w:autoSpaceDN w:val="0"/>
        <w:adjustRightInd w:val="0"/>
        <w:jc w:val="both"/>
        <w:rPr>
          <w:rFonts w:asciiTheme="minorHAnsi" w:hAnsiTheme="minorHAnsi" w:cstheme="minorHAnsi"/>
          <w:lang w:val="en-US"/>
        </w:rPr>
      </w:pPr>
    </w:p>
    <w:p w:rsidR="006922EC" w:rsidRPr="00FA543C" w:rsidRDefault="006922EC" w:rsidP="006922EC">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lastRenderedPageBreak/>
        <w:t>“The commodities can be of different qualities. Therefore, transactions of sale and purchase are effected on an identified particular commodity. Money has no quality except that it is a measure of value or a medium of exchange. All units of money of the same denomination are one hundred per cent equal to each other. If A has purchased a commodity from B for Rs.1000/= he can pay any Note(s) of Rupee amounting to Rs.1000 _ _ _ ”.</w:t>
      </w:r>
    </w:p>
    <w:p w:rsidR="006922EC" w:rsidRDefault="006922EC"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036A12" w:rsidP="00036A12">
      <w:pPr>
        <w:autoSpaceDE w:val="0"/>
        <w:autoSpaceDN w:val="0"/>
        <w:adjustRightInd w:val="0"/>
        <w:jc w:val="both"/>
        <w:rPr>
          <w:rFonts w:asciiTheme="minorHAnsi" w:hAnsiTheme="minorHAnsi" w:cstheme="minorHAnsi"/>
          <w:b/>
          <w:bCs/>
          <w:color w:val="7030A0"/>
          <w:lang w:val="en-US"/>
        </w:rPr>
      </w:pPr>
      <w:r w:rsidRPr="00A379FB">
        <w:rPr>
          <w:rFonts w:asciiTheme="minorHAnsi" w:hAnsiTheme="minorHAnsi" w:cstheme="minorHAnsi"/>
          <w:b/>
          <w:bCs/>
          <w:color w:val="7030A0"/>
          <w:lang w:val="en-US"/>
        </w:rPr>
        <w:t>Creation of Money from the Islamic Perspective</w:t>
      </w:r>
    </w:p>
    <w:p w:rsidR="00036A12" w:rsidRPr="00A379FB" w:rsidRDefault="00036A12" w:rsidP="00036A12">
      <w:pPr>
        <w:autoSpaceDE w:val="0"/>
        <w:autoSpaceDN w:val="0"/>
        <w:adjustRightInd w:val="0"/>
        <w:jc w:val="both"/>
        <w:rPr>
          <w:rFonts w:asciiTheme="minorHAnsi" w:hAnsiTheme="minorHAnsi" w:cstheme="minorHAnsi"/>
          <w:b/>
          <w:bCs/>
          <w:color w:val="7030A0"/>
          <w:lang w:val="en-US"/>
        </w:rPr>
      </w:pPr>
    </w:p>
    <w:p w:rsidR="00036A12" w:rsidRPr="00FA543C" w:rsidRDefault="00414E22"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 country’s monetary and credit policies influence its financial environment and have an impact on the quantity and value of money circulating in that economy. Paper money or fiduciary money </w:t>
      </w:r>
      <w:r w:rsidR="00E52E02">
        <w:rPr>
          <w:rFonts w:asciiTheme="minorHAnsi" w:hAnsiTheme="minorHAnsi" w:cstheme="minorHAnsi"/>
          <w:lang w:val="en-US"/>
        </w:rPr>
        <w:t xml:space="preserve">can be created through ledger entries or issuing securities without leading to an increase in the production or consumption of goods and services in the economy. This is one of the leading causes of exploitation and wealth gap in an economy. In an Islamic economy on the other hand, increased production of goods and services must accompany an increase in money or credit. While minor mismatches are justified, consistent and significant mismatches are prohibited for generating distortions and exploitation.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8C055D"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All Islamic financial instruments have one thing in common- that they have to be based on real assets, meaning that Islamic banks are prohibited from creating money out of nothing (absence of a real asset in exchange) like conventional banks.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036A12" w:rsidP="00036A12">
      <w:pPr>
        <w:autoSpaceDE w:val="0"/>
        <w:autoSpaceDN w:val="0"/>
        <w:adjustRightInd w:val="0"/>
        <w:jc w:val="both"/>
        <w:rPr>
          <w:rFonts w:asciiTheme="minorHAnsi" w:hAnsiTheme="minorHAnsi" w:cstheme="minorHAnsi"/>
          <w:b/>
          <w:bCs/>
          <w:color w:val="7030A0"/>
          <w:lang w:val="en-US"/>
        </w:rPr>
      </w:pPr>
      <w:r w:rsidRPr="00A379FB">
        <w:rPr>
          <w:rFonts w:asciiTheme="minorHAnsi" w:hAnsiTheme="minorHAnsi" w:cstheme="minorHAnsi"/>
          <w:b/>
          <w:bCs/>
          <w:color w:val="7030A0"/>
          <w:lang w:val="en-US"/>
        </w:rPr>
        <w:t>Currency Rate Fluctuation and Settlement of Debts</w:t>
      </w:r>
    </w:p>
    <w:p w:rsidR="00036A12" w:rsidRPr="00A379FB" w:rsidRDefault="00036A12" w:rsidP="00036A12">
      <w:pPr>
        <w:autoSpaceDE w:val="0"/>
        <w:autoSpaceDN w:val="0"/>
        <w:adjustRightInd w:val="0"/>
        <w:jc w:val="both"/>
        <w:rPr>
          <w:rFonts w:asciiTheme="minorHAnsi" w:hAnsiTheme="minorHAnsi" w:cstheme="minorHAnsi"/>
          <w:b/>
          <w:bCs/>
          <w:color w:val="7030A0"/>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r w:rsidRPr="00FA543C">
        <w:rPr>
          <w:rFonts w:asciiTheme="minorHAnsi" w:hAnsiTheme="minorHAnsi" w:cstheme="minorHAnsi"/>
          <w:lang w:val="en-US"/>
        </w:rPr>
        <w:t>I</w:t>
      </w:r>
      <w:r w:rsidR="000C77DE">
        <w:rPr>
          <w:rFonts w:asciiTheme="minorHAnsi" w:hAnsiTheme="minorHAnsi" w:cstheme="minorHAnsi"/>
          <w:lang w:val="en-US"/>
        </w:rPr>
        <w:t xml:space="preserve">nternational Financial Institutions (IFIs) routinely create debt through trading and leasing. Inflation has an effect on receivables; however, indexation is not used to adjust the losses arising from it. Instead, conventional institutions use a floating rate that is adjusted according to future expected inflation in their agreements. This rate is applied to all future liability in the remaining period without affecting the liability that has already been accrued. </w:t>
      </w:r>
      <w:r w:rsidR="003A6039">
        <w:rPr>
          <w:rFonts w:asciiTheme="minorHAnsi" w:hAnsiTheme="minorHAnsi" w:cstheme="minorHAnsi"/>
          <w:i/>
          <w:lang w:val="en-US"/>
        </w:rPr>
        <w:t xml:space="preserve">Shari’a </w:t>
      </w:r>
      <w:r w:rsidR="003A6039">
        <w:rPr>
          <w:rFonts w:asciiTheme="minorHAnsi" w:hAnsiTheme="minorHAnsi" w:cstheme="minorHAnsi"/>
          <w:lang w:val="en-US"/>
        </w:rPr>
        <w:t xml:space="preserve">has different rules regarding debt.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2A6546"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While Islamic banks are prohibited from linking debt for indexation, charging a variable or floating rate is permissible in some financial modes. In </w:t>
      </w:r>
      <w:r w:rsidRPr="002A6546">
        <w:rPr>
          <w:rFonts w:asciiTheme="minorHAnsi" w:hAnsiTheme="minorHAnsi" w:cstheme="minorHAnsi"/>
          <w:i/>
          <w:lang w:val="en-US"/>
        </w:rPr>
        <w:t>ijarah</w:t>
      </w:r>
      <w:r>
        <w:rPr>
          <w:rFonts w:asciiTheme="minorHAnsi" w:hAnsiTheme="minorHAnsi" w:cstheme="minorHAnsi"/>
          <w:lang w:val="en-US"/>
        </w:rPr>
        <w:t xml:space="preserve"> for example, </w:t>
      </w:r>
      <w:r w:rsidR="00407FF1">
        <w:rPr>
          <w:rFonts w:asciiTheme="minorHAnsi" w:hAnsiTheme="minorHAnsi" w:cstheme="minorHAnsi"/>
          <w:lang w:val="en-US"/>
        </w:rPr>
        <w:t xml:space="preserve">banks can charge a higher rental or rate for the remaining period of the lease as long as it is stipulated in the agreement, although the rentals for a particular period cannot be indexed once they are accrued.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Default="00407FF1"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 xml:space="preserve">According to Islamic injunctions, any debt or loan must be paid back in exactly the same kind and quantity, regardless of a change in the currency’s </w:t>
      </w:r>
      <w:r w:rsidR="00AF1007">
        <w:rPr>
          <w:rFonts w:asciiTheme="minorHAnsi" w:hAnsiTheme="minorHAnsi" w:cstheme="minorHAnsi"/>
          <w:lang w:val="en-US"/>
        </w:rPr>
        <w:t xml:space="preserve">value at the time of loan repayment or changes in the price of the commodity involved in the exchange at that time. This principle is also applied to credit payments, barter, deferred exchange of currency, delayed payment of remuneration after being devalued or revalued, indemnity agreements, and changes in the unit of currency at the time of loan repayment. If, however, the currency in which debt was created becomes extinct or unavailable for any reason, its counter value will be used to repay debt and the rate will be the same as that of the due date. </w:t>
      </w:r>
    </w:p>
    <w:p w:rsidR="00AF1007" w:rsidRDefault="00AF1007" w:rsidP="00036A12">
      <w:pPr>
        <w:autoSpaceDE w:val="0"/>
        <w:autoSpaceDN w:val="0"/>
        <w:adjustRightInd w:val="0"/>
        <w:jc w:val="both"/>
        <w:rPr>
          <w:rFonts w:asciiTheme="minorHAnsi" w:hAnsiTheme="minorHAnsi" w:cstheme="minorHAnsi"/>
          <w:lang w:val="en-US"/>
        </w:rPr>
      </w:pPr>
    </w:p>
    <w:p w:rsidR="00AF1007" w:rsidRDefault="00AF1007" w:rsidP="00036A12">
      <w:pPr>
        <w:autoSpaceDE w:val="0"/>
        <w:autoSpaceDN w:val="0"/>
        <w:adjustRightInd w:val="0"/>
        <w:jc w:val="both"/>
        <w:rPr>
          <w:rFonts w:asciiTheme="minorHAnsi" w:hAnsiTheme="minorHAnsi" w:cstheme="minorHAnsi"/>
          <w:lang w:val="en-US"/>
        </w:rPr>
      </w:pPr>
    </w:p>
    <w:p w:rsidR="00AF1007" w:rsidRPr="00FA543C" w:rsidRDefault="00AF1007" w:rsidP="00036A12">
      <w:pPr>
        <w:autoSpaceDE w:val="0"/>
        <w:autoSpaceDN w:val="0"/>
        <w:adjustRightInd w:val="0"/>
        <w:jc w:val="both"/>
        <w:rPr>
          <w:rFonts w:asciiTheme="minorHAnsi" w:hAnsiTheme="minorHAnsi" w:cstheme="minorHAnsi"/>
          <w:lang w:val="en-US"/>
        </w:rPr>
      </w:pPr>
      <w:r>
        <w:rPr>
          <w:rFonts w:asciiTheme="minorHAnsi" w:hAnsiTheme="minorHAnsi" w:cstheme="minorHAnsi"/>
          <w:lang w:val="en-US"/>
        </w:rPr>
        <w:t>Lets say that a credit sale was made on 1</w:t>
      </w:r>
      <w:r w:rsidRPr="00AF1007">
        <w:rPr>
          <w:rFonts w:asciiTheme="minorHAnsi" w:hAnsiTheme="minorHAnsi" w:cstheme="minorHAnsi"/>
          <w:vertAlign w:val="superscript"/>
          <w:lang w:val="en-US"/>
        </w:rPr>
        <w:t>st</w:t>
      </w:r>
      <w:r>
        <w:rPr>
          <w:rFonts w:asciiTheme="minorHAnsi" w:hAnsiTheme="minorHAnsi" w:cstheme="minorHAnsi"/>
          <w:lang w:val="en-US"/>
        </w:rPr>
        <w:t xml:space="preserve"> of August, generating a debt of </w:t>
      </w:r>
      <w:r>
        <w:rPr>
          <w:rFonts w:ascii="Cambria" w:hAnsi="Cambria" w:cstheme="minorHAnsi"/>
          <w:lang w:val="en-US"/>
        </w:rPr>
        <w:t>£</w:t>
      </w:r>
      <w:r>
        <w:rPr>
          <w:rFonts w:asciiTheme="minorHAnsi" w:hAnsiTheme="minorHAnsi" w:cstheme="minorHAnsi"/>
          <w:lang w:val="en-US"/>
        </w:rPr>
        <w:t>1000 payable on 2</w:t>
      </w:r>
      <w:r w:rsidRPr="00AF1007">
        <w:rPr>
          <w:rFonts w:asciiTheme="minorHAnsi" w:hAnsiTheme="minorHAnsi" w:cstheme="minorHAnsi"/>
          <w:vertAlign w:val="superscript"/>
          <w:lang w:val="en-US"/>
        </w:rPr>
        <w:t>nd</w:t>
      </w:r>
      <w:r>
        <w:rPr>
          <w:rFonts w:asciiTheme="minorHAnsi" w:hAnsiTheme="minorHAnsi" w:cstheme="minorHAnsi"/>
          <w:lang w:val="en-US"/>
        </w:rPr>
        <w:t xml:space="preserve"> of December. On the 2</w:t>
      </w:r>
      <w:r w:rsidRPr="00AF1007">
        <w:rPr>
          <w:rFonts w:asciiTheme="minorHAnsi" w:hAnsiTheme="minorHAnsi" w:cstheme="minorHAnsi"/>
          <w:vertAlign w:val="superscript"/>
          <w:lang w:val="en-US"/>
        </w:rPr>
        <w:t>nd</w:t>
      </w:r>
      <w:r>
        <w:rPr>
          <w:rFonts w:asciiTheme="minorHAnsi" w:hAnsiTheme="minorHAnsi" w:cstheme="minorHAnsi"/>
          <w:lang w:val="en-US"/>
        </w:rPr>
        <w:t xml:space="preserve"> of December, the buyer must pay </w:t>
      </w:r>
      <w:r>
        <w:rPr>
          <w:rFonts w:ascii="Cambria" w:hAnsi="Cambria" w:cstheme="minorHAnsi"/>
          <w:lang w:val="en-US"/>
        </w:rPr>
        <w:t>£</w:t>
      </w:r>
      <w:r>
        <w:rPr>
          <w:rFonts w:asciiTheme="minorHAnsi" w:hAnsiTheme="minorHAnsi" w:cstheme="minorHAnsi"/>
          <w:lang w:val="en-US"/>
        </w:rPr>
        <w:t xml:space="preserve">1000 regardless of the value of </w:t>
      </w:r>
      <w:r>
        <w:rPr>
          <w:rFonts w:ascii="Cambria" w:hAnsi="Cambria" w:cstheme="minorHAnsi"/>
          <w:lang w:val="en-US"/>
        </w:rPr>
        <w:t>£</w:t>
      </w:r>
      <w:r>
        <w:rPr>
          <w:rFonts w:asciiTheme="minorHAnsi" w:hAnsiTheme="minorHAnsi" w:cstheme="minorHAnsi"/>
          <w:lang w:val="en-US"/>
        </w:rPr>
        <w:t xml:space="preserve"> against any other currency. If the debtor wants to pay in any other currency, </w:t>
      </w:r>
      <w:r w:rsidR="00735CCF">
        <w:rPr>
          <w:rFonts w:asciiTheme="minorHAnsi" w:hAnsiTheme="minorHAnsi" w:cstheme="minorHAnsi"/>
          <w:lang w:val="en-US"/>
        </w:rPr>
        <w:t>USD for example, then the rate of exchange that is applicable will be the one prevailing on 2</w:t>
      </w:r>
      <w:r w:rsidR="00735CCF" w:rsidRPr="00735CCF">
        <w:rPr>
          <w:rFonts w:asciiTheme="minorHAnsi" w:hAnsiTheme="minorHAnsi" w:cstheme="minorHAnsi"/>
          <w:vertAlign w:val="superscript"/>
          <w:lang w:val="en-US"/>
        </w:rPr>
        <w:t>nd</w:t>
      </w:r>
      <w:r w:rsidR="00735CCF">
        <w:rPr>
          <w:rFonts w:asciiTheme="minorHAnsi" w:hAnsiTheme="minorHAnsi" w:cstheme="minorHAnsi"/>
          <w:lang w:val="en-US"/>
        </w:rPr>
        <w:t xml:space="preserve"> of December. </w:t>
      </w:r>
    </w:p>
    <w:p w:rsidR="00036A12" w:rsidRPr="00FA543C" w:rsidRDefault="00036A12" w:rsidP="00036A12">
      <w:pPr>
        <w:autoSpaceDE w:val="0"/>
        <w:autoSpaceDN w:val="0"/>
        <w:adjustRightInd w:val="0"/>
        <w:jc w:val="both"/>
        <w:rPr>
          <w:rFonts w:asciiTheme="minorHAnsi" w:hAnsiTheme="minorHAnsi" w:cstheme="minorHAnsi"/>
          <w:lang w:val="en-US"/>
        </w:rPr>
      </w:pPr>
    </w:p>
    <w:p w:rsidR="00036A12" w:rsidRPr="00FA543C" w:rsidRDefault="00036A12" w:rsidP="00036A12">
      <w:pPr>
        <w:autoSpaceDE w:val="0"/>
        <w:autoSpaceDN w:val="0"/>
        <w:adjustRightInd w:val="0"/>
        <w:jc w:val="both"/>
        <w:rPr>
          <w:rFonts w:asciiTheme="minorHAnsi" w:hAnsiTheme="minorHAnsi" w:cstheme="minorHAnsi"/>
          <w:lang w:val="en-US"/>
        </w:rPr>
      </w:pPr>
      <w:bookmarkStart w:id="0" w:name="_GoBack"/>
      <w:bookmarkEnd w:id="0"/>
    </w:p>
    <w:p w:rsidR="00036A12" w:rsidRPr="00FA543C" w:rsidRDefault="00036A12" w:rsidP="00036A12">
      <w:pPr>
        <w:rPr>
          <w:rFonts w:asciiTheme="minorHAnsi" w:hAnsiTheme="minorHAnsi" w:cstheme="minorHAnsi"/>
        </w:rPr>
      </w:pPr>
    </w:p>
    <w:p w:rsidR="002361AF" w:rsidRDefault="002361AF"/>
    <w:sectPr w:rsidR="002361AF" w:rsidSect="00036A12">
      <w:headerReference w:type="even" r:id="rId17"/>
      <w:headerReference w:type="default" r:id="rId18"/>
      <w:footerReference w:type="even" r:id="rId19"/>
      <w:footerReference w:type="default" r:id="rId20"/>
      <w:pgSz w:w="11906" w:h="16838"/>
      <w:pgMar w:top="1440" w:right="1440" w:bottom="1440" w:left="1440" w:header="708" w:footer="170"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FED" w:rsidRDefault="008A6FED">
      <w:r>
        <w:separator/>
      </w:r>
    </w:p>
  </w:endnote>
  <w:endnote w:type="continuationSeparator" w:id="0">
    <w:p w:rsidR="008A6FED" w:rsidRDefault="008A6F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ＭＳ ゴシック">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866" w:type="pct"/>
      <w:tblCellMar>
        <w:top w:w="72" w:type="dxa"/>
        <w:left w:w="115" w:type="dxa"/>
        <w:bottom w:w="72" w:type="dxa"/>
        <w:right w:w="115" w:type="dxa"/>
      </w:tblCellMar>
      <w:tblLook w:val="04A0"/>
    </w:tblPr>
    <w:tblGrid>
      <w:gridCol w:w="677"/>
      <w:gridCol w:w="8331"/>
    </w:tblGrid>
    <w:tr w:rsidR="00AF1007" w:rsidTr="00036A12">
      <w:trPr>
        <w:trHeight w:val="510"/>
      </w:trPr>
      <w:tc>
        <w:tcPr>
          <w:tcW w:w="376" w:type="pct"/>
          <w:tcBorders>
            <w:top w:val="single" w:sz="4" w:space="0" w:color="943634"/>
          </w:tcBorders>
          <w:shd w:val="clear" w:color="auto" w:fill="7030A0"/>
          <w:vAlign w:val="center"/>
        </w:tcPr>
        <w:p w:rsidR="00AF1007" w:rsidRDefault="002345FF" w:rsidP="00036A12">
          <w:pPr>
            <w:pStyle w:val="Footer"/>
            <w:jc w:val="center"/>
            <w:rPr>
              <w:b/>
              <w:color w:val="FFFFFF"/>
            </w:rPr>
          </w:pPr>
          <w:r>
            <w:fldChar w:fldCharType="begin"/>
          </w:r>
          <w:r w:rsidR="00AF1007">
            <w:instrText xml:space="preserve"> PAGE   \* MERGEFORMAT </w:instrText>
          </w:r>
          <w:r>
            <w:fldChar w:fldCharType="separate"/>
          </w:r>
          <w:r w:rsidR="00AF1007" w:rsidRPr="005A5A72">
            <w:rPr>
              <w:noProof/>
              <w:color w:val="FFFFFF"/>
            </w:rPr>
            <w:t>4</w:t>
          </w:r>
          <w:r>
            <w:fldChar w:fldCharType="end"/>
          </w:r>
        </w:p>
      </w:tc>
      <w:tc>
        <w:tcPr>
          <w:tcW w:w="4624" w:type="pct"/>
          <w:tcBorders>
            <w:top w:val="single" w:sz="4" w:space="0" w:color="auto"/>
          </w:tcBorders>
        </w:tcPr>
        <w:p w:rsidR="00AF1007" w:rsidRPr="00B76148" w:rsidRDefault="00AF1007">
          <w:pPr>
            <w:pStyle w:val="Footer"/>
            <w:rPr>
              <w:rFonts w:ascii="Verdana" w:hAnsi="Verdana"/>
            </w:rPr>
          </w:pPr>
          <w:r w:rsidRPr="00B76148">
            <w:rPr>
              <w:rFonts w:ascii="Verdana" w:hAnsi="Verdana"/>
            </w:rPr>
            <w:t>www.bolc.co.uk | Brentwood Open Learning College</w:t>
          </w:r>
        </w:p>
      </w:tc>
    </w:tr>
  </w:tbl>
  <w:p w:rsidR="00AF1007" w:rsidRDefault="00AF1007" w:rsidP="00036A1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863" w:type="pct"/>
      <w:tblCellMar>
        <w:top w:w="72" w:type="dxa"/>
        <w:left w:w="115" w:type="dxa"/>
        <w:bottom w:w="72" w:type="dxa"/>
        <w:right w:w="115" w:type="dxa"/>
      </w:tblCellMar>
      <w:tblLook w:val="04A0"/>
    </w:tblPr>
    <w:tblGrid>
      <w:gridCol w:w="8325"/>
      <w:gridCol w:w="677"/>
    </w:tblGrid>
    <w:tr w:rsidR="00AF1007" w:rsidTr="00036A12">
      <w:trPr>
        <w:trHeight w:val="510"/>
      </w:trPr>
      <w:tc>
        <w:tcPr>
          <w:tcW w:w="4624" w:type="pct"/>
          <w:tcBorders>
            <w:top w:val="single" w:sz="4" w:space="0" w:color="000000"/>
          </w:tcBorders>
        </w:tcPr>
        <w:p w:rsidR="00AF1007" w:rsidRPr="00E649D8" w:rsidRDefault="00AF1007" w:rsidP="00036A12">
          <w:pPr>
            <w:rPr>
              <w:color w:val="7030A0"/>
            </w:rPr>
          </w:pPr>
          <w:r>
            <w:rPr>
              <w:color w:val="7030A0"/>
            </w:rPr>
            <w:t xml:space="preserve">The Philosophy of Islamic Finance                            </w:t>
          </w:r>
          <w:r>
            <w:rPr>
              <w:b/>
              <w:color w:val="7030A0"/>
            </w:rPr>
            <w:t>Unit 3</w:t>
          </w:r>
        </w:p>
      </w:tc>
      <w:tc>
        <w:tcPr>
          <w:tcW w:w="376" w:type="pct"/>
          <w:tcBorders>
            <w:top w:val="single" w:sz="4" w:space="0" w:color="C0504D"/>
          </w:tcBorders>
          <w:shd w:val="clear" w:color="auto" w:fill="7030A0"/>
          <w:vAlign w:val="center"/>
        </w:tcPr>
        <w:p w:rsidR="00AF1007" w:rsidRDefault="002345FF" w:rsidP="00036A12">
          <w:pPr>
            <w:pStyle w:val="Header"/>
            <w:jc w:val="center"/>
            <w:rPr>
              <w:color w:val="FFFFFF"/>
            </w:rPr>
          </w:pPr>
          <w:r>
            <w:fldChar w:fldCharType="begin"/>
          </w:r>
          <w:r w:rsidR="00AF1007">
            <w:instrText xml:space="preserve"> PAGE   \* MERGEFORMAT </w:instrText>
          </w:r>
          <w:r>
            <w:fldChar w:fldCharType="separate"/>
          </w:r>
          <w:r w:rsidR="00B23ECA" w:rsidRPr="00B23ECA">
            <w:rPr>
              <w:noProof/>
              <w:color w:val="FFFFFF"/>
            </w:rPr>
            <w:t>2</w:t>
          </w:r>
          <w:r>
            <w:fldChar w:fldCharType="end"/>
          </w:r>
        </w:p>
      </w:tc>
    </w:tr>
  </w:tbl>
  <w:p w:rsidR="00AF1007" w:rsidRDefault="00AF1007" w:rsidP="00036A12">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FED" w:rsidRDefault="008A6FED">
      <w:r>
        <w:separator/>
      </w:r>
    </w:p>
  </w:footnote>
  <w:footnote w:type="continuationSeparator" w:id="0">
    <w:p w:rsidR="008A6FED" w:rsidRDefault="008A6F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05"/>
    </w:tblGrid>
    <w:tr w:rsidR="00AF1007" w:rsidTr="00036A12">
      <w:trPr>
        <w:trHeight w:val="397"/>
      </w:trPr>
      <w:tc>
        <w:tcPr>
          <w:tcW w:w="3005" w:type="dxa"/>
          <w:shd w:val="clear" w:color="auto" w:fill="7030A0"/>
        </w:tcPr>
        <w:p w:rsidR="00AF1007" w:rsidRPr="00191DDA" w:rsidRDefault="002345FF" w:rsidP="00036A12">
          <w:pPr>
            <w:pStyle w:val="Header"/>
            <w:tabs>
              <w:tab w:val="clear" w:pos="4680"/>
              <w:tab w:val="clear" w:pos="9360"/>
              <w:tab w:val="left" w:pos="1995"/>
            </w:tabs>
            <w:rPr>
              <w:color w:val="FFFFFF"/>
            </w:rPr>
          </w:pPr>
          <w:r w:rsidRPr="002345FF">
            <w:rPr>
              <w:noProof/>
              <w:color w:val="FFFFFF"/>
              <w:lang w:val="en-US" w:eastAsia="en-US"/>
            </w:rPr>
            <w:pict>
              <v:shapetype id="_x0000_t32" coordsize="21600,21600" o:spt="32" o:oned="t" path="m,l21600,21600e" filled="f">
                <v:path arrowok="t" fillok="f" o:connecttype="none"/>
                <o:lock v:ext="edit" shapetype="t"/>
              </v:shapetype>
              <v:shape id="AutoShape 1" o:spid="_x0000_s1025" type="#_x0000_t32" style="position:absolute;margin-left:144.75pt;margin-top:19.6pt;width:320.2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"/>
            </w:pict>
          </w:r>
          <w:r w:rsidR="00AF1007">
            <w:rPr>
              <w:color w:val="FFFFFF"/>
            </w:rPr>
            <w:t>Forensic Accounting</w:t>
          </w:r>
        </w:p>
      </w:tc>
    </w:tr>
  </w:tbl>
  <w:p w:rsidR="00AF1007" w:rsidRDefault="00AF10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3005" w:type="dxa"/>
      <w:tblInd w:w="5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05"/>
    </w:tblGrid>
    <w:tr w:rsidR="00AF1007" w:rsidTr="00036A12">
      <w:trPr>
        <w:trHeight w:val="397"/>
      </w:trPr>
      <w:tc>
        <w:tcPr>
          <w:tcW w:w="3005" w:type="dxa"/>
          <w:shd w:val="clear" w:color="auto" w:fill="7030A0"/>
          <w:vAlign w:val="center"/>
        </w:tcPr>
        <w:p w:rsidR="00AF1007" w:rsidRPr="0096265A" w:rsidRDefault="00AF1007" w:rsidP="00036A12">
          <w:pPr>
            <w:pStyle w:val="Header"/>
            <w:jc w:val="center"/>
            <w:rPr>
              <w:rFonts w:ascii="Verdana" w:hAnsi="Verdana"/>
              <w:color w:val="FFFFFF"/>
              <w:sz w:val="20"/>
              <w:szCs w:val="20"/>
            </w:rPr>
          </w:pPr>
          <w:r>
            <w:rPr>
              <w:rFonts w:ascii="Verdana" w:hAnsi="Verdana"/>
              <w:color w:val="FFFFFF"/>
              <w:sz w:val="20"/>
              <w:szCs w:val="20"/>
            </w:rPr>
            <w:t>Islamic Banking &amp; Finance</w:t>
          </w:r>
        </w:p>
      </w:tc>
    </w:tr>
  </w:tbl>
  <w:p w:rsidR="00AF1007" w:rsidRDefault="002345FF">
    <w:pPr>
      <w:pStyle w:val="Header"/>
    </w:pPr>
    <w:r w:rsidRPr="002345FF">
      <w:rPr>
        <w:noProof/>
        <w:lang w:val="en-US" w:eastAsia="en-US"/>
      </w:rPr>
      <w:pict>
        <v:shapetype id="_x0000_t32" coordsize="21600,21600" o:spt="32" o:oned="t" path="m,l21600,21600e" filled="f">
          <v:path arrowok="t" fillok="f" o:connecttype="none"/>
          <o:lock v:ext="edit" shapetype="t"/>
        </v:shapetype>
        <v:shape id="AutoShape 2" o:spid="_x0000_s1026" type="#_x0000_t32" style="position:absolute;margin-left:-15.7pt;margin-top:-.3pt;width:306pt;height:0;flip:x;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39A"/>
    <w:multiLevelType w:val="hybridMultilevel"/>
    <w:tmpl w:val="4A5C3000"/>
    <w:lvl w:ilvl="0" w:tplc="03FC414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3D6A5A"/>
    <w:multiLevelType w:val="hybridMultilevel"/>
    <w:tmpl w:val="81D42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2CB7373"/>
    <w:multiLevelType w:val="hybridMultilevel"/>
    <w:tmpl w:val="54FEF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F3621D"/>
    <w:multiLevelType w:val="hybridMultilevel"/>
    <w:tmpl w:val="9D36C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1"/>
      <o:rules v:ext="edit">
        <o:r id="V:Rule3" type="connector" idref="#AutoShape 1"/>
        <o:r id="V:Rule4" type="connector" idref="#AutoShape 2"/>
      </o:rules>
    </o:shapelayout>
  </w:hdrShapeDefaults>
  <w:footnotePr>
    <w:footnote w:id="-1"/>
    <w:footnote w:id="0"/>
  </w:footnotePr>
  <w:endnotePr>
    <w:endnote w:id="-1"/>
    <w:endnote w:id="0"/>
  </w:endnotePr>
  <w:compat>
    <w:useFELayout/>
  </w:compat>
  <w:rsids>
    <w:rsidRoot w:val="00036A12"/>
    <w:rsid w:val="0000145F"/>
    <w:rsid w:val="00020CD1"/>
    <w:rsid w:val="00036A12"/>
    <w:rsid w:val="00036C83"/>
    <w:rsid w:val="0004314E"/>
    <w:rsid w:val="00043AC3"/>
    <w:rsid w:val="00046D2C"/>
    <w:rsid w:val="000A7C1E"/>
    <w:rsid w:val="000B6E0E"/>
    <w:rsid w:val="000C77DE"/>
    <w:rsid w:val="000D7FF0"/>
    <w:rsid w:val="000E0554"/>
    <w:rsid w:val="000E127C"/>
    <w:rsid w:val="00101A06"/>
    <w:rsid w:val="00134E97"/>
    <w:rsid w:val="00137702"/>
    <w:rsid w:val="00144820"/>
    <w:rsid w:val="00175792"/>
    <w:rsid w:val="001B0DD2"/>
    <w:rsid w:val="0021771E"/>
    <w:rsid w:val="0023360C"/>
    <w:rsid w:val="002345FF"/>
    <w:rsid w:val="002361AF"/>
    <w:rsid w:val="00237ED9"/>
    <w:rsid w:val="0026013C"/>
    <w:rsid w:val="00276E76"/>
    <w:rsid w:val="002A6546"/>
    <w:rsid w:val="002F6B7C"/>
    <w:rsid w:val="00355920"/>
    <w:rsid w:val="003654E0"/>
    <w:rsid w:val="00374E59"/>
    <w:rsid w:val="00394EF3"/>
    <w:rsid w:val="003A6039"/>
    <w:rsid w:val="003B1457"/>
    <w:rsid w:val="003B6CC7"/>
    <w:rsid w:val="003D04CB"/>
    <w:rsid w:val="003D4E7A"/>
    <w:rsid w:val="00407FF1"/>
    <w:rsid w:val="00414E22"/>
    <w:rsid w:val="00434141"/>
    <w:rsid w:val="004B460A"/>
    <w:rsid w:val="005528E3"/>
    <w:rsid w:val="00577221"/>
    <w:rsid w:val="005A4240"/>
    <w:rsid w:val="005B5BE9"/>
    <w:rsid w:val="005C6A03"/>
    <w:rsid w:val="005D0DBD"/>
    <w:rsid w:val="00647510"/>
    <w:rsid w:val="006922EC"/>
    <w:rsid w:val="006A1182"/>
    <w:rsid w:val="006B58A4"/>
    <w:rsid w:val="006C1D04"/>
    <w:rsid w:val="00700A69"/>
    <w:rsid w:val="00700E6F"/>
    <w:rsid w:val="00704FC1"/>
    <w:rsid w:val="00735CCF"/>
    <w:rsid w:val="007A37FD"/>
    <w:rsid w:val="00800583"/>
    <w:rsid w:val="008061E2"/>
    <w:rsid w:val="008272FE"/>
    <w:rsid w:val="00837EB9"/>
    <w:rsid w:val="00883040"/>
    <w:rsid w:val="00886FAA"/>
    <w:rsid w:val="008A6FED"/>
    <w:rsid w:val="008B27A4"/>
    <w:rsid w:val="008C04FE"/>
    <w:rsid w:val="008C055D"/>
    <w:rsid w:val="009249AA"/>
    <w:rsid w:val="009D207B"/>
    <w:rsid w:val="00A57CD1"/>
    <w:rsid w:val="00AA36F5"/>
    <w:rsid w:val="00AB1DF0"/>
    <w:rsid w:val="00AF1007"/>
    <w:rsid w:val="00B045D0"/>
    <w:rsid w:val="00B14592"/>
    <w:rsid w:val="00B233CA"/>
    <w:rsid w:val="00B23ECA"/>
    <w:rsid w:val="00B420CF"/>
    <w:rsid w:val="00B629AB"/>
    <w:rsid w:val="00B97648"/>
    <w:rsid w:val="00BC7365"/>
    <w:rsid w:val="00BD3AB6"/>
    <w:rsid w:val="00BD4263"/>
    <w:rsid w:val="00BE4007"/>
    <w:rsid w:val="00BF6023"/>
    <w:rsid w:val="00C04056"/>
    <w:rsid w:val="00C31A47"/>
    <w:rsid w:val="00CA3B87"/>
    <w:rsid w:val="00CB4769"/>
    <w:rsid w:val="00D04F68"/>
    <w:rsid w:val="00D45CD8"/>
    <w:rsid w:val="00D75A42"/>
    <w:rsid w:val="00D80B5D"/>
    <w:rsid w:val="00D86528"/>
    <w:rsid w:val="00D96FE8"/>
    <w:rsid w:val="00DC61E0"/>
    <w:rsid w:val="00DD6960"/>
    <w:rsid w:val="00DD713D"/>
    <w:rsid w:val="00DE7461"/>
    <w:rsid w:val="00E05FD2"/>
    <w:rsid w:val="00E52E02"/>
    <w:rsid w:val="00E72299"/>
    <w:rsid w:val="00E928EF"/>
    <w:rsid w:val="00EB250A"/>
    <w:rsid w:val="00ED066A"/>
    <w:rsid w:val="00EE7173"/>
    <w:rsid w:val="00EF7EDF"/>
    <w:rsid w:val="00F04D8D"/>
    <w:rsid w:val="00F30E64"/>
    <w:rsid w:val="00F320FD"/>
    <w:rsid w:val="00F47BD1"/>
    <w:rsid w:val="00F55141"/>
    <w:rsid w:val="00F60B62"/>
    <w:rsid w:val="00FD2250"/>
    <w:rsid w:val="00FE7C0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A12"/>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36A12"/>
    <w:pPr>
      <w:tabs>
        <w:tab w:val="center" w:pos="4153"/>
        <w:tab w:val="right" w:pos="8306"/>
      </w:tabs>
    </w:pPr>
  </w:style>
  <w:style w:type="character" w:customStyle="1" w:styleId="FooterChar">
    <w:name w:val="Footer Char"/>
    <w:basedOn w:val="DefaultParagraphFont"/>
    <w:link w:val="Footer"/>
    <w:uiPriority w:val="99"/>
    <w:rsid w:val="00036A12"/>
    <w:rPr>
      <w:rFonts w:ascii="Times New Roman" w:eastAsia="Times New Roman" w:hAnsi="Times New Roman" w:cs="Times New Roman"/>
      <w:lang w:val="en-GB" w:eastAsia="en-GB"/>
    </w:rPr>
  </w:style>
  <w:style w:type="paragraph" w:styleId="Header">
    <w:name w:val="header"/>
    <w:basedOn w:val="Normal"/>
    <w:link w:val="HeaderChar"/>
    <w:uiPriority w:val="99"/>
    <w:rsid w:val="00036A12"/>
    <w:pPr>
      <w:tabs>
        <w:tab w:val="center" w:pos="4680"/>
        <w:tab w:val="right" w:pos="9360"/>
      </w:tabs>
    </w:pPr>
  </w:style>
  <w:style w:type="character" w:customStyle="1" w:styleId="HeaderChar">
    <w:name w:val="Header Char"/>
    <w:basedOn w:val="DefaultParagraphFont"/>
    <w:link w:val="Header"/>
    <w:uiPriority w:val="99"/>
    <w:rsid w:val="00036A12"/>
    <w:rPr>
      <w:rFonts w:ascii="Times New Roman" w:eastAsia="Times New Roman" w:hAnsi="Times New Roman" w:cs="Times New Roman"/>
      <w:lang w:val="en-GB" w:eastAsia="en-GB"/>
    </w:rPr>
  </w:style>
  <w:style w:type="paragraph" w:styleId="ListParagraph">
    <w:name w:val="List Paragraph"/>
    <w:basedOn w:val="Normal"/>
    <w:uiPriority w:val="34"/>
    <w:qFormat/>
    <w:rsid w:val="00036A12"/>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036A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6A12"/>
    <w:rPr>
      <w:rFonts w:ascii="Lucida Grande" w:eastAsia="Times New Roman" w:hAnsi="Lucida Grande" w:cs="Lucida Grande"/>
      <w:sz w:val="18"/>
      <w:szCs w:val="18"/>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A12"/>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36A12"/>
    <w:pPr>
      <w:tabs>
        <w:tab w:val="center" w:pos="4153"/>
        <w:tab w:val="right" w:pos="8306"/>
      </w:tabs>
    </w:pPr>
  </w:style>
  <w:style w:type="character" w:customStyle="1" w:styleId="FooterChar">
    <w:name w:val="Footer Char"/>
    <w:basedOn w:val="DefaultParagraphFont"/>
    <w:link w:val="Footer"/>
    <w:uiPriority w:val="99"/>
    <w:rsid w:val="00036A12"/>
    <w:rPr>
      <w:rFonts w:ascii="Times New Roman" w:eastAsia="Times New Roman" w:hAnsi="Times New Roman" w:cs="Times New Roman"/>
      <w:lang w:val="en-GB" w:eastAsia="en-GB"/>
    </w:rPr>
  </w:style>
  <w:style w:type="paragraph" w:styleId="Header">
    <w:name w:val="header"/>
    <w:basedOn w:val="Normal"/>
    <w:link w:val="HeaderChar"/>
    <w:uiPriority w:val="99"/>
    <w:rsid w:val="00036A12"/>
    <w:pPr>
      <w:tabs>
        <w:tab w:val="center" w:pos="4680"/>
        <w:tab w:val="right" w:pos="9360"/>
      </w:tabs>
    </w:pPr>
  </w:style>
  <w:style w:type="character" w:customStyle="1" w:styleId="HeaderChar">
    <w:name w:val="Header Char"/>
    <w:basedOn w:val="DefaultParagraphFont"/>
    <w:link w:val="Header"/>
    <w:uiPriority w:val="99"/>
    <w:rsid w:val="00036A12"/>
    <w:rPr>
      <w:rFonts w:ascii="Times New Roman" w:eastAsia="Times New Roman" w:hAnsi="Times New Roman" w:cs="Times New Roman"/>
      <w:lang w:val="en-GB" w:eastAsia="en-GB"/>
    </w:rPr>
  </w:style>
  <w:style w:type="paragraph" w:styleId="ListParagraph">
    <w:name w:val="List Paragraph"/>
    <w:basedOn w:val="Normal"/>
    <w:uiPriority w:val="34"/>
    <w:qFormat/>
    <w:rsid w:val="00036A12"/>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036A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6A12"/>
    <w:rPr>
      <w:rFonts w:ascii="Lucida Grande" w:eastAsia="Times New Roman" w:hAnsi="Lucida Grande" w:cs="Lucida Grande"/>
      <w:sz w:val="18"/>
      <w:szCs w:val="18"/>
      <w:lang w:val="en-GB" w:eastAsia="en-GB"/>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eader" Target="header1.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23" Type="http://schemas.microsoft.com/office/2007/relationships/stylesWithEffects" Target="stylesWithEffects.xml"/><Relationship Id="rId10" Type="http://schemas.openxmlformats.org/officeDocument/2006/relationships/diagramColors" Target="diagrams/colors1.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0CC601-7C0C-4665-A393-CD6EAD89EF2F}" type="doc">
      <dgm:prSet loTypeId="urn:microsoft.com/office/officeart/2005/8/layout/radial1" loCatId="cycle" qsTypeId="urn:microsoft.com/office/officeart/2005/8/quickstyle/simple1" qsCatId="simple" csTypeId="urn:microsoft.com/office/officeart/2005/8/colors/colorful2" csCatId="colorful" phldr="1"/>
      <dgm:spPr/>
      <dgm:t>
        <a:bodyPr/>
        <a:lstStyle/>
        <a:p>
          <a:endParaRPr lang="en-US"/>
        </a:p>
      </dgm:t>
    </dgm:pt>
    <dgm:pt modelId="{8C5255AC-97E5-4C99-AA7E-3C1E972A5C4C}">
      <dgm:prSet phldrT="[Text]"/>
      <dgm:spPr/>
      <dgm:t>
        <a:bodyPr/>
        <a:lstStyle/>
        <a:p>
          <a:r>
            <a:rPr lang="en-US" b="1"/>
            <a:t>The Philosophy of Islamic Finance</a:t>
          </a:r>
          <a:endParaRPr lang="en-US"/>
        </a:p>
      </dgm:t>
    </dgm:pt>
    <dgm:pt modelId="{2351D735-4A5C-4AE3-A23C-87966A4D982D}" type="parTrans" cxnId="{33B95BE0-2055-44AD-AAA5-15493620D26C}">
      <dgm:prSet/>
      <dgm:spPr/>
      <dgm:t>
        <a:bodyPr/>
        <a:lstStyle/>
        <a:p>
          <a:endParaRPr lang="en-US"/>
        </a:p>
      </dgm:t>
    </dgm:pt>
    <dgm:pt modelId="{5481D703-96AC-4154-9E89-D94EE764557D}" type="sibTrans" cxnId="{33B95BE0-2055-44AD-AAA5-15493620D26C}">
      <dgm:prSet/>
      <dgm:spPr/>
      <dgm:t>
        <a:bodyPr/>
        <a:lstStyle/>
        <a:p>
          <a:endParaRPr lang="en-US"/>
        </a:p>
      </dgm:t>
    </dgm:pt>
    <dgm:pt modelId="{8BDE235F-32C5-4DD0-8188-B925BE274F0D}">
      <dgm:prSet phldrT="[Text]"/>
      <dgm:spPr/>
      <dgm:t>
        <a:bodyPr/>
        <a:lstStyle/>
        <a:p>
          <a:r>
            <a:rPr lang="en-US" b="1"/>
            <a:t>Avoiding Interest</a:t>
          </a:r>
          <a:endParaRPr lang="en-US"/>
        </a:p>
      </dgm:t>
    </dgm:pt>
    <dgm:pt modelId="{02B1FA51-EE93-45CF-8190-824CB882306C}" type="parTrans" cxnId="{44DC7AA3-EE6A-4BE9-B003-0F3E53BEAA1E}">
      <dgm:prSet/>
      <dgm:spPr/>
      <dgm:t>
        <a:bodyPr/>
        <a:lstStyle/>
        <a:p>
          <a:endParaRPr lang="en-US"/>
        </a:p>
      </dgm:t>
    </dgm:pt>
    <dgm:pt modelId="{6458E06B-D66E-46BC-8B19-DC127543C04D}" type="sibTrans" cxnId="{44DC7AA3-EE6A-4BE9-B003-0F3E53BEAA1E}">
      <dgm:prSet/>
      <dgm:spPr/>
      <dgm:t>
        <a:bodyPr/>
        <a:lstStyle/>
        <a:p>
          <a:endParaRPr lang="en-US"/>
        </a:p>
      </dgm:t>
    </dgm:pt>
    <dgm:pt modelId="{BB621B41-6D9D-4024-B7B4-ABB491C7D1CC}">
      <dgm:prSet phldrT="[Text]"/>
      <dgm:spPr/>
      <dgm:t>
        <a:bodyPr/>
        <a:lstStyle/>
        <a:p>
          <a:r>
            <a:rPr lang="en-US" b="1"/>
            <a:t>Avoiding Gambling and Games of Chance</a:t>
          </a:r>
          <a:endParaRPr lang="en-US"/>
        </a:p>
      </dgm:t>
    </dgm:pt>
    <dgm:pt modelId="{366909D2-3870-469A-A8C9-0E7D6395CB84}" type="parTrans" cxnId="{1B973BA2-1961-4B8B-9238-E0C4F4A6A124}">
      <dgm:prSet/>
      <dgm:spPr/>
      <dgm:t>
        <a:bodyPr/>
        <a:lstStyle/>
        <a:p>
          <a:endParaRPr lang="en-US"/>
        </a:p>
      </dgm:t>
    </dgm:pt>
    <dgm:pt modelId="{8CA32BF3-27D1-47FD-A0AA-5C837A06CEAD}" type="sibTrans" cxnId="{1B973BA2-1961-4B8B-9238-E0C4F4A6A124}">
      <dgm:prSet/>
      <dgm:spPr/>
      <dgm:t>
        <a:bodyPr/>
        <a:lstStyle/>
        <a:p>
          <a:endParaRPr lang="en-US"/>
        </a:p>
      </dgm:t>
    </dgm:pt>
    <dgm:pt modelId="{6E1A8778-760C-4C86-90C9-2CD89C7212AD}">
      <dgm:prSet/>
      <dgm:spPr/>
      <dgm:t>
        <a:bodyPr/>
        <a:lstStyle/>
        <a:p>
          <a:r>
            <a:rPr lang="en-US" b="1"/>
            <a:t>Avoiding </a:t>
          </a:r>
          <a:r>
            <a:rPr lang="en-US" b="1" i="1"/>
            <a:t>Gharar</a:t>
          </a:r>
          <a:endParaRPr lang="en-US" i="1"/>
        </a:p>
      </dgm:t>
    </dgm:pt>
    <dgm:pt modelId="{321636FA-E3EE-46A4-B501-64EC05B5E387}" type="parTrans" cxnId="{EECEE857-D7A5-47D2-863B-2EACADDBF89C}">
      <dgm:prSet/>
      <dgm:spPr/>
      <dgm:t>
        <a:bodyPr/>
        <a:lstStyle/>
        <a:p>
          <a:endParaRPr lang="en-US"/>
        </a:p>
      </dgm:t>
    </dgm:pt>
    <dgm:pt modelId="{A36646F5-D58E-44DF-BF60-5F218C89313E}" type="sibTrans" cxnId="{EECEE857-D7A5-47D2-863B-2EACADDBF89C}">
      <dgm:prSet/>
      <dgm:spPr/>
      <dgm:t>
        <a:bodyPr/>
        <a:lstStyle/>
        <a:p>
          <a:endParaRPr lang="en-US"/>
        </a:p>
      </dgm:t>
    </dgm:pt>
    <dgm:pt modelId="{63C9A1EB-6E89-41B6-AD4C-B74F6E6EADDA}" type="pres">
      <dgm:prSet presAssocID="{6E0CC601-7C0C-4665-A393-CD6EAD89EF2F}" presName="cycle" presStyleCnt="0">
        <dgm:presLayoutVars>
          <dgm:chMax val="1"/>
          <dgm:dir/>
          <dgm:animLvl val="ctr"/>
          <dgm:resizeHandles val="exact"/>
        </dgm:presLayoutVars>
      </dgm:prSet>
      <dgm:spPr/>
      <dgm:t>
        <a:bodyPr/>
        <a:lstStyle/>
        <a:p>
          <a:endParaRPr lang="en-GB"/>
        </a:p>
      </dgm:t>
    </dgm:pt>
    <dgm:pt modelId="{61B7BE66-2FB0-4035-8684-E2E97CD5A803}" type="pres">
      <dgm:prSet presAssocID="{8C5255AC-97E5-4C99-AA7E-3C1E972A5C4C}" presName="centerShape" presStyleLbl="node0" presStyleIdx="0" presStyleCnt="1"/>
      <dgm:spPr/>
      <dgm:t>
        <a:bodyPr/>
        <a:lstStyle/>
        <a:p>
          <a:endParaRPr lang="en-US"/>
        </a:p>
      </dgm:t>
    </dgm:pt>
    <dgm:pt modelId="{CA7B9A5E-7439-4193-995D-F94F6E4E7E77}" type="pres">
      <dgm:prSet presAssocID="{02B1FA51-EE93-45CF-8190-824CB882306C}" presName="Name9" presStyleLbl="parChTrans1D2" presStyleIdx="0" presStyleCnt="3"/>
      <dgm:spPr/>
      <dgm:t>
        <a:bodyPr/>
        <a:lstStyle/>
        <a:p>
          <a:endParaRPr lang="en-GB"/>
        </a:p>
      </dgm:t>
    </dgm:pt>
    <dgm:pt modelId="{745B4BD3-BE8F-4B68-8799-C8B51D924E52}" type="pres">
      <dgm:prSet presAssocID="{02B1FA51-EE93-45CF-8190-824CB882306C}" presName="connTx" presStyleLbl="parChTrans1D2" presStyleIdx="0" presStyleCnt="3"/>
      <dgm:spPr/>
      <dgm:t>
        <a:bodyPr/>
        <a:lstStyle/>
        <a:p>
          <a:endParaRPr lang="en-GB"/>
        </a:p>
      </dgm:t>
    </dgm:pt>
    <dgm:pt modelId="{F725A51D-F37E-41EE-9A95-DBD8E96D32C0}" type="pres">
      <dgm:prSet presAssocID="{8BDE235F-32C5-4DD0-8188-B925BE274F0D}" presName="node" presStyleLbl="node1" presStyleIdx="0" presStyleCnt="3">
        <dgm:presLayoutVars>
          <dgm:bulletEnabled val="1"/>
        </dgm:presLayoutVars>
      </dgm:prSet>
      <dgm:spPr/>
      <dgm:t>
        <a:bodyPr/>
        <a:lstStyle/>
        <a:p>
          <a:endParaRPr lang="en-US"/>
        </a:p>
      </dgm:t>
    </dgm:pt>
    <dgm:pt modelId="{F5E50F62-73C0-469F-9C8F-6CB1729E2488}" type="pres">
      <dgm:prSet presAssocID="{366909D2-3870-469A-A8C9-0E7D6395CB84}" presName="Name9" presStyleLbl="parChTrans1D2" presStyleIdx="1" presStyleCnt="3"/>
      <dgm:spPr/>
      <dgm:t>
        <a:bodyPr/>
        <a:lstStyle/>
        <a:p>
          <a:endParaRPr lang="en-GB"/>
        </a:p>
      </dgm:t>
    </dgm:pt>
    <dgm:pt modelId="{58BF9298-24DC-4C6E-9396-10995DD35152}" type="pres">
      <dgm:prSet presAssocID="{366909D2-3870-469A-A8C9-0E7D6395CB84}" presName="connTx" presStyleLbl="parChTrans1D2" presStyleIdx="1" presStyleCnt="3"/>
      <dgm:spPr/>
      <dgm:t>
        <a:bodyPr/>
        <a:lstStyle/>
        <a:p>
          <a:endParaRPr lang="en-GB"/>
        </a:p>
      </dgm:t>
    </dgm:pt>
    <dgm:pt modelId="{B0AE4A41-7017-4D46-BF2B-81188559D79B}" type="pres">
      <dgm:prSet presAssocID="{BB621B41-6D9D-4024-B7B4-ABB491C7D1CC}" presName="node" presStyleLbl="node1" presStyleIdx="1" presStyleCnt="3">
        <dgm:presLayoutVars>
          <dgm:bulletEnabled val="1"/>
        </dgm:presLayoutVars>
      </dgm:prSet>
      <dgm:spPr/>
      <dgm:t>
        <a:bodyPr/>
        <a:lstStyle/>
        <a:p>
          <a:endParaRPr lang="en-US"/>
        </a:p>
      </dgm:t>
    </dgm:pt>
    <dgm:pt modelId="{1ABBF924-2AAF-489C-8B94-DB3CF3E5AB6C}" type="pres">
      <dgm:prSet presAssocID="{321636FA-E3EE-46A4-B501-64EC05B5E387}" presName="Name9" presStyleLbl="parChTrans1D2" presStyleIdx="2" presStyleCnt="3"/>
      <dgm:spPr/>
      <dgm:t>
        <a:bodyPr/>
        <a:lstStyle/>
        <a:p>
          <a:endParaRPr lang="en-GB"/>
        </a:p>
      </dgm:t>
    </dgm:pt>
    <dgm:pt modelId="{C3E496F8-7709-45F6-ABE9-7B84B228F798}" type="pres">
      <dgm:prSet presAssocID="{321636FA-E3EE-46A4-B501-64EC05B5E387}" presName="connTx" presStyleLbl="parChTrans1D2" presStyleIdx="2" presStyleCnt="3"/>
      <dgm:spPr/>
      <dgm:t>
        <a:bodyPr/>
        <a:lstStyle/>
        <a:p>
          <a:endParaRPr lang="en-GB"/>
        </a:p>
      </dgm:t>
    </dgm:pt>
    <dgm:pt modelId="{D29664B0-3D4A-43AF-BAF7-457D39F94C3E}" type="pres">
      <dgm:prSet presAssocID="{6E1A8778-760C-4C86-90C9-2CD89C7212AD}" presName="node" presStyleLbl="node1" presStyleIdx="2" presStyleCnt="3">
        <dgm:presLayoutVars>
          <dgm:bulletEnabled val="1"/>
        </dgm:presLayoutVars>
      </dgm:prSet>
      <dgm:spPr/>
      <dgm:t>
        <a:bodyPr/>
        <a:lstStyle/>
        <a:p>
          <a:endParaRPr lang="en-GB"/>
        </a:p>
      </dgm:t>
    </dgm:pt>
  </dgm:ptLst>
  <dgm:cxnLst>
    <dgm:cxn modelId="{970F6CB3-8DB2-4380-9A99-6EAF99750132}" type="presOf" srcId="{321636FA-E3EE-46A4-B501-64EC05B5E387}" destId="{1ABBF924-2AAF-489C-8B94-DB3CF3E5AB6C}" srcOrd="0" destOrd="0" presId="urn:microsoft.com/office/officeart/2005/8/layout/radial1"/>
    <dgm:cxn modelId="{EECEE857-D7A5-47D2-863B-2EACADDBF89C}" srcId="{8C5255AC-97E5-4C99-AA7E-3C1E972A5C4C}" destId="{6E1A8778-760C-4C86-90C9-2CD89C7212AD}" srcOrd="2" destOrd="0" parTransId="{321636FA-E3EE-46A4-B501-64EC05B5E387}" sibTransId="{A36646F5-D58E-44DF-BF60-5F218C89313E}"/>
    <dgm:cxn modelId="{98CCE66E-151D-40B1-959B-5573A10ADFFC}" type="presOf" srcId="{8BDE235F-32C5-4DD0-8188-B925BE274F0D}" destId="{F725A51D-F37E-41EE-9A95-DBD8E96D32C0}" srcOrd="0" destOrd="0" presId="urn:microsoft.com/office/officeart/2005/8/layout/radial1"/>
    <dgm:cxn modelId="{07643330-D4FB-4649-84F8-01C49CD365A1}" type="presOf" srcId="{6E1A8778-760C-4C86-90C9-2CD89C7212AD}" destId="{D29664B0-3D4A-43AF-BAF7-457D39F94C3E}" srcOrd="0" destOrd="0" presId="urn:microsoft.com/office/officeart/2005/8/layout/radial1"/>
    <dgm:cxn modelId="{3AF2B7F0-EA41-47C0-AA4E-AB828C51417B}" type="presOf" srcId="{366909D2-3870-469A-A8C9-0E7D6395CB84}" destId="{F5E50F62-73C0-469F-9C8F-6CB1729E2488}" srcOrd="0" destOrd="0" presId="urn:microsoft.com/office/officeart/2005/8/layout/radial1"/>
    <dgm:cxn modelId="{31ABB8B9-4610-4A05-81DB-45A24CE0D25C}" type="presOf" srcId="{02B1FA51-EE93-45CF-8190-824CB882306C}" destId="{CA7B9A5E-7439-4193-995D-F94F6E4E7E77}" srcOrd="0" destOrd="0" presId="urn:microsoft.com/office/officeart/2005/8/layout/radial1"/>
    <dgm:cxn modelId="{305F068F-24D1-413C-9DC2-32EAECDA9F79}" type="presOf" srcId="{8C5255AC-97E5-4C99-AA7E-3C1E972A5C4C}" destId="{61B7BE66-2FB0-4035-8684-E2E97CD5A803}" srcOrd="0" destOrd="0" presId="urn:microsoft.com/office/officeart/2005/8/layout/radial1"/>
    <dgm:cxn modelId="{1B973BA2-1961-4B8B-9238-E0C4F4A6A124}" srcId="{8C5255AC-97E5-4C99-AA7E-3C1E972A5C4C}" destId="{BB621B41-6D9D-4024-B7B4-ABB491C7D1CC}" srcOrd="1" destOrd="0" parTransId="{366909D2-3870-469A-A8C9-0E7D6395CB84}" sibTransId="{8CA32BF3-27D1-47FD-A0AA-5C837A06CEAD}"/>
    <dgm:cxn modelId="{7156686D-CE44-402A-A453-736CC1F17DA7}" type="presOf" srcId="{321636FA-E3EE-46A4-B501-64EC05B5E387}" destId="{C3E496F8-7709-45F6-ABE9-7B84B228F798}" srcOrd="1" destOrd="0" presId="urn:microsoft.com/office/officeart/2005/8/layout/radial1"/>
    <dgm:cxn modelId="{67C4431F-3488-4F41-9CC1-503F1CA7758E}" type="presOf" srcId="{366909D2-3870-469A-A8C9-0E7D6395CB84}" destId="{58BF9298-24DC-4C6E-9396-10995DD35152}" srcOrd="1" destOrd="0" presId="urn:microsoft.com/office/officeart/2005/8/layout/radial1"/>
    <dgm:cxn modelId="{A4D46E44-E4BF-437F-A700-2FD44057ED6D}" type="presOf" srcId="{6E0CC601-7C0C-4665-A393-CD6EAD89EF2F}" destId="{63C9A1EB-6E89-41B6-AD4C-B74F6E6EADDA}" srcOrd="0" destOrd="0" presId="urn:microsoft.com/office/officeart/2005/8/layout/radial1"/>
    <dgm:cxn modelId="{33B95BE0-2055-44AD-AAA5-15493620D26C}" srcId="{6E0CC601-7C0C-4665-A393-CD6EAD89EF2F}" destId="{8C5255AC-97E5-4C99-AA7E-3C1E972A5C4C}" srcOrd="0" destOrd="0" parTransId="{2351D735-4A5C-4AE3-A23C-87966A4D982D}" sibTransId="{5481D703-96AC-4154-9E89-D94EE764557D}"/>
    <dgm:cxn modelId="{44DC7AA3-EE6A-4BE9-B003-0F3E53BEAA1E}" srcId="{8C5255AC-97E5-4C99-AA7E-3C1E972A5C4C}" destId="{8BDE235F-32C5-4DD0-8188-B925BE274F0D}" srcOrd="0" destOrd="0" parTransId="{02B1FA51-EE93-45CF-8190-824CB882306C}" sibTransId="{6458E06B-D66E-46BC-8B19-DC127543C04D}"/>
    <dgm:cxn modelId="{0B9E586C-8269-425D-9433-16C655C2A192}" type="presOf" srcId="{02B1FA51-EE93-45CF-8190-824CB882306C}" destId="{745B4BD3-BE8F-4B68-8799-C8B51D924E52}" srcOrd="1" destOrd="0" presId="urn:microsoft.com/office/officeart/2005/8/layout/radial1"/>
    <dgm:cxn modelId="{37DD99CE-82AA-47A0-9D25-54FB712FB599}" type="presOf" srcId="{BB621B41-6D9D-4024-B7B4-ABB491C7D1CC}" destId="{B0AE4A41-7017-4D46-BF2B-81188559D79B}" srcOrd="0" destOrd="0" presId="urn:microsoft.com/office/officeart/2005/8/layout/radial1"/>
    <dgm:cxn modelId="{9DC73464-6286-47FC-AE26-A7467ED7E536}" type="presParOf" srcId="{63C9A1EB-6E89-41B6-AD4C-B74F6E6EADDA}" destId="{61B7BE66-2FB0-4035-8684-E2E97CD5A803}" srcOrd="0" destOrd="0" presId="urn:microsoft.com/office/officeart/2005/8/layout/radial1"/>
    <dgm:cxn modelId="{58C93DAD-B783-45C1-9EA1-8532D0BDC040}" type="presParOf" srcId="{63C9A1EB-6E89-41B6-AD4C-B74F6E6EADDA}" destId="{CA7B9A5E-7439-4193-995D-F94F6E4E7E77}" srcOrd="1" destOrd="0" presId="urn:microsoft.com/office/officeart/2005/8/layout/radial1"/>
    <dgm:cxn modelId="{56B9A9DF-BACC-4D3F-A8CB-ACFC05775129}" type="presParOf" srcId="{CA7B9A5E-7439-4193-995D-F94F6E4E7E77}" destId="{745B4BD3-BE8F-4B68-8799-C8B51D924E52}" srcOrd="0" destOrd="0" presId="urn:microsoft.com/office/officeart/2005/8/layout/radial1"/>
    <dgm:cxn modelId="{4D94DA70-D4E2-494B-AC44-4C07FF84E1B0}" type="presParOf" srcId="{63C9A1EB-6E89-41B6-AD4C-B74F6E6EADDA}" destId="{F725A51D-F37E-41EE-9A95-DBD8E96D32C0}" srcOrd="2" destOrd="0" presId="urn:microsoft.com/office/officeart/2005/8/layout/radial1"/>
    <dgm:cxn modelId="{49831180-DC50-47EF-A62A-7BA050A636F8}" type="presParOf" srcId="{63C9A1EB-6E89-41B6-AD4C-B74F6E6EADDA}" destId="{F5E50F62-73C0-469F-9C8F-6CB1729E2488}" srcOrd="3" destOrd="0" presId="urn:microsoft.com/office/officeart/2005/8/layout/radial1"/>
    <dgm:cxn modelId="{FFA7C3E8-251C-43D5-AEF0-342222B8CF7D}" type="presParOf" srcId="{F5E50F62-73C0-469F-9C8F-6CB1729E2488}" destId="{58BF9298-24DC-4C6E-9396-10995DD35152}" srcOrd="0" destOrd="0" presId="urn:microsoft.com/office/officeart/2005/8/layout/radial1"/>
    <dgm:cxn modelId="{FF294E11-167D-4BBA-917C-8B6421265194}" type="presParOf" srcId="{63C9A1EB-6E89-41B6-AD4C-B74F6E6EADDA}" destId="{B0AE4A41-7017-4D46-BF2B-81188559D79B}" srcOrd="4" destOrd="0" presId="urn:microsoft.com/office/officeart/2005/8/layout/radial1"/>
    <dgm:cxn modelId="{79EDCA89-3FD6-44D7-8FBF-25450023561F}" type="presParOf" srcId="{63C9A1EB-6E89-41B6-AD4C-B74F6E6EADDA}" destId="{1ABBF924-2AAF-489C-8B94-DB3CF3E5AB6C}" srcOrd="5" destOrd="0" presId="urn:microsoft.com/office/officeart/2005/8/layout/radial1"/>
    <dgm:cxn modelId="{25B5BD8B-2831-4869-ABC7-1FE78A5CB407}" type="presParOf" srcId="{1ABBF924-2AAF-489C-8B94-DB3CF3E5AB6C}" destId="{C3E496F8-7709-45F6-ABE9-7B84B228F798}" srcOrd="0" destOrd="0" presId="urn:microsoft.com/office/officeart/2005/8/layout/radial1"/>
    <dgm:cxn modelId="{0F4FE262-28CF-43C5-88AA-E68EA65E50A3}" type="presParOf" srcId="{63C9A1EB-6E89-41B6-AD4C-B74F6E6EADDA}" destId="{D29664B0-3D4A-43AF-BAF7-457D39F94C3E}" srcOrd="6" destOrd="0" presId="urn:microsoft.com/office/officeart/2005/8/layout/radial1"/>
  </dgm:cxnLst>
  <dgm:bg/>
  <dgm:whole/>
  <dgm:extLst>
    <a:ext uri="http://schemas.microsoft.com/office/drawing/2008/diagram">
      <dsp:dataModelExt xmlns:dsp="http://schemas.microsoft.com/office/drawing/2008/diagram" xmlns=""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EE97F72-D19A-48A4-BF16-94AF0FCE0F83}" type="doc">
      <dgm:prSet loTypeId="urn:microsoft.com/office/officeart/2005/8/layout/hierarchy2" loCatId="hierarchy" qsTypeId="urn:microsoft.com/office/officeart/2005/8/quickstyle/simple3" qsCatId="simple" csTypeId="urn:microsoft.com/office/officeart/2005/8/colors/colorful4" csCatId="colorful" phldr="1"/>
      <dgm:spPr/>
      <dgm:t>
        <a:bodyPr/>
        <a:lstStyle/>
        <a:p>
          <a:endParaRPr lang="en-US"/>
        </a:p>
      </dgm:t>
    </dgm:pt>
    <dgm:pt modelId="{04FBC4F9-AD34-49CB-ACD7-C2DFE858CB02}">
      <dgm:prSet phldrT="[Text]"/>
      <dgm:spPr/>
      <dgm:t>
        <a:bodyPr/>
        <a:lstStyle/>
        <a:p>
          <a:pPr algn="ctr"/>
          <a:r>
            <a:rPr lang="en-US"/>
            <a:t>Major Forms of Islamic Finance</a:t>
          </a:r>
        </a:p>
      </dgm:t>
    </dgm:pt>
    <dgm:pt modelId="{DB7DFCE0-86D4-497E-A4C0-7A14AE21FC8D}" type="parTrans" cxnId="{C1C2E935-A62A-4783-93BD-0A286FE95D4C}">
      <dgm:prSet/>
      <dgm:spPr/>
      <dgm:t>
        <a:bodyPr/>
        <a:lstStyle/>
        <a:p>
          <a:pPr algn="ctr"/>
          <a:endParaRPr lang="en-US"/>
        </a:p>
      </dgm:t>
    </dgm:pt>
    <dgm:pt modelId="{675FB7DE-9AB9-4D4F-A008-43B5B336AB1F}" type="sibTrans" cxnId="{C1C2E935-A62A-4783-93BD-0A286FE95D4C}">
      <dgm:prSet/>
      <dgm:spPr/>
      <dgm:t>
        <a:bodyPr/>
        <a:lstStyle/>
        <a:p>
          <a:pPr algn="ctr"/>
          <a:endParaRPr lang="en-US"/>
        </a:p>
      </dgm:t>
    </dgm:pt>
    <dgm:pt modelId="{20DA668E-45E4-4E33-B718-C5337F7A2C91}">
      <dgm:prSet phldrT="[Text]"/>
      <dgm:spPr/>
      <dgm:t>
        <a:bodyPr/>
        <a:lstStyle/>
        <a:p>
          <a:pPr algn="ctr"/>
          <a:r>
            <a:rPr lang="en-US"/>
            <a:t>Mudarabah</a:t>
          </a:r>
        </a:p>
      </dgm:t>
    </dgm:pt>
    <dgm:pt modelId="{E37A868F-BCD4-432F-9634-7A7EFD7AFF37}" type="parTrans" cxnId="{2832B56A-B904-4EF8-8F0E-8C904EC72191}">
      <dgm:prSet/>
      <dgm:spPr/>
      <dgm:t>
        <a:bodyPr/>
        <a:lstStyle/>
        <a:p>
          <a:pPr algn="ctr"/>
          <a:endParaRPr lang="en-US"/>
        </a:p>
      </dgm:t>
    </dgm:pt>
    <dgm:pt modelId="{A282C1A7-4A7C-4B54-99AE-F43F04E9F05D}" type="sibTrans" cxnId="{2832B56A-B904-4EF8-8F0E-8C904EC72191}">
      <dgm:prSet/>
      <dgm:spPr/>
      <dgm:t>
        <a:bodyPr/>
        <a:lstStyle/>
        <a:p>
          <a:pPr algn="ctr"/>
          <a:endParaRPr lang="en-US"/>
        </a:p>
      </dgm:t>
    </dgm:pt>
    <dgm:pt modelId="{7B2676BB-94E9-4042-AB48-0E1A5871F60C}">
      <dgm:prSet phldrT="[Text]"/>
      <dgm:spPr/>
      <dgm:t>
        <a:bodyPr/>
        <a:lstStyle/>
        <a:p>
          <a:pPr algn="ctr"/>
          <a:r>
            <a:rPr lang="en-US"/>
            <a:t>Musharakah</a:t>
          </a:r>
        </a:p>
      </dgm:t>
    </dgm:pt>
    <dgm:pt modelId="{40B7B56B-6292-4D75-B6A3-0FD43C3FB782}" type="sibTrans" cxnId="{BE4E049F-6F6D-416B-9D6E-E9865DE436B6}">
      <dgm:prSet/>
      <dgm:spPr/>
      <dgm:t>
        <a:bodyPr/>
        <a:lstStyle/>
        <a:p>
          <a:pPr algn="ctr"/>
          <a:endParaRPr lang="en-US"/>
        </a:p>
      </dgm:t>
    </dgm:pt>
    <dgm:pt modelId="{5D890F0B-5855-4E22-ADD4-4FB93B27D616}" type="parTrans" cxnId="{BE4E049F-6F6D-416B-9D6E-E9865DE436B6}">
      <dgm:prSet/>
      <dgm:spPr/>
      <dgm:t>
        <a:bodyPr/>
        <a:lstStyle/>
        <a:p>
          <a:pPr algn="ctr"/>
          <a:endParaRPr lang="en-US"/>
        </a:p>
      </dgm:t>
    </dgm:pt>
    <dgm:pt modelId="{87DA9411-B485-4831-A7FB-9A6A2CA2301E}">
      <dgm:prSet/>
      <dgm:spPr/>
      <dgm:t>
        <a:bodyPr/>
        <a:lstStyle/>
        <a:p>
          <a:pPr algn="ctr"/>
          <a:r>
            <a:rPr lang="en-US"/>
            <a:t>Murabaha–Mu’ajjal </a:t>
          </a:r>
        </a:p>
      </dgm:t>
    </dgm:pt>
    <dgm:pt modelId="{89A33F28-5503-422B-A284-A557E7A6EEE9}" type="parTrans" cxnId="{8EBE709B-09B4-45C1-9E31-655D2F98E061}">
      <dgm:prSet/>
      <dgm:spPr/>
      <dgm:t>
        <a:bodyPr/>
        <a:lstStyle/>
        <a:p>
          <a:pPr algn="ctr"/>
          <a:endParaRPr lang="en-US"/>
        </a:p>
      </dgm:t>
    </dgm:pt>
    <dgm:pt modelId="{E9710A8C-2DB0-4B10-B244-B64E0039CA6C}" type="sibTrans" cxnId="{8EBE709B-09B4-45C1-9E31-655D2F98E061}">
      <dgm:prSet/>
      <dgm:spPr/>
      <dgm:t>
        <a:bodyPr/>
        <a:lstStyle/>
        <a:p>
          <a:pPr algn="ctr"/>
          <a:endParaRPr lang="en-US"/>
        </a:p>
      </dgm:t>
    </dgm:pt>
    <dgm:pt modelId="{451A78FC-7669-43BE-A0A1-898F878389E3}">
      <dgm:prSet/>
      <dgm:spPr/>
      <dgm:t>
        <a:bodyPr/>
        <a:lstStyle/>
        <a:p>
          <a:pPr algn="ctr"/>
          <a:r>
            <a:rPr lang="en-US"/>
            <a:t>Salam </a:t>
          </a:r>
        </a:p>
      </dgm:t>
    </dgm:pt>
    <dgm:pt modelId="{784E9C42-13FD-47A2-B6F7-0E472A257AAD}" type="parTrans" cxnId="{154D9194-C8C8-48F6-B790-E4069823A849}">
      <dgm:prSet/>
      <dgm:spPr/>
      <dgm:t>
        <a:bodyPr/>
        <a:lstStyle/>
        <a:p>
          <a:pPr algn="ctr"/>
          <a:endParaRPr lang="en-US"/>
        </a:p>
      </dgm:t>
    </dgm:pt>
    <dgm:pt modelId="{DD7B7301-3A00-48D3-908B-8EAC3FA836AB}" type="sibTrans" cxnId="{154D9194-C8C8-48F6-B790-E4069823A849}">
      <dgm:prSet/>
      <dgm:spPr/>
      <dgm:t>
        <a:bodyPr/>
        <a:lstStyle/>
        <a:p>
          <a:pPr algn="ctr"/>
          <a:endParaRPr lang="en-US"/>
        </a:p>
      </dgm:t>
    </dgm:pt>
    <dgm:pt modelId="{90246562-3F2B-4563-905A-01CA5E9B6F2F}">
      <dgm:prSet/>
      <dgm:spPr/>
      <dgm:t>
        <a:bodyPr/>
        <a:lstStyle/>
        <a:p>
          <a:pPr algn="ctr"/>
          <a:r>
            <a:rPr lang="en-US"/>
            <a:t>Ijarah</a:t>
          </a:r>
        </a:p>
      </dgm:t>
    </dgm:pt>
    <dgm:pt modelId="{99886B4D-492C-484C-B269-F91A65794D7A}" type="parTrans" cxnId="{C2924B66-1C19-4DE8-856E-4CABF995E44C}">
      <dgm:prSet/>
      <dgm:spPr/>
      <dgm:t>
        <a:bodyPr/>
        <a:lstStyle/>
        <a:p>
          <a:pPr algn="ctr"/>
          <a:endParaRPr lang="en-US"/>
        </a:p>
      </dgm:t>
    </dgm:pt>
    <dgm:pt modelId="{E3A987E2-B3C3-4288-A8E2-402C17B72B92}" type="sibTrans" cxnId="{C2924B66-1C19-4DE8-856E-4CABF995E44C}">
      <dgm:prSet/>
      <dgm:spPr/>
      <dgm:t>
        <a:bodyPr/>
        <a:lstStyle/>
        <a:p>
          <a:pPr algn="ctr"/>
          <a:endParaRPr lang="en-US"/>
        </a:p>
      </dgm:t>
    </dgm:pt>
    <dgm:pt modelId="{286A3C33-3592-4C98-AD61-B55DAA1197B3}">
      <dgm:prSet/>
      <dgm:spPr/>
      <dgm:t>
        <a:bodyPr/>
        <a:lstStyle/>
        <a:p>
          <a:pPr algn="ctr"/>
          <a:r>
            <a:rPr lang="en-US"/>
            <a:t>Istisna‘a </a:t>
          </a:r>
        </a:p>
      </dgm:t>
    </dgm:pt>
    <dgm:pt modelId="{5055079D-0755-43D1-AF1E-45AB5BD13782}" type="parTrans" cxnId="{612F9A39-DFDC-465D-A2C2-E7567C736620}">
      <dgm:prSet/>
      <dgm:spPr/>
      <dgm:t>
        <a:bodyPr/>
        <a:lstStyle/>
        <a:p>
          <a:pPr algn="ctr"/>
          <a:endParaRPr lang="en-US"/>
        </a:p>
      </dgm:t>
    </dgm:pt>
    <dgm:pt modelId="{855784D5-2D2D-41C0-A6BE-3720F57C642E}" type="sibTrans" cxnId="{612F9A39-DFDC-465D-A2C2-E7567C736620}">
      <dgm:prSet/>
      <dgm:spPr/>
      <dgm:t>
        <a:bodyPr/>
        <a:lstStyle/>
        <a:p>
          <a:pPr algn="ctr"/>
          <a:endParaRPr lang="en-US"/>
        </a:p>
      </dgm:t>
    </dgm:pt>
    <dgm:pt modelId="{0C6BF71C-8835-4056-BD17-4DA5C208E6BE}" type="pres">
      <dgm:prSet presAssocID="{7EE97F72-D19A-48A4-BF16-94AF0FCE0F83}" presName="diagram" presStyleCnt="0">
        <dgm:presLayoutVars>
          <dgm:chPref val="1"/>
          <dgm:dir/>
          <dgm:animOne val="branch"/>
          <dgm:animLvl val="lvl"/>
          <dgm:resizeHandles val="exact"/>
        </dgm:presLayoutVars>
      </dgm:prSet>
      <dgm:spPr/>
      <dgm:t>
        <a:bodyPr/>
        <a:lstStyle/>
        <a:p>
          <a:endParaRPr lang="en-GB"/>
        </a:p>
      </dgm:t>
    </dgm:pt>
    <dgm:pt modelId="{DD4C83D0-801D-40D1-A3AF-95C2EF06E418}" type="pres">
      <dgm:prSet presAssocID="{04FBC4F9-AD34-49CB-ACD7-C2DFE858CB02}" presName="root1" presStyleCnt="0"/>
      <dgm:spPr/>
    </dgm:pt>
    <dgm:pt modelId="{A20092B5-AA83-4767-9DF8-3B909B2319E8}" type="pres">
      <dgm:prSet presAssocID="{04FBC4F9-AD34-49CB-ACD7-C2DFE858CB02}" presName="LevelOneTextNode" presStyleLbl="node0" presStyleIdx="0" presStyleCnt="1">
        <dgm:presLayoutVars>
          <dgm:chPref val="3"/>
        </dgm:presLayoutVars>
      </dgm:prSet>
      <dgm:spPr/>
      <dgm:t>
        <a:bodyPr/>
        <a:lstStyle/>
        <a:p>
          <a:endParaRPr lang="en-US"/>
        </a:p>
      </dgm:t>
    </dgm:pt>
    <dgm:pt modelId="{E9A4C472-BD10-4583-A96A-31C9473368BB}" type="pres">
      <dgm:prSet presAssocID="{04FBC4F9-AD34-49CB-ACD7-C2DFE858CB02}" presName="level2hierChild" presStyleCnt="0"/>
      <dgm:spPr/>
    </dgm:pt>
    <dgm:pt modelId="{261DB2FA-548E-40D6-A210-99F5054C412B}" type="pres">
      <dgm:prSet presAssocID="{E37A868F-BCD4-432F-9634-7A7EFD7AFF37}" presName="conn2-1" presStyleLbl="parChTrans1D2" presStyleIdx="0" presStyleCnt="6"/>
      <dgm:spPr/>
      <dgm:t>
        <a:bodyPr/>
        <a:lstStyle/>
        <a:p>
          <a:endParaRPr lang="en-GB"/>
        </a:p>
      </dgm:t>
    </dgm:pt>
    <dgm:pt modelId="{5D41DE7D-4FF4-4D7B-B683-A5E11F6067BF}" type="pres">
      <dgm:prSet presAssocID="{E37A868F-BCD4-432F-9634-7A7EFD7AFF37}" presName="connTx" presStyleLbl="parChTrans1D2" presStyleIdx="0" presStyleCnt="6"/>
      <dgm:spPr/>
      <dgm:t>
        <a:bodyPr/>
        <a:lstStyle/>
        <a:p>
          <a:endParaRPr lang="en-GB"/>
        </a:p>
      </dgm:t>
    </dgm:pt>
    <dgm:pt modelId="{58BD28BC-EEEF-474F-8474-1A350E08A021}" type="pres">
      <dgm:prSet presAssocID="{20DA668E-45E4-4E33-B718-C5337F7A2C91}" presName="root2" presStyleCnt="0"/>
      <dgm:spPr/>
    </dgm:pt>
    <dgm:pt modelId="{AADB9DAC-50E5-4317-8A59-E1E13C6D6445}" type="pres">
      <dgm:prSet presAssocID="{20DA668E-45E4-4E33-B718-C5337F7A2C91}" presName="LevelTwoTextNode" presStyleLbl="node2" presStyleIdx="0" presStyleCnt="6">
        <dgm:presLayoutVars>
          <dgm:chPref val="3"/>
        </dgm:presLayoutVars>
      </dgm:prSet>
      <dgm:spPr/>
      <dgm:t>
        <a:bodyPr/>
        <a:lstStyle/>
        <a:p>
          <a:endParaRPr lang="en-US"/>
        </a:p>
      </dgm:t>
    </dgm:pt>
    <dgm:pt modelId="{7DF235F7-99CC-4DDC-9866-71DA429C9F1A}" type="pres">
      <dgm:prSet presAssocID="{20DA668E-45E4-4E33-B718-C5337F7A2C91}" presName="level3hierChild" presStyleCnt="0"/>
      <dgm:spPr/>
    </dgm:pt>
    <dgm:pt modelId="{3CE0C283-9989-4EA4-A25B-C3BE81194C6F}" type="pres">
      <dgm:prSet presAssocID="{5D890F0B-5855-4E22-ADD4-4FB93B27D616}" presName="conn2-1" presStyleLbl="parChTrans1D2" presStyleIdx="1" presStyleCnt="6"/>
      <dgm:spPr/>
      <dgm:t>
        <a:bodyPr/>
        <a:lstStyle/>
        <a:p>
          <a:endParaRPr lang="en-US"/>
        </a:p>
      </dgm:t>
    </dgm:pt>
    <dgm:pt modelId="{C0F2D6C6-0BFF-4434-A07B-502E07D33186}" type="pres">
      <dgm:prSet presAssocID="{5D890F0B-5855-4E22-ADD4-4FB93B27D616}" presName="connTx" presStyleLbl="parChTrans1D2" presStyleIdx="1" presStyleCnt="6"/>
      <dgm:spPr/>
      <dgm:t>
        <a:bodyPr/>
        <a:lstStyle/>
        <a:p>
          <a:endParaRPr lang="en-GB"/>
        </a:p>
      </dgm:t>
    </dgm:pt>
    <dgm:pt modelId="{0324EC18-A3DF-4114-8E37-210AAD3956B4}" type="pres">
      <dgm:prSet presAssocID="{7B2676BB-94E9-4042-AB48-0E1A5871F60C}" presName="root2" presStyleCnt="0"/>
      <dgm:spPr/>
    </dgm:pt>
    <dgm:pt modelId="{D6BB235E-551B-41A8-9696-C41724387327}" type="pres">
      <dgm:prSet presAssocID="{7B2676BB-94E9-4042-AB48-0E1A5871F60C}" presName="LevelTwoTextNode" presStyleLbl="node2" presStyleIdx="1" presStyleCnt="6">
        <dgm:presLayoutVars>
          <dgm:chPref val="3"/>
        </dgm:presLayoutVars>
      </dgm:prSet>
      <dgm:spPr/>
      <dgm:t>
        <a:bodyPr/>
        <a:lstStyle/>
        <a:p>
          <a:endParaRPr lang="en-US"/>
        </a:p>
      </dgm:t>
    </dgm:pt>
    <dgm:pt modelId="{DE161298-3C1E-4265-AF16-57241F06223D}" type="pres">
      <dgm:prSet presAssocID="{7B2676BB-94E9-4042-AB48-0E1A5871F60C}" presName="level3hierChild" presStyleCnt="0"/>
      <dgm:spPr/>
    </dgm:pt>
    <dgm:pt modelId="{66BFCFC3-5ED7-45D4-BBB7-90B2CE8DDF4B}" type="pres">
      <dgm:prSet presAssocID="{89A33F28-5503-422B-A284-A557E7A6EEE9}" presName="conn2-1" presStyleLbl="parChTrans1D2" presStyleIdx="2" presStyleCnt="6"/>
      <dgm:spPr/>
      <dgm:t>
        <a:bodyPr/>
        <a:lstStyle/>
        <a:p>
          <a:endParaRPr lang="en-GB"/>
        </a:p>
      </dgm:t>
    </dgm:pt>
    <dgm:pt modelId="{ECD78BB4-8C0D-4388-B287-A2A2095C4E82}" type="pres">
      <dgm:prSet presAssocID="{89A33F28-5503-422B-A284-A557E7A6EEE9}" presName="connTx" presStyleLbl="parChTrans1D2" presStyleIdx="2" presStyleCnt="6"/>
      <dgm:spPr/>
      <dgm:t>
        <a:bodyPr/>
        <a:lstStyle/>
        <a:p>
          <a:endParaRPr lang="en-GB"/>
        </a:p>
      </dgm:t>
    </dgm:pt>
    <dgm:pt modelId="{DB0B4573-1635-45E4-9101-61DAEF89F6C7}" type="pres">
      <dgm:prSet presAssocID="{87DA9411-B485-4831-A7FB-9A6A2CA2301E}" presName="root2" presStyleCnt="0"/>
      <dgm:spPr/>
    </dgm:pt>
    <dgm:pt modelId="{CEB57A11-B8AA-4183-A77E-9C3634032F16}" type="pres">
      <dgm:prSet presAssocID="{87DA9411-B485-4831-A7FB-9A6A2CA2301E}" presName="LevelTwoTextNode" presStyleLbl="node2" presStyleIdx="2" presStyleCnt="6">
        <dgm:presLayoutVars>
          <dgm:chPref val="3"/>
        </dgm:presLayoutVars>
      </dgm:prSet>
      <dgm:spPr/>
      <dgm:t>
        <a:bodyPr/>
        <a:lstStyle/>
        <a:p>
          <a:endParaRPr lang="en-GB"/>
        </a:p>
      </dgm:t>
    </dgm:pt>
    <dgm:pt modelId="{C3F34074-CD10-44F9-A84B-11A4B5472BCC}" type="pres">
      <dgm:prSet presAssocID="{87DA9411-B485-4831-A7FB-9A6A2CA2301E}" presName="level3hierChild" presStyleCnt="0"/>
      <dgm:spPr/>
    </dgm:pt>
    <dgm:pt modelId="{F3B68BB9-7DC8-49E8-A8C5-D471EB433E47}" type="pres">
      <dgm:prSet presAssocID="{784E9C42-13FD-47A2-B6F7-0E472A257AAD}" presName="conn2-1" presStyleLbl="parChTrans1D2" presStyleIdx="3" presStyleCnt="6"/>
      <dgm:spPr/>
      <dgm:t>
        <a:bodyPr/>
        <a:lstStyle/>
        <a:p>
          <a:endParaRPr lang="en-GB"/>
        </a:p>
      </dgm:t>
    </dgm:pt>
    <dgm:pt modelId="{196433CB-CA30-4583-9D9D-0BBB9069EEA7}" type="pres">
      <dgm:prSet presAssocID="{784E9C42-13FD-47A2-B6F7-0E472A257AAD}" presName="connTx" presStyleLbl="parChTrans1D2" presStyleIdx="3" presStyleCnt="6"/>
      <dgm:spPr/>
      <dgm:t>
        <a:bodyPr/>
        <a:lstStyle/>
        <a:p>
          <a:endParaRPr lang="en-GB"/>
        </a:p>
      </dgm:t>
    </dgm:pt>
    <dgm:pt modelId="{D8A17063-CBE8-47CA-BF08-96C5F6DD0521}" type="pres">
      <dgm:prSet presAssocID="{451A78FC-7669-43BE-A0A1-898F878389E3}" presName="root2" presStyleCnt="0"/>
      <dgm:spPr/>
    </dgm:pt>
    <dgm:pt modelId="{10B614C2-77D0-4023-8C69-56FA45D99F64}" type="pres">
      <dgm:prSet presAssocID="{451A78FC-7669-43BE-A0A1-898F878389E3}" presName="LevelTwoTextNode" presStyleLbl="node2" presStyleIdx="3" presStyleCnt="6">
        <dgm:presLayoutVars>
          <dgm:chPref val="3"/>
        </dgm:presLayoutVars>
      </dgm:prSet>
      <dgm:spPr/>
      <dgm:t>
        <a:bodyPr/>
        <a:lstStyle/>
        <a:p>
          <a:endParaRPr lang="en-GB"/>
        </a:p>
      </dgm:t>
    </dgm:pt>
    <dgm:pt modelId="{6B9E56DF-E434-4526-99CD-4F17A6A3DA54}" type="pres">
      <dgm:prSet presAssocID="{451A78FC-7669-43BE-A0A1-898F878389E3}" presName="level3hierChild" presStyleCnt="0"/>
      <dgm:spPr/>
    </dgm:pt>
    <dgm:pt modelId="{0D4B0BCB-E712-4DE4-89FA-8F98242F8989}" type="pres">
      <dgm:prSet presAssocID="{99886B4D-492C-484C-B269-F91A65794D7A}" presName="conn2-1" presStyleLbl="parChTrans1D2" presStyleIdx="4" presStyleCnt="6"/>
      <dgm:spPr/>
      <dgm:t>
        <a:bodyPr/>
        <a:lstStyle/>
        <a:p>
          <a:endParaRPr lang="en-GB"/>
        </a:p>
      </dgm:t>
    </dgm:pt>
    <dgm:pt modelId="{D07BE8CA-992D-434A-A784-264AE797C55A}" type="pres">
      <dgm:prSet presAssocID="{99886B4D-492C-484C-B269-F91A65794D7A}" presName="connTx" presStyleLbl="parChTrans1D2" presStyleIdx="4" presStyleCnt="6"/>
      <dgm:spPr/>
      <dgm:t>
        <a:bodyPr/>
        <a:lstStyle/>
        <a:p>
          <a:endParaRPr lang="en-GB"/>
        </a:p>
      </dgm:t>
    </dgm:pt>
    <dgm:pt modelId="{E6277FE0-E7B7-4C78-B7BA-A12B1F5F5EB2}" type="pres">
      <dgm:prSet presAssocID="{90246562-3F2B-4563-905A-01CA5E9B6F2F}" presName="root2" presStyleCnt="0"/>
      <dgm:spPr/>
    </dgm:pt>
    <dgm:pt modelId="{7A9063AF-C5AD-4041-99FE-92E6293556F0}" type="pres">
      <dgm:prSet presAssocID="{90246562-3F2B-4563-905A-01CA5E9B6F2F}" presName="LevelTwoTextNode" presStyleLbl="node2" presStyleIdx="4" presStyleCnt="6">
        <dgm:presLayoutVars>
          <dgm:chPref val="3"/>
        </dgm:presLayoutVars>
      </dgm:prSet>
      <dgm:spPr/>
      <dgm:t>
        <a:bodyPr/>
        <a:lstStyle/>
        <a:p>
          <a:endParaRPr lang="en-GB"/>
        </a:p>
      </dgm:t>
    </dgm:pt>
    <dgm:pt modelId="{9F85C6F3-5959-4364-9320-57AD66803903}" type="pres">
      <dgm:prSet presAssocID="{90246562-3F2B-4563-905A-01CA5E9B6F2F}" presName="level3hierChild" presStyleCnt="0"/>
      <dgm:spPr/>
    </dgm:pt>
    <dgm:pt modelId="{3770819F-A8E2-44F8-9BD7-693432FC4F16}" type="pres">
      <dgm:prSet presAssocID="{5055079D-0755-43D1-AF1E-45AB5BD13782}" presName="conn2-1" presStyleLbl="parChTrans1D2" presStyleIdx="5" presStyleCnt="6"/>
      <dgm:spPr/>
      <dgm:t>
        <a:bodyPr/>
        <a:lstStyle/>
        <a:p>
          <a:endParaRPr lang="en-GB"/>
        </a:p>
      </dgm:t>
    </dgm:pt>
    <dgm:pt modelId="{66C9D0FC-C52B-480C-A999-CAD6CFEC2FAE}" type="pres">
      <dgm:prSet presAssocID="{5055079D-0755-43D1-AF1E-45AB5BD13782}" presName="connTx" presStyleLbl="parChTrans1D2" presStyleIdx="5" presStyleCnt="6"/>
      <dgm:spPr/>
      <dgm:t>
        <a:bodyPr/>
        <a:lstStyle/>
        <a:p>
          <a:endParaRPr lang="en-GB"/>
        </a:p>
      </dgm:t>
    </dgm:pt>
    <dgm:pt modelId="{4ACB8682-75A0-469A-9807-E9D0D504BBEF}" type="pres">
      <dgm:prSet presAssocID="{286A3C33-3592-4C98-AD61-B55DAA1197B3}" presName="root2" presStyleCnt="0"/>
      <dgm:spPr/>
    </dgm:pt>
    <dgm:pt modelId="{6D73E597-53E3-4F66-896B-A87644D97090}" type="pres">
      <dgm:prSet presAssocID="{286A3C33-3592-4C98-AD61-B55DAA1197B3}" presName="LevelTwoTextNode" presStyleLbl="node2" presStyleIdx="5" presStyleCnt="6">
        <dgm:presLayoutVars>
          <dgm:chPref val="3"/>
        </dgm:presLayoutVars>
      </dgm:prSet>
      <dgm:spPr/>
      <dgm:t>
        <a:bodyPr/>
        <a:lstStyle/>
        <a:p>
          <a:endParaRPr lang="en-GB"/>
        </a:p>
      </dgm:t>
    </dgm:pt>
    <dgm:pt modelId="{DBA51724-462F-4F2F-A00F-BE6DD06A63DA}" type="pres">
      <dgm:prSet presAssocID="{286A3C33-3592-4C98-AD61-B55DAA1197B3}" presName="level3hierChild" presStyleCnt="0"/>
      <dgm:spPr/>
    </dgm:pt>
  </dgm:ptLst>
  <dgm:cxnLst>
    <dgm:cxn modelId="{2C1B3A0F-0676-46EC-A9DD-3CEE4D1670B6}" type="presOf" srcId="{89A33F28-5503-422B-A284-A557E7A6EEE9}" destId="{66BFCFC3-5ED7-45D4-BBB7-90B2CE8DDF4B}" srcOrd="0" destOrd="0" presId="urn:microsoft.com/office/officeart/2005/8/layout/hierarchy2"/>
    <dgm:cxn modelId="{C2924B66-1C19-4DE8-856E-4CABF995E44C}" srcId="{04FBC4F9-AD34-49CB-ACD7-C2DFE858CB02}" destId="{90246562-3F2B-4563-905A-01CA5E9B6F2F}" srcOrd="4" destOrd="0" parTransId="{99886B4D-492C-484C-B269-F91A65794D7A}" sibTransId="{E3A987E2-B3C3-4288-A8E2-402C17B72B92}"/>
    <dgm:cxn modelId="{39DD383D-090C-4B7A-8492-4B7312A86AD8}" type="presOf" srcId="{7B2676BB-94E9-4042-AB48-0E1A5871F60C}" destId="{D6BB235E-551B-41A8-9696-C41724387327}" srcOrd="0" destOrd="0" presId="urn:microsoft.com/office/officeart/2005/8/layout/hierarchy2"/>
    <dgm:cxn modelId="{2973DE70-70C5-4AE1-A73F-505216D9CC2F}" type="presOf" srcId="{99886B4D-492C-484C-B269-F91A65794D7A}" destId="{D07BE8CA-992D-434A-A784-264AE797C55A}" srcOrd="1" destOrd="0" presId="urn:microsoft.com/office/officeart/2005/8/layout/hierarchy2"/>
    <dgm:cxn modelId="{154D9194-C8C8-48F6-B790-E4069823A849}" srcId="{04FBC4F9-AD34-49CB-ACD7-C2DFE858CB02}" destId="{451A78FC-7669-43BE-A0A1-898F878389E3}" srcOrd="3" destOrd="0" parTransId="{784E9C42-13FD-47A2-B6F7-0E472A257AAD}" sibTransId="{DD7B7301-3A00-48D3-908B-8EAC3FA836AB}"/>
    <dgm:cxn modelId="{05B2179B-B219-449B-B3C7-B7E52D53B2E3}" type="presOf" srcId="{90246562-3F2B-4563-905A-01CA5E9B6F2F}" destId="{7A9063AF-C5AD-4041-99FE-92E6293556F0}" srcOrd="0" destOrd="0" presId="urn:microsoft.com/office/officeart/2005/8/layout/hierarchy2"/>
    <dgm:cxn modelId="{0B5B4166-2FD9-4B26-80DF-04E680DAFA8C}" type="presOf" srcId="{5D890F0B-5855-4E22-ADD4-4FB93B27D616}" destId="{3CE0C283-9989-4EA4-A25B-C3BE81194C6F}" srcOrd="0" destOrd="0" presId="urn:microsoft.com/office/officeart/2005/8/layout/hierarchy2"/>
    <dgm:cxn modelId="{4971168D-C7DB-4362-8249-D0EB9E2E68F2}" type="presOf" srcId="{451A78FC-7669-43BE-A0A1-898F878389E3}" destId="{10B614C2-77D0-4023-8C69-56FA45D99F64}" srcOrd="0" destOrd="0" presId="urn:microsoft.com/office/officeart/2005/8/layout/hierarchy2"/>
    <dgm:cxn modelId="{07BEF39E-5DFB-42FE-8A81-BCD0FC83525F}" type="presOf" srcId="{784E9C42-13FD-47A2-B6F7-0E472A257AAD}" destId="{F3B68BB9-7DC8-49E8-A8C5-D471EB433E47}" srcOrd="0" destOrd="0" presId="urn:microsoft.com/office/officeart/2005/8/layout/hierarchy2"/>
    <dgm:cxn modelId="{CD6E7EC0-3983-41DC-A6C7-8183D417B876}" type="presOf" srcId="{5055079D-0755-43D1-AF1E-45AB5BD13782}" destId="{66C9D0FC-C52B-480C-A999-CAD6CFEC2FAE}" srcOrd="1" destOrd="0" presId="urn:microsoft.com/office/officeart/2005/8/layout/hierarchy2"/>
    <dgm:cxn modelId="{612F9A39-DFDC-465D-A2C2-E7567C736620}" srcId="{04FBC4F9-AD34-49CB-ACD7-C2DFE858CB02}" destId="{286A3C33-3592-4C98-AD61-B55DAA1197B3}" srcOrd="5" destOrd="0" parTransId="{5055079D-0755-43D1-AF1E-45AB5BD13782}" sibTransId="{855784D5-2D2D-41C0-A6BE-3720F57C642E}"/>
    <dgm:cxn modelId="{873CA684-0748-4C28-9125-5349284433F3}" type="presOf" srcId="{5D890F0B-5855-4E22-ADD4-4FB93B27D616}" destId="{C0F2D6C6-0BFF-4434-A07B-502E07D33186}" srcOrd="1" destOrd="0" presId="urn:microsoft.com/office/officeart/2005/8/layout/hierarchy2"/>
    <dgm:cxn modelId="{4B10DCE9-8992-4F8D-9FE6-8F2551E3253B}" type="presOf" srcId="{20DA668E-45E4-4E33-B718-C5337F7A2C91}" destId="{AADB9DAC-50E5-4317-8A59-E1E13C6D6445}" srcOrd="0" destOrd="0" presId="urn:microsoft.com/office/officeart/2005/8/layout/hierarchy2"/>
    <dgm:cxn modelId="{24BEC2BF-D6DE-488A-B817-2FD5C9CE4D36}" type="presOf" srcId="{286A3C33-3592-4C98-AD61-B55DAA1197B3}" destId="{6D73E597-53E3-4F66-896B-A87644D97090}" srcOrd="0" destOrd="0" presId="urn:microsoft.com/office/officeart/2005/8/layout/hierarchy2"/>
    <dgm:cxn modelId="{D73F8F53-F735-4050-83F8-5F51D068BAA5}" type="presOf" srcId="{87DA9411-B485-4831-A7FB-9A6A2CA2301E}" destId="{CEB57A11-B8AA-4183-A77E-9C3634032F16}" srcOrd="0" destOrd="0" presId="urn:microsoft.com/office/officeart/2005/8/layout/hierarchy2"/>
    <dgm:cxn modelId="{6F292547-2651-408E-9792-805B8741C1AA}" type="presOf" srcId="{E37A868F-BCD4-432F-9634-7A7EFD7AFF37}" destId="{5D41DE7D-4FF4-4D7B-B683-A5E11F6067BF}" srcOrd="1" destOrd="0" presId="urn:microsoft.com/office/officeart/2005/8/layout/hierarchy2"/>
    <dgm:cxn modelId="{BE4E049F-6F6D-416B-9D6E-E9865DE436B6}" srcId="{04FBC4F9-AD34-49CB-ACD7-C2DFE858CB02}" destId="{7B2676BB-94E9-4042-AB48-0E1A5871F60C}" srcOrd="1" destOrd="0" parTransId="{5D890F0B-5855-4E22-ADD4-4FB93B27D616}" sibTransId="{40B7B56B-6292-4D75-B6A3-0FD43C3FB782}"/>
    <dgm:cxn modelId="{08B9450F-85D3-4439-87B1-A16C2458C6C0}" type="presOf" srcId="{784E9C42-13FD-47A2-B6F7-0E472A257AAD}" destId="{196433CB-CA30-4583-9D9D-0BBB9069EEA7}" srcOrd="1" destOrd="0" presId="urn:microsoft.com/office/officeart/2005/8/layout/hierarchy2"/>
    <dgm:cxn modelId="{C1C2E935-A62A-4783-93BD-0A286FE95D4C}" srcId="{7EE97F72-D19A-48A4-BF16-94AF0FCE0F83}" destId="{04FBC4F9-AD34-49CB-ACD7-C2DFE858CB02}" srcOrd="0" destOrd="0" parTransId="{DB7DFCE0-86D4-497E-A4C0-7A14AE21FC8D}" sibTransId="{675FB7DE-9AB9-4D4F-A008-43B5B336AB1F}"/>
    <dgm:cxn modelId="{0D20B59C-B6B7-4113-962E-0802F4831DD1}" type="presOf" srcId="{7EE97F72-D19A-48A4-BF16-94AF0FCE0F83}" destId="{0C6BF71C-8835-4056-BD17-4DA5C208E6BE}" srcOrd="0" destOrd="0" presId="urn:microsoft.com/office/officeart/2005/8/layout/hierarchy2"/>
    <dgm:cxn modelId="{E97901AC-9ADD-4221-9504-097D3A683E97}" type="presOf" srcId="{04FBC4F9-AD34-49CB-ACD7-C2DFE858CB02}" destId="{A20092B5-AA83-4767-9DF8-3B909B2319E8}" srcOrd="0" destOrd="0" presId="urn:microsoft.com/office/officeart/2005/8/layout/hierarchy2"/>
    <dgm:cxn modelId="{9D737465-19AD-4F5D-8E25-5C152D04BEA9}" type="presOf" srcId="{99886B4D-492C-484C-B269-F91A65794D7A}" destId="{0D4B0BCB-E712-4DE4-89FA-8F98242F8989}" srcOrd="0" destOrd="0" presId="urn:microsoft.com/office/officeart/2005/8/layout/hierarchy2"/>
    <dgm:cxn modelId="{2832B56A-B904-4EF8-8F0E-8C904EC72191}" srcId="{04FBC4F9-AD34-49CB-ACD7-C2DFE858CB02}" destId="{20DA668E-45E4-4E33-B718-C5337F7A2C91}" srcOrd="0" destOrd="0" parTransId="{E37A868F-BCD4-432F-9634-7A7EFD7AFF37}" sibTransId="{A282C1A7-4A7C-4B54-99AE-F43F04E9F05D}"/>
    <dgm:cxn modelId="{4398F85C-9032-4B7C-9123-0B25B7DA1029}" type="presOf" srcId="{E37A868F-BCD4-432F-9634-7A7EFD7AFF37}" destId="{261DB2FA-548E-40D6-A210-99F5054C412B}" srcOrd="0" destOrd="0" presId="urn:microsoft.com/office/officeart/2005/8/layout/hierarchy2"/>
    <dgm:cxn modelId="{E6BFBFA6-3F66-47FE-914B-4694C5C1187E}" type="presOf" srcId="{89A33F28-5503-422B-A284-A557E7A6EEE9}" destId="{ECD78BB4-8C0D-4388-B287-A2A2095C4E82}" srcOrd="1" destOrd="0" presId="urn:microsoft.com/office/officeart/2005/8/layout/hierarchy2"/>
    <dgm:cxn modelId="{75CFC379-625A-4E6B-8ECC-E7E3ABEE177A}" type="presOf" srcId="{5055079D-0755-43D1-AF1E-45AB5BD13782}" destId="{3770819F-A8E2-44F8-9BD7-693432FC4F16}" srcOrd="0" destOrd="0" presId="urn:microsoft.com/office/officeart/2005/8/layout/hierarchy2"/>
    <dgm:cxn modelId="{8EBE709B-09B4-45C1-9E31-655D2F98E061}" srcId="{04FBC4F9-AD34-49CB-ACD7-C2DFE858CB02}" destId="{87DA9411-B485-4831-A7FB-9A6A2CA2301E}" srcOrd="2" destOrd="0" parTransId="{89A33F28-5503-422B-A284-A557E7A6EEE9}" sibTransId="{E9710A8C-2DB0-4B10-B244-B64E0039CA6C}"/>
    <dgm:cxn modelId="{70AB4C76-1E20-4C54-A83D-E3D001F30DE7}" type="presParOf" srcId="{0C6BF71C-8835-4056-BD17-4DA5C208E6BE}" destId="{DD4C83D0-801D-40D1-A3AF-95C2EF06E418}" srcOrd="0" destOrd="0" presId="urn:microsoft.com/office/officeart/2005/8/layout/hierarchy2"/>
    <dgm:cxn modelId="{AB6839FA-898C-4E39-921E-473CBBFCB8B5}" type="presParOf" srcId="{DD4C83D0-801D-40D1-A3AF-95C2EF06E418}" destId="{A20092B5-AA83-4767-9DF8-3B909B2319E8}" srcOrd="0" destOrd="0" presId="urn:microsoft.com/office/officeart/2005/8/layout/hierarchy2"/>
    <dgm:cxn modelId="{8C0C4D01-697D-4F45-A4FC-33ABFE613EAB}" type="presParOf" srcId="{DD4C83D0-801D-40D1-A3AF-95C2EF06E418}" destId="{E9A4C472-BD10-4583-A96A-31C9473368BB}" srcOrd="1" destOrd="0" presId="urn:microsoft.com/office/officeart/2005/8/layout/hierarchy2"/>
    <dgm:cxn modelId="{4EBAA478-1E24-45E0-A7EF-EFA90505EBC9}" type="presParOf" srcId="{E9A4C472-BD10-4583-A96A-31C9473368BB}" destId="{261DB2FA-548E-40D6-A210-99F5054C412B}" srcOrd="0" destOrd="0" presId="urn:microsoft.com/office/officeart/2005/8/layout/hierarchy2"/>
    <dgm:cxn modelId="{97737748-99D8-42D2-844D-80DD8CD075B2}" type="presParOf" srcId="{261DB2FA-548E-40D6-A210-99F5054C412B}" destId="{5D41DE7D-4FF4-4D7B-B683-A5E11F6067BF}" srcOrd="0" destOrd="0" presId="urn:microsoft.com/office/officeart/2005/8/layout/hierarchy2"/>
    <dgm:cxn modelId="{6B02AADF-C917-4206-926D-08ABC74BD977}" type="presParOf" srcId="{E9A4C472-BD10-4583-A96A-31C9473368BB}" destId="{58BD28BC-EEEF-474F-8474-1A350E08A021}" srcOrd="1" destOrd="0" presId="urn:microsoft.com/office/officeart/2005/8/layout/hierarchy2"/>
    <dgm:cxn modelId="{44449935-3FAB-4C94-B9C8-207573BB9AB0}" type="presParOf" srcId="{58BD28BC-EEEF-474F-8474-1A350E08A021}" destId="{AADB9DAC-50E5-4317-8A59-E1E13C6D6445}" srcOrd="0" destOrd="0" presId="urn:microsoft.com/office/officeart/2005/8/layout/hierarchy2"/>
    <dgm:cxn modelId="{9251734C-8807-4380-BC2E-3C83A2141AFD}" type="presParOf" srcId="{58BD28BC-EEEF-474F-8474-1A350E08A021}" destId="{7DF235F7-99CC-4DDC-9866-71DA429C9F1A}" srcOrd="1" destOrd="0" presId="urn:microsoft.com/office/officeart/2005/8/layout/hierarchy2"/>
    <dgm:cxn modelId="{ACA0692A-91C7-434B-A757-67F399D36495}" type="presParOf" srcId="{E9A4C472-BD10-4583-A96A-31C9473368BB}" destId="{3CE0C283-9989-4EA4-A25B-C3BE81194C6F}" srcOrd="2" destOrd="0" presId="urn:microsoft.com/office/officeart/2005/8/layout/hierarchy2"/>
    <dgm:cxn modelId="{E521A9F4-2BB3-4660-9D36-79DE60609E5E}" type="presParOf" srcId="{3CE0C283-9989-4EA4-A25B-C3BE81194C6F}" destId="{C0F2D6C6-0BFF-4434-A07B-502E07D33186}" srcOrd="0" destOrd="0" presId="urn:microsoft.com/office/officeart/2005/8/layout/hierarchy2"/>
    <dgm:cxn modelId="{30E5D8CA-12B7-401A-926E-3F4F1EE7078B}" type="presParOf" srcId="{E9A4C472-BD10-4583-A96A-31C9473368BB}" destId="{0324EC18-A3DF-4114-8E37-210AAD3956B4}" srcOrd="3" destOrd="0" presId="urn:microsoft.com/office/officeart/2005/8/layout/hierarchy2"/>
    <dgm:cxn modelId="{2E334619-E9F6-4F96-98DD-2F788A782A5D}" type="presParOf" srcId="{0324EC18-A3DF-4114-8E37-210AAD3956B4}" destId="{D6BB235E-551B-41A8-9696-C41724387327}" srcOrd="0" destOrd="0" presId="urn:microsoft.com/office/officeart/2005/8/layout/hierarchy2"/>
    <dgm:cxn modelId="{4597F38B-B79C-47E9-970D-3F0F5E24F570}" type="presParOf" srcId="{0324EC18-A3DF-4114-8E37-210AAD3956B4}" destId="{DE161298-3C1E-4265-AF16-57241F06223D}" srcOrd="1" destOrd="0" presId="urn:microsoft.com/office/officeart/2005/8/layout/hierarchy2"/>
    <dgm:cxn modelId="{76B81BB7-F75A-4248-B94B-4AC6A8F0BFC4}" type="presParOf" srcId="{E9A4C472-BD10-4583-A96A-31C9473368BB}" destId="{66BFCFC3-5ED7-45D4-BBB7-90B2CE8DDF4B}" srcOrd="4" destOrd="0" presId="urn:microsoft.com/office/officeart/2005/8/layout/hierarchy2"/>
    <dgm:cxn modelId="{77FEAAA9-5EBB-4DCC-8D25-66C9B1F6BDAA}" type="presParOf" srcId="{66BFCFC3-5ED7-45D4-BBB7-90B2CE8DDF4B}" destId="{ECD78BB4-8C0D-4388-B287-A2A2095C4E82}" srcOrd="0" destOrd="0" presId="urn:microsoft.com/office/officeart/2005/8/layout/hierarchy2"/>
    <dgm:cxn modelId="{B4DCAC3A-11BF-4A89-A9DF-0835531653CA}" type="presParOf" srcId="{E9A4C472-BD10-4583-A96A-31C9473368BB}" destId="{DB0B4573-1635-45E4-9101-61DAEF89F6C7}" srcOrd="5" destOrd="0" presId="urn:microsoft.com/office/officeart/2005/8/layout/hierarchy2"/>
    <dgm:cxn modelId="{90313D10-C803-4BF1-80A7-1E7EBA0E50DE}" type="presParOf" srcId="{DB0B4573-1635-45E4-9101-61DAEF89F6C7}" destId="{CEB57A11-B8AA-4183-A77E-9C3634032F16}" srcOrd="0" destOrd="0" presId="urn:microsoft.com/office/officeart/2005/8/layout/hierarchy2"/>
    <dgm:cxn modelId="{081F8FA7-423F-4767-A3A4-9040D1A9B6A9}" type="presParOf" srcId="{DB0B4573-1635-45E4-9101-61DAEF89F6C7}" destId="{C3F34074-CD10-44F9-A84B-11A4B5472BCC}" srcOrd="1" destOrd="0" presId="urn:microsoft.com/office/officeart/2005/8/layout/hierarchy2"/>
    <dgm:cxn modelId="{319F5DE6-1B49-42B1-A7A9-C9A3BF688747}" type="presParOf" srcId="{E9A4C472-BD10-4583-A96A-31C9473368BB}" destId="{F3B68BB9-7DC8-49E8-A8C5-D471EB433E47}" srcOrd="6" destOrd="0" presId="urn:microsoft.com/office/officeart/2005/8/layout/hierarchy2"/>
    <dgm:cxn modelId="{4773C62B-8194-4F9F-8F95-CFC305661A77}" type="presParOf" srcId="{F3B68BB9-7DC8-49E8-A8C5-D471EB433E47}" destId="{196433CB-CA30-4583-9D9D-0BBB9069EEA7}" srcOrd="0" destOrd="0" presId="urn:microsoft.com/office/officeart/2005/8/layout/hierarchy2"/>
    <dgm:cxn modelId="{D7306988-8417-4227-BF14-2EA8F3EA1CCF}" type="presParOf" srcId="{E9A4C472-BD10-4583-A96A-31C9473368BB}" destId="{D8A17063-CBE8-47CA-BF08-96C5F6DD0521}" srcOrd="7" destOrd="0" presId="urn:microsoft.com/office/officeart/2005/8/layout/hierarchy2"/>
    <dgm:cxn modelId="{BD0F10B6-DF2D-4DE8-97E2-90DE603FE207}" type="presParOf" srcId="{D8A17063-CBE8-47CA-BF08-96C5F6DD0521}" destId="{10B614C2-77D0-4023-8C69-56FA45D99F64}" srcOrd="0" destOrd="0" presId="urn:microsoft.com/office/officeart/2005/8/layout/hierarchy2"/>
    <dgm:cxn modelId="{52ED72C4-5D43-4012-A205-C286778DDE70}" type="presParOf" srcId="{D8A17063-CBE8-47CA-BF08-96C5F6DD0521}" destId="{6B9E56DF-E434-4526-99CD-4F17A6A3DA54}" srcOrd="1" destOrd="0" presId="urn:microsoft.com/office/officeart/2005/8/layout/hierarchy2"/>
    <dgm:cxn modelId="{8CAF906F-416C-440F-B627-5A6DF137BDAD}" type="presParOf" srcId="{E9A4C472-BD10-4583-A96A-31C9473368BB}" destId="{0D4B0BCB-E712-4DE4-89FA-8F98242F8989}" srcOrd="8" destOrd="0" presId="urn:microsoft.com/office/officeart/2005/8/layout/hierarchy2"/>
    <dgm:cxn modelId="{9BDD5B41-5AD9-456B-BF7C-B1066F31389A}" type="presParOf" srcId="{0D4B0BCB-E712-4DE4-89FA-8F98242F8989}" destId="{D07BE8CA-992D-434A-A784-264AE797C55A}" srcOrd="0" destOrd="0" presId="urn:microsoft.com/office/officeart/2005/8/layout/hierarchy2"/>
    <dgm:cxn modelId="{6A86C98B-F1CA-4972-8D86-0ED65667DFEA}" type="presParOf" srcId="{E9A4C472-BD10-4583-A96A-31C9473368BB}" destId="{E6277FE0-E7B7-4C78-B7BA-A12B1F5F5EB2}" srcOrd="9" destOrd="0" presId="urn:microsoft.com/office/officeart/2005/8/layout/hierarchy2"/>
    <dgm:cxn modelId="{2E28D363-E429-4E3C-9351-B5FBFF851687}" type="presParOf" srcId="{E6277FE0-E7B7-4C78-B7BA-A12B1F5F5EB2}" destId="{7A9063AF-C5AD-4041-99FE-92E6293556F0}" srcOrd="0" destOrd="0" presId="urn:microsoft.com/office/officeart/2005/8/layout/hierarchy2"/>
    <dgm:cxn modelId="{475D5C3B-87D7-404E-823A-B4D0D656BF08}" type="presParOf" srcId="{E6277FE0-E7B7-4C78-B7BA-A12B1F5F5EB2}" destId="{9F85C6F3-5959-4364-9320-57AD66803903}" srcOrd="1" destOrd="0" presId="urn:microsoft.com/office/officeart/2005/8/layout/hierarchy2"/>
    <dgm:cxn modelId="{E661B272-BCA8-43AC-A443-A1FFD101A482}" type="presParOf" srcId="{E9A4C472-BD10-4583-A96A-31C9473368BB}" destId="{3770819F-A8E2-44F8-9BD7-693432FC4F16}" srcOrd="10" destOrd="0" presId="urn:microsoft.com/office/officeart/2005/8/layout/hierarchy2"/>
    <dgm:cxn modelId="{B1BA60C3-AD90-44F8-80E9-02101ABCF04B}" type="presParOf" srcId="{3770819F-A8E2-44F8-9BD7-693432FC4F16}" destId="{66C9D0FC-C52B-480C-A999-CAD6CFEC2FAE}" srcOrd="0" destOrd="0" presId="urn:microsoft.com/office/officeart/2005/8/layout/hierarchy2"/>
    <dgm:cxn modelId="{C8EEAA08-525C-4BE4-9B3C-0D9C327FA0A7}" type="presParOf" srcId="{E9A4C472-BD10-4583-A96A-31C9473368BB}" destId="{4ACB8682-75A0-469A-9807-E9D0D504BBEF}" srcOrd="11" destOrd="0" presId="urn:microsoft.com/office/officeart/2005/8/layout/hierarchy2"/>
    <dgm:cxn modelId="{CC3166D4-0CAA-4881-B49C-D60A1F33D3CD}" type="presParOf" srcId="{4ACB8682-75A0-469A-9807-E9D0D504BBEF}" destId="{6D73E597-53E3-4F66-896B-A87644D97090}" srcOrd="0" destOrd="0" presId="urn:microsoft.com/office/officeart/2005/8/layout/hierarchy2"/>
    <dgm:cxn modelId="{F2893B87-53EC-49D8-8877-AE3315C6EF47}" type="presParOf" srcId="{4ACB8682-75A0-469A-9807-E9D0D504BBEF}" destId="{DBA51724-462F-4F2F-A00F-BE6DD06A63DA}" srcOrd="1" destOrd="0" presId="urn:microsoft.com/office/officeart/2005/8/layout/hierarchy2"/>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1B7BE66-2FB0-4035-8684-E2E97CD5A803}">
      <dsp:nvSpPr>
        <dsp:cNvPr id="0" name=""/>
        <dsp:cNvSpPr/>
      </dsp:nvSpPr>
      <dsp:spPr>
        <a:xfrm>
          <a:off x="1151611" y="951884"/>
          <a:ext cx="724649" cy="72464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a:t>The Philosophy of Islamic Finance</a:t>
          </a:r>
          <a:endParaRPr lang="en-US" sz="700" kern="1200"/>
        </a:p>
      </dsp:txBody>
      <dsp:txXfrm>
        <a:off x="1151611" y="951884"/>
        <a:ext cx="724649" cy="724649"/>
      </dsp:txXfrm>
    </dsp:sp>
    <dsp:sp modelId="{CA7B9A5E-7439-4193-995D-F94F6E4E7E77}">
      <dsp:nvSpPr>
        <dsp:cNvPr id="0" name=""/>
        <dsp:cNvSpPr/>
      </dsp:nvSpPr>
      <dsp:spPr>
        <a:xfrm rot="16200000">
          <a:off x="1404446" y="820855"/>
          <a:ext cx="218978" cy="43078"/>
        </a:xfrm>
        <a:custGeom>
          <a:avLst/>
          <a:gdLst/>
          <a:ahLst/>
          <a:cxnLst/>
          <a:rect l="0" t="0" r="0" b="0"/>
          <a:pathLst>
            <a:path>
              <a:moveTo>
                <a:pt x="0" y="21539"/>
              </a:moveTo>
              <a:lnTo>
                <a:pt x="218978" y="2153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6200000">
        <a:off x="1508461" y="836920"/>
        <a:ext cx="10948" cy="10948"/>
      </dsp:txXfrm>
    </dsp:sp>
    <dsp:sp modelId="{F725A51D-F37E-41EE-9A95-DBD8E96D32C0}">
      <dsp:nvSpPr>
        <dsp:cNvPr id="0" name=""/>
        <dsp:cNvSpPr/>
      </dsp:nvSpPr>
      <dsp:spPr>
        <a:xfrm>
          <a:off x="1151611" y="8256"/>
          <a:ext cx="724649" cy="724649"/>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a:t>Avoiding Interest</a:t>
          </a:r>
          <a:endParaRPr lang="en-US" sz="700" kern="1200"/>
        </a:p>
      </dsp:txBody>
      <dsp:txXfrm>
        <a:off x="1151611" y="8256"/>
        <a:ext cx="724649" cy="724649"/>
      </dsp:txXfrm>
    </dsp:sp>
    <dsp:sp modelId="{F5E50F62-73C0-469F-9C8F-6CB1729E2488}">
      <dsp:nvSpPr>
        <dsp:cNvPr id="0" name=""/>
        <dsp:cNvSpPr/>
      </dsp:nvSpPr>
      <dsp:spPr>
        <a:xfrm rot="1800000">
          <a:off x="1813049" y="1528576"/>
          <a:ext cx="218978" cy="43078"/>
        </a:xfrm>
        <a:custGeom>
          <a:avLst/>
          <a:gdLst/>
          <a:ahLst/>
          <a:cxnLst/>
          <a:rect l="0" t="0" r="0" b="0"/>
          <a:pathLst>
            <a:path>
              <a:moveTo>
                <a:pt x="0" y="21539"/>
              </a:moveTo>
              <a:lnTo>
                <a:pt x="218978" y="2153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800000">
        <a:off x="1917064" y="1544641"/>
        <a:ext cx="10948" cy="10948"/>
      </dsp:txXfrm>
    </dsp:sp>
    <dsp:sp modelId="{B0AE4A41-7017-4D46-BF2B-81188559D79B}">
      <dsp:nvSpPr>
        <dsp:cNvPr id="0" name=""/>
        <dsp:cNvSpPr/>
      </dsp:nvSpPr>
      <dsp:spPr>
        <a:xfrm>
          <a:off x="1968816" y="1423698"/>
          <a:ext cx="724649" cy="724649"/>
        </a:xfrm>
        <a:prstGeom prst="ellipse">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a:t>Avoiding Gambling and Games of Chance</a:t>
          </a:r>
          <a:endParaRPr lang="en-US" sz="700" kern="1200"/>
        </a:p>
      </dsp:txBody>
      <dsp:txXfrm>
        <a:off x="1968816" y="1423698"/>
        <a:ext cx="724649" cy="724649"/>
      </dsp:txXfrm>
    </dsp:sp>
    <dsp:sp modelId="{1ABBF924-2AAF-489C-8B94-DB3CF3E5AB6C}">
      <dsp:nvSpPr>
        <dsp:cNvPr id="0" name=""/>
        <dsp:cNvSpPr/>
      </dsp:nvSpPr>
      <dsp:spPr>
        <a:xfrm rot="9000000">
          <a:off x="995844" y="1528576"/>
          <a:ext cx="218978" cy="43078"/>
        </a:xfrm>
        <a:custGeom>
          <a:avLst/>
          <a:gdLst/>
          <a:ahLst/>
          <a:cxnLst/>
          <a:rect l="0" t="0" r="0" b="0"/>
          <a:pathLst>
            <a:path>
              <a:moveTo>
                <a:pt x="0" y="21539"/>
              </a:moveTo>
              <a:lnTo>
                <a:pt x="218978" y="21539"/>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9000000">
        <a:off x="1099858" y="1544641"/>
        <a:ext cx="10948" cy="10948"/>
      </dsp:txXfrm>
    </dsp:sp>
    <dsp:sp modelId="{D29664B0-3D4A-43AF-BAF7-457D39F94C3E}">
      <dsp:nvSpPr>
        <dsp:cNvPr id="0" name=""/>
        <dsp:cNvSpPr/>
      </dsp:nvSpPr>
      <dsp:spPr>
        <a:xfrm>
          <a:off x="334405" y="1423698"/>
          <a:ext cx="724649" cy="724649"/>
        </a:xfrm>
        <a:prstGeom prst="ellipse">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en-US" sz="700" b="1" kern="1200"/>
            <a:t>Avoiding </a:t>
          </a:r>
          <a:r>
            <a:rPr lang="en-US" sz="700" b="1" i="1" kern="1200"/>
            <a:t>Gharar</a:t>
          </a:r>
          <a:endParaRPr lang="en-US" sz="700" i="1" kern="1200"/>
        </a:p>
      </dsp:txBody>
      <dsp:txXfrm>
        <a:off x="334405" y="1423698"/>
        <a:ext cx="724649" cy="724649"/>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20092B5-AA83-4767-9DF8-3B909B2319E8}">
      <dsp:nvSpPr>
        <dsp:cNvPr id="0" name=""/>
        <dsp:cNvSpPr/>
      </dsp:nvSpPr>
      <dsp:spPr>
        <a:xfrm>
          <a:off x="355543" y="1146622"/>
          <a:ext cx="796393" cy="398196"/>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Major Forms of Islamic Finance</a:t>
          </a:r>
        </a:p>
      </dsp:txBody>
      <dsp:txXfrm>
        <a:off x="355543" y="1146622"/>
        <a:ext cx="796393" cy="398196"/>
      </dsp:txXfrm>
    </dsp:sp>
    <dsp:sp modelId="{261DB2FA-548E-40D6-A210-99F5054C412B}">
      <dsp:nvSpPr>
        <dsp:cNvPr id="0" name=""/>
        <dsp:cNvSpPr/>
      </dsp:nvSpPr>
      <dsp:spPr>
        <a:xfrm rot="17132988">
          <a:off x="717060" y="759997"/>
          <a:ext cx="1188309" cy="26630"/>
        </a:xfrm>
        <a:custGeom>
          <a:avLst/>
          <a:gdLst/>
          <a:ahLst/>
          <a:cxnLst/>
          <a:rect l="0" t="0" r="0" b="0"/>
          <a:pathLst>
            <a:path>
              <a:moveTo>
                <a:pt x="0" y="13315"/>
              </a:moveTo>
              <a:lnTo>
                <a:pt x="1188309" y="1331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7132988">
        <a:off x="1281507" y="743605"/>
        <a:ext cx="59415" cy="59415"/>
      </dsp:txXfrm>
    </dsp:sp>
    <dsp:sp modelId="{AADB9DAC-50E5-4317-8A59-E1E13C6D6445}">
      <dsp:nvSpPr>
        <dsp:cNvPr id="0" name=""/>
        <dsp:cNvSpPr/>
      </dsp:nvSpPr>
      <dsp:spPr>
        <a:xfrm>
          <a:off x="1470493" y="1806"/>
          <a:ext cx="796393" cy="398196"/>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Mudarabah</a:t>
          </a:r>
        </a:p>
      </dsp:txBody>
      <dsp:txXfrm>
        <a:off x="1470493" y="1806"/>
        <a:ext cx="796393" cy="398196"/>
      </dsp:txXfrm>
    </dsp:sp>
    <dsp:sp modelId="{3CE0C283-9989-4EA4-A25B-C3BE81194C6F}">
      <dsp:nvSpPr>
        <dsp:cNvPr id="0" name=""/>
        <dsp:cNvSpPr/>
      </dsp:nvSpPr>
      <dsp:spPr>
        <a:xfrm rot="17692822">
          <a:off x="932633" y="988960"/>
          <a:ext cx="757162" cy="26630"/>
        </a:xfrm>
        <a:custGeom>
          <a:avLst/>
          <a:gdLst/>
          <a:ahLst/>
          <a:cxnLst/>
          <a:rect l="0" t="0" r="0" b="0"/>
          <a:pathLst>
            <a:path>
              <a:moveTo>
                <a:pt x="0" y="13315"/>
              </a:moveTo>
              <a:lnTo>
                <a:pt x="757162" y="1331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7692822">
        <a:off x="1292285" y="983346"/>
        <a:ext cx="37858" cy="37858"/>
      </dsp:txXfrm>
    </dsp:sp>
    <dsp:sp modelId="{D6BB235E-551B-41A8-9696-C41724387327}">
      <dsp:nvSpPr>
        <dsp:cNvPr id="0" name=""/>
        <dsp:cNvSpPr/>
      </dsp:nvSpPr>
      <dsp:spPr>
        <a:xfrm>
          <a:off x="1470493" y="459733"/>
          <a:ext cx="796393" cy="398196"/>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Musharakah</a:t>
          </a:r>
        </a:p>
      </dsp:txBody>
      <dsp:txXfrm>
        <a:off x="1470493" y="459733"/>
        <a:ext cx="796393" cy="398196"/>
      </dsp:txXfrm>
    </dsp:sp>
    <dsp:sp modelId="{66BFCFC3-5ED7-45D4-BBB7-90B2CE8DDF4B}">
      <dsp:nvSpPr>
        <dsp:cNvPr id="0" name=""/>
        <dsp:cNvSpPr/>
      </dsp:nvSpPr>
      <dsp:spPr>
        <a:xfrm rot="19457599">
          <a:off x="1115062" y="1217923"/>
          <a:ext cx="392304" cy="26630"/>
        </a:xfrm>
        <a:custGeom>
          <a:avLst/>
          <a:gdLst/>
          <a:ahLst/>
          <a:cxnLst/>
          <a:rect l="0" t="0" r="0" b="0"/>
          <a:pathLst>
            <a:path>
              <a:moveTo>
                <a:pt x="0" y="13315"/>
              </a:moveTo>
              <a:lnTo>
                <a:pt x="392304" y="1331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9457599">
        <a:off x="1301407" y="1221431"/>
        <a:ext cx="19615" cy="19615"/>
      </dsp:txXfrm>
    </dsp:sp>
    <dsp:sp modelId="{CEB57A11-B8AA-4183-A77E-9C3634032F16}">
      <dsp:nvSpPr>
        <dsp:cNvPr id="0" name=""/>
        <dsp:cNvSpPr/>
      </dsp:nvSpPr>
      <dsp:spPr>
        <a:xfrm>
          <a:off x="1470493" y="917659"/>
          <a:ext cx="796393" cy="398196"/>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Murabaha–Mu’ajjal </a:t>
          </a:r>
        </a:p>
      </dsp:txBody>
      <dsp:txXfrm>
        <a:off x="1470493" y="917659"/>
        <a:ext cx="796393" cy="398196"/>
      </dsp:txXfrm>
    </dsp:sp>
    <dsp:sp modelId="{F3B68BB9-7DC8-49E8-A8C5-D471EB433E47}">
      <dsp:nvSpPr>
        <dsp:cNvPr id="0" name=""/>
        <dsp:cNvSpPr/>
      </dsp:nvSpPr>
      <dsp:spPr>
        <a:xfrm rot="2142401">
          <a:off x="1115062" y="1446886"/>
          <a:ext cx="392304" cy="26630"/>
        </a:xfrm>
        <a:custGeom>
          <a:avLst/>
          <a:gdLst/>
          <a:ahLst/>
          <a:cxnLst/>
          <a:rect l="0" t="0" r="0" b="0"/>
          <a:pathLst>
            <a:path>
              <a:moveTo>
                <a:pt x="0" y="13315"/>
              </a:moveTo>
              <a:lnTo>
                <a:pt x="392304" y="1331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142401">
        <a:off x="1301407" y="1450394"/>
        <a:ext cx="19615" cy="19615"/>
      </dsp:txXfrm>
    </dsp:sp>
    <dsp:sp modelId="{10B614C2-77D0-4023-8C69-56FA45D99F64}">
      <dsp:nvSpPr>
        <dsp:cNvPr id="0" name=""/>
        <dsp:cNvSpPr/>
      </dsp:nvSpPr>
      <dsp:spPr>
        <a:xfrm>
          <a:off x="1470493" y="1375585"/>
          <a:ext cx="796393" cy="398196"/>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Salam </a:t>
          </a:r>
        </a:p>
      </dsp:txBody>
      <dsp:txXfrm>
        <a:off x="1470493" y="1375585"/>
        <a:ext cx="796393" cy="398196"/>
      </dsp:txXfrm>
    </dsp:sp>
    <dsp:sp modelId="{0D4B0BCB-E712-4DE4-89FA-8F98242F8989}">
      <dsp:nvSpPr>
        <dsp:cNvPr id="0" name=""/>
        <dsp:cNvSpPr/>
      </dsp:nvSpPr>
      <dsp:spPr>
        <a:xfrm rot="3907178">
          <a:off x="932633" y="1675849"/>
          <a:ext cx="757162" cy="26630"/>
        </a:xfrm>
        <a:custGeom>
          <a:avLst/>
          <a:gdLst/>
          <a:ahLst/>
          <a:cxnLst/>
          <a:rect l="0" t="0" r="0" b="0"/>
          <a:pathLst>
            <a:path>
              <a:moveTo>
                <a:pt x="0" y="13315"/>
              </a:moveTo>
              <a:lnTo>
                <a:pt x="757162" y="1331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3907178">
        <a:off x="1292285" y="1670235"/>
        <a:ext cx="37858" cy="37858"/>
      </dsp:txXfrm>
    </dsp:sp>
    <dsp:sp modelId="{7A9063AF-C5AD-4041-99FE-92E6293556F0}">
      <dsp:nvSpPr>
        <dsp:cNvPr id="0" name=""/>
        <dsp:cNvSpPr/>
      </dsp:nvSpPr>
      <dsp:spPr>
        <a:xfrm>
          <a:off x="1470493" y="1833511"/>
          <a:ext cx="796393" cy="398196"/>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Ijarah</a:t>
          </a:r>
        </a:p>
      </dsp:txBody>
      <dsp:txXfrm>
        <a:off x="1470493" y="1833511"/>
        <a:ext cx="796393" cy="398196"/>
      </dsp:txXfrm>
    </dsp:sp>
    <dsp:sp modelId="{3770819F-A8E2-44F8-9BD7-693432FC4F16}">
      <dsp:nvSpPr>
        <dsp:cNvPr id="0" name=""/>
        <dsp:cNvSpPr/>
      </dsp:nvSpPr>
      <dsp:spPr>
        <a:xfrm rot="4467012">
          <a:off x="717060" y="1904812"/>
          <a:ext cx="1188309" cy="26630"/>
        </a:xfrm>
        <a:custGeom>
          <a:avLst/>
          <a:gdLst/>
          <a:ahLst/>
          <a:cxnLst/>
          <a:rect l="0" t="0" r="0" b="0"/>
          <a:pathLst>
            <a:path>
              <a:moveTo>
                <a:pt x="0" y="13315"/>
              </a:moveTo>
              <a:lnTo>
                <a:pt x="1188309" y="13315"/>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4467012">
        <a:off x="1281507" y="1888420"/>
        <a:ext cx="59415" cy="59415"/>
      </dsp:txXfrm>
    </dsp:sp>
    <dsp:sp modelId="{6D73E597-53E3-4F66-896B-A87644D97090}">
      <dsp:nvSpPr>
        <dsp:cNvPr id="0" name=""/>
        <dsp:cNvSpPr/>
      </dsp:nvSpPr>
      <dsp:spPr>
        <a:xfrm>
          <a:off x="1470493" y="2291437"/>
          <a:ext cx="796393" cy="398196"/>
        </a:xfrm>
        <a:prstGeom prst="roundRect">
          <a:avLst>
            <a:gd name="adj" fmla="val 1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t>Istisna‘a </a:t>
          </a:r>
        </a:p>
      </dsp:txBody>
      <dsp:txXfrm>
        <a:off x="1470493" y="2291437"/>
        <a:ext cx="796393" cy="398196"/>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6219</Words>
  <Characters>35454</Characters>
  <Application>Microsoft Office Word</Application>
  <DocSecurity>0</DocSecurity>
  <Lines>295</Lines>
  <Paragraphs>83</Paragraphs>
  <ScaleCrop>false</ScaleCrop>
  <Company/>
  <LinksUpToDate>false</LinksUpToDate>
  <CharactersWithSpaces>41590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Naurah Khurshid</dc:creator>
  <cp:lastModifiedBy>New</cp:lastModifiedBy>
  <cp:revision>2</cp:revision>
  <dcterms:created xsi:type="dcterms:W3CDTF">2016-04-21T09:11:00Z</dcterms:created>
  <dcterms:modified xsi:type="dcterms:W3CDTF">2016-04-21T09:11:00Z</dcterms:modified>
</cp:coreProperties>
</file>