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C4BCD" w:rsidP="00A851DA">
      <w:pPr>
        <w:rPr>
          <w:lang w:val="en-US"/>
        </w:rPr>
      </w:pPr>
      <w:r w:rsidRPr="00DC4BCD">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D0F67">
            <w:pPr>
              <w:pStyle w:val="Default"/>
              <w:rPr>
                <w:rFonts w:asciiTheme="minorHAnsi" w:hAnsiTheme="minorHAnsi"/>
              </w:rPr>
            </w:pPr>
            <w:r>
              <w:rPr>
                <w:rFonts w:asciiTheme="minorHAnsi" w:hAnsiTheme="minorHAnsi"/>
              </w:rPr>
              <w:t>AGISANANG LEBITLA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F52BE">
            <w:pPr>
              <w:pStyle w:val="Default"/>
              <w:rPr>
                <w:rFonts w:asciiTheme="minorHAnsi" w:hAnsiTheme="minorHAnsi"/>
              </w:rPr>
            </w:pPr>
            <w:r>
              <w:rPr>
                <w:rFonts w:asciiTheme="minorHAnsi" w:hAnsiTheme="minorHAnsi"/>
              </w:rPr>
              <w:t>2</w:t>
            </w:r>
            <w:r w:rsidR="006D0F67">
              <w:rPr>
                <w:rFonts w:asciiTheme="minorHAnsi" w:hAnsiTheme="minorHAnsi"/>
              </w:rPr>
              <w:t>414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52BE">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52BE">
            <w:r>
              <w:t>1</w:t>
            </w:r>
            <w:r w:rsidR="002066BE">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2066BE" w:rsidRPr="00125249" w:rsidRDefault="002066BE" w:rsidP="002066BE">
            <w:pPr>
              <w:pStyle w:val="NormalWeb"/>
              <w:shd w:val="clear" w:color="auto" w:fill="FFFFFF"/>
              <w:spacing w:before="0" w:beforeAutospacing="0" w:after="0" w:afterAutospacing="0"/>
              <w:jc w:val="both"/>
            </w:pPr>
          </w:p>
          <w:p w:rsidR="002066BE" w:rsidRPr="00125249" w:rsidRDefault="002066BE" w:rsidP="002066BE">
            <w:pPr>
              <w:shd w:val="clear" w:color="auto" w:fill="FFFFFF"/>
              <w:textAlignment w:val="baseline"/>
              <w:rPr>
                <w:rFonts w:ascii="Times New Roman" w:eastAsia="Times New Roman" w:hAnsi="Times New Roman" w:cs="Times New Roman"/>
                <w:b/>
                <w:sz w:val="24"/>
                <w:szCs w:val="24"/>
              </w:rPr>
            </w:pPr>
            <w:r w:rsidRPr="00125249">
              <w:rPr>
                <w:rFonts w:ascii="Times New Roman" w:eastAsia="Times New Roman" w:hAnsi="Times New Roman" w:cs="Times New Roman"/>
                <w:b/>
                <w:sz w:val="24"/>
                <w:szCs w:val="24"/>
              </w:rPr>
              <w:t>1) </w:t>
            </w:r>
            <w:r w:rsidRPr="00125249">
              <w:rPr>
                <w:rFonts w:ascii="Times New Roman" w:eastAsia="Times New Roman" w:hAnsi="Times New Roman" w:cs="Times New Roman"/>
                <w:b/>
                <w:bCs/>
                <w:sz w:val="24"/>
                <w:szCs w:val="24"/>
              </w:rPr>
              <w:t xml:space="preserve"> METHODS OF APPRAISING CAPITAL PROJECTS</w:t>
            </w:r>
          </w:p>
          <w:p w:rsidR="002066BE" w:rsidRPr="00125249" w:rsidRDefault="002066BE" w:rsidP="002066BE">
            <w:pPr>
              <w:shd w:val="clear" w:color="auto" w:fill="FFFFFF"/>
              <w:spacing w:after="360"/>
              <w:textAlignment w:val="baseline"/>
              <w:rPr>
                <w:rFonts w:ascii="Times New Roman" w:eastAsia="Times New Roman" w:hAnsi="Times New Roman" w:cs="Times New Roman"/>
                <w:sz w:val="24"/>
                <w:szCs w:val="24"/>
              </w:rPr>
            </w:pPr>
            <w:r w:rsidRPr="00125249">
              <w:rPr>
                <w:rFonts w:ascii="Times New Roman" w:eastAsia="Times New Roman" w:hAnsi="Times New Roman" w:cs="Times New Roman"/>
                <w:sz w:val="24"/>
                <w:szCs w:val="24"/>
              </w:rPr>
              <w:t>The recommended analytical methods for appraisal are generally discounted cash flow techniques which take into account the time value of money. People generally prefer to receive benefits as early as possible while paying costs as late as possible. Costs and benefits occur at different points in the life of the project so the valuation of costs and benefits must take into account the time at which they occur. This concept of time preference is fundamental to proper appraisal and so it is necessary to calculate the present values of all costs and benefits.</w:t>
            </w:r>
          </w:p>
          <w:p w:rsidR="002066BE" w:rsidRPr="00125249" w:rsidRDefault="002066BE" w:rsidP="002066BE">
            <w:pPr>
              <w:shd w:val="clear" w:color="auto" w:fill="FFFFFF"/>
              <w:textAlignment w:val="baseline"/>
              <w:rPr>
                <w:rFonts w:ascii="Times New Roman" w:eastAsia="Times New Roman" w:hAnsi="Times New Roman" w:cs="Times New Roman"/>
                <w:sz w:val="24"/>
                <w:szCs w:val="24"/>
              </w:rPr>
            </w:pPr>
            <w:r w:rsidRPr="00125249">
              <w:rPr>
                <w:rFonts w:ascii="Times New Roman" w:eastAsia="Times New Roman" w:hAnsi="Times New Roman" w:cs="Times New Roman"/>
                <w:b/>
                <w:bCs/>
                <w:iCs/>
                <w:sz w:val="24"/>
                <w:szCs w:val="24"/>
              </w:rPr>
              <w:t>Net Present Value Method (NPV)</w:t>
            </w:r>
          </w:p>
          <w:p w:rsidR="002066BE" w:rsidRPr="00125249" w:rsidRDefault="002066BE" w:rsidP="002066BE">
            <w:pPr>
              <w:shd w:val="clear" w:color="auto" w:fill="FFFFFF"/>
              <w:spacing w:after="360"/>
              <w:textAlignment w:val="baseline"/>
              <w:rPr>
                <w:rFonts w:ascii="Times New Roman" w:eastAsia="Times New Roman" w:hAnsi="Times New Roman" w:cs="Times New Roman"/>
                <w:sz w:val="24"/>
                <w:szCs w:val="24"/>
              </w:rPr>
            </w:pPr>
            <w:r w:rsidRPr="00125249">
              <w:rPr>
                <w:rFonts w:ascii="Times New Roman" w:eastAsia="Times New Roman" w:hAnsi="Times New Roman" w:cs="Times New Roman"/>
                <w:sz w:val="24"/>
                <w:szCs w:val="24"/>
              </w:rPr>
              <w:t>In the NPV method, the revenues and costs of a project are estimated and then are discounted and compared with the initial investment. The preferred option is that with the highest positive net present value. Projects with negative NPV values should be rejected because the present value of the stream of benefits is insufficient to recover the cost of the project.</w:t>
            </w:r>
          </w:p>
          <w:p w:rsidR="002066BE" w:rsidRDefault="002066BE" w:rsidP="002066BE">
            <w:pPr>
              <w:shd w:val="clear" w:color="auto" w:fill="FFFFFF"/>
              <w:spacing w:after="360"/>
              <w:textAlignment w:val="baseline"/>
              <w:rPr>
                <w:rFonts w:ascii="Times New Roman" w:eastAsia="Times New Roman" w:hAnsi="Times New Roman" w:cs="Times New Roman"/>
                <w:sz w:val="24"/>
                <w:szCs w:val="24"/>
              </w:rPr>
            </w:pPr>
            <w:r w:rsidRPr="00125249">
              <w:rPr>
                <w:rFonts w:ascii="Times New Roman" w:eastAsia="Times New Roman" w:hAnsi="Times New Roman" w:cs="Times New Roman"/>
                <w:sz w:val="24"/>
                <w:szCs w:val="24"/>
              </w:rPr>
              <w:t>Compared to other investment appraisal techniques such as the IRR and the discounted payback period, the NPV is viewed as the most reliable technique to support investment appraisal decisions. There are some disadvantages with the NPV approach. If there are several independent and mutually exclusive projects, the NPV method will rank projects in order of descending NPV values. However, a smaller project with a lower NPV may be more attractive due to a higher ratio of discounted benefits to costs (see BCR below), particularly if there affordability constraints.</w:t>
            </w:r>
          </w:p>
          <w:p w:rsidR="00430AC5" w:rsidRPr="00125249" w:rsidRDefault="00430AC5" w:rsidP="002066BE">
            <w:pPr>
              <w:shd w:val="clear" w:color="auto" w:fill="FFFFFF"/>
              <w:spacing w:after="360"/>
              <w:textAlignment w:val="baseline"/>
              <w:rPr>
                <w:rFonts w:ascii="Times New Roman" w:eastAsia="Times New Roman" w:hAnsi="Times New Roman" w:cs="Times New Roman"/>
                <w:sz w:val="24"/>
                <w:szCs w:val="24"/>
              </w:rPr>
            </w:pPr>
          </w:p>
          <w:p w:rsidR="002066BE" w:rsidRPr="00125249" w:rsidRDefault="002066BE" w:rsidP="002066BE">
            <w:pPr>
              <w:shd w:val="clear" w:color="auto" w:fill="FFFFFF"/>
              <w:spacing w:after="360"/>
              <w:textAlignment w:val="baseline"/>
              <w:rPr>
                <w:rFonts w:ascii="Times New Roman" w:eastAsia="Times New Roman" w:hAnsi="Times New Roman" w:cs="Times New Roman"/>
                <w:sz w:val="24"/>
                <w:szCs w:val="24"/>
              </w:rPr>
            </w:pPr>
            <w:r w:rsidRPr="00125249">
              <w:rPr>
                <w:rFonts w:ascii="Times New Roman" w:eastAsia="Times New Roman" w:hAnsi="Times New Roman" w:cs="Times New Roman"/>
                <w:sz w:val="24"/>
                <w:szCs w:val="24"/>
              </w:rPr>
              <w:lastRenderedPageBreak/>
              <w:t>Using different evaluation techniques for the same basic data may yield conflicting conclusions. In choosing between options A and B, the NPV method may suggest that option A is preferable, while the IRR method may suggest that option B is preferable. However in such cases, the results indicated by the NPV method are more reliable. The NPV method should be always be used where money values over time need to be appraised. Nevertheless, the other techniques also yield useful additional information and may be worth using.</w:t>
            </w:r>
          </w:p>
          <w:p w:rsidR="002066BE" w:rsidRPr="00125249" w:rsidRDefault="002066BE" w:rsidP="002066BE">
            <w:pPr>
              <w:shd w:val="clear" w:color="auto" w:fill="FFFFFF"/>
              <w:spacing w:after="360"/>
              <w:textAlignment w:val="baseline"/>
              <w:rPr>
                <w:rFonts w:ascii="Times New Roman" w:eastAsia="Times New Roman" w:hAnsi="Times New Roman" w:cs="Times New Roman"/>
                <w:sz w:val="24"/>
                <w:szCs w:val="24"/>
              </w:rPr>
            </w:pPr>
            <w:r w:rsidRPr="00125249">
              <w:rPr>
                <w:rFonts w:ascii="Times New Roman" w:eastAsia="Times New Roman" w:hAnsi="Times New Roman" w:cs="Times New Roman"/>
                <w:sz w:val="24"/>
                <w:szCs w:val="24"/>
              </w:rPr>
              <w:t>The key determinants of the NPV calculation are the appraisal horizon, the discount rate and the accuracy of estimates for costs and benefits.</w:t>
            </w:r>
          </w:p>
          <w:p w:rsidR="002066BE" w:rsidRPr="00125249" w:rsidRDefault="002066BE" w:rsidP="002066BE">
            <w:pPr>
              <w:shd w:val="clear" w:color="auto" w:fill="FFFFFF"/>
              <w:textAlignment w:val="baseline"/>
              <w:rPr>
                <w:rFonts w:ascii="Times New Roman" w:eastAsia="Times New Roman" w:hAnsi="Times New Roman" w:cs="Times New Roman"/>
                <w:sz w:val="24"/>
                <w:szCs w:val="24"/>
              </w:rPr>
            </w:pPr>
            <w:r w:rsidRPr="00125249">
              <w:rPr>
                <w:rFonts w:ascii="Times New Roman" w:eastAsia="Times New Roman" w:hAnsi="Times New Roman" w:cs="Times New Roman"/>
                <w:b/>
                <w:bCs/>
                <w:iCs/>
                <w:sz w:val="24"/>
                <w:szCs w:val="24"/>
              </w:rPr>
              <w:t>Discount rate</w:t>
            </w:r>
          </w:p>
          <w:p w:rsidR="002066BE" w:rsidRPr="00125249" w:rsidRDefault="002066BE" w:rsidP="002066BE">
            <w:pPr>
              <w:shd w:val="clear" w:color="auto" w:fill="FFFFFF"/>
              <w:spacing w:after="360"/>
              <w:textAlignment w:val="baseline"/>
              <w:rPr>
                <w:rFonts w:ascii="Times New Roman" w:eastAsia="Times New Roman" w:hAnsi="Times New Roman" w:cs="Times New Roman"/>
                <w:sz w:val="24"/>
                <w:szCs w:val="24"/>
              </w:rPr>
            </w:pPr>
            <w:r w:rsidRPr="00125249">
              <w:rPr>
                <w:rFonts w:ascii="Times New Roman" w:eastAsia="Times New Roman" w:hAnsi="Times New Roman" w:cs="Times New Roman"/>
                <w:sz w:val="24"/>
                <w:szCs w:val="24"/>
              </w:rPr>
              <w:t>The discount rate is a concept related to the NPV method. The discount rate is used to convert costs and benefits to present values to reflect the principle of time preference. The calculation of the discount rate can be based on a number of approaches including, among others:</w:t>
            </w:r>
          </w:p>
          <w:p w:rsidR="002066BE" w:rsidRPr="00125249" w:rsidRDefault="002066BE" w:rsidP="002066BE">
            <w:pPr>
              <w:numPr>
                <w:ilvl w:val="0"/>
                <w:numId w:val="4"/>
              </w:numPr>
              <w:ind w:left="360"/>
              <w:textAlignment w:val="baseline"/>
              <w:rPr>
                <w:rFonts w:ascii="Times New Roman" w:eastAsia="Times New Roman" w:hAnsi="Times New Roman" w:cs="Times New Roman"/>
                <w:sz w:val="24"/>
                <w:szCs w:val="24"/>
              </w:rPr>
            </w:pPr>
            <w:r w:rsidRPr="00125249">
              <w:rPr>
                <w:rFonts w:ascii="Times New Roman" w:eastAsia="Times New Roman" w:hAnsi="Times New Roman" w:cs="Times New Roman"/>
                <w:sz w:val="24"/>
                <w:szCs w:val="24"/>
              </w:rPr>
              <w:t>The social rate of time preference</w:t>
            </w:r>
          </w:p>
          <w:p w:rsidR="002066BE" w:rsidRPr="00125249" w:rsidRDefault="002066BE" w:rsidP="002066BE">
            <w:pPr>
              <w:numPr>
                <w:ilvl w:val="0"/>
                <w:numId w:val="4"/>
              </w:numPr>
              <w:ind w:left="360"/>
              <w:textAlignment w:val="baseline"/>
              <w:rPr>
                <w:rFonts w:ascii="Times New Roman" w:eastAsia="Times New Roman" w:hAnsi="Times New Roman" w:cs="Times New Roman"/>
                <w:sz w:val="24"/>
                <w:szCs w:val="24"/>
              </w:rPr>
            </w:pPr>
            <w:r w:rsidRPr="00125249">
              <w:rPr>
                <w:rFonts w:ascii="Times New Roman" w:eastAsia="Times New Roman" w:hAnsi="Times New Roman" w:cs="Times New Roman"/>
                <w:sz w:val="24"/>
                <w:szCs w:val="24"/>
              </w:rPr>
              <w:t>The opportunity cost of capital</w:t>
            </w:r>
          </w:p>
          <w:p w:rsidR="002066BE" w:rsidRPr="00125249" w:rsidRDefault="002066BE" w:rsidP="002066BE">
            <w:pPr>
              <w:numPr>
                <w:ilvl w:val="0"/>
                <w:numId w:val="4"/>
              </w:numPr>
              <w:ind w:left="360"/>
              <w:textAlignment w:val="baseline"/>
              <w:rPr>
                <w:rFonts w:ascii="Times New Roman" w:eastAsia="Times New Roman" w:hAnsi="Times New Roman" w:cs="Times New Roman"/>
                <w:sz w:val="24"/>
                <w:szCs w:val="24"/>
              </w:rPr>
            </w:pPr>
            <w:r w:rsidRPr="00125249">
              <w:rPr>
                <w:rFonts w:ascii="Times New Roman" w:eastAsia="Times New Roman" w:hAnsi="Times New Roman" w:cs="Times New Roman"/>
                <w:sz w:val="24"/>
                <w:szCs w:val="24"/>
              </w:rPr>
              <w:t>Weighted average method</w:t>
            </w:r>
          </w:p>
          <w:p w:rsidR="002066BE" w:rsidRPr="00125249" w:rsidRDefault="002066BE" w:rsidP="002066BE">
            <w:pPr>
              <w:shd w:val="clear" w:color="auto" w:fill="FFFFFF"/>
              <w:spacing w:after="360"/>
              <w:textAlignment w:val="baseline"/>
              <w:rPr>
                <w:rFonts w:ascii="Times New Roman" w:eastAsia="Times New Roman" w:hAnsi="Times New Roman" w:cs="Times New Roman"/>
                <w:sz w:val="24"/>
                <w:szCs w:val="24"/>
              </w:rPr>
            </w:pPr>
            <w:r w:rsidRPr="00125249">
              <w:rPr>
                <w:rFonts w:ascii="Times New Roman" w:eastAsia="Times New Roman" w:hAnsi="Times New Roman" w:cs="Times New Roman"/>
                <w:sz w:val="24"/>
                <w:szCs w:val="24"/>
              </w:rPr>
              <w:t>The same basic discount rate (usually called the test discount rate or TDR) should be used in all cost-benefit and cost-effectiveness analyses of public sector projects.</w:t>
            </w:r>
          </w:p>
          <w:p w:rsidR="002066BE" w:rsidRPr="00125249" w:rsidRDefault="002066BE" w:rsidP="002066BE">
            <w:pPr>
              <w:shd w:val="clear" w:color="auto" w:fill="FFFFFF"/>
              <w:spacing w:after="360"/>
              <w:textAlignment w:val="baseline"/>
              <w:rPr>
                <w:rFonts w:ascii="Times New Roman" w:eastAsia="Times New Roman" w:hAnsi="Times New Roman" w:cs="Times New Roman"/>
                <w:sz w:val="24"/>
                <w:szCs w:val="24"/>
              </w:rPr>
            </w:pPr>
            <w:r w:rsidRPr="00125249">
              <w:rPr>
                <w:rFonts w:ascii="Times New Roman" w:eastAsia="Times New Roman" w:hAnsi="Times New Roman" w:cs="Times New Roman"/>
                <w:sz w:val="24"/>
                <w:szCs w:val="24"/>
              </w:rPr>
              <w:t>The current recommended TDR is 5%.  However, if a commercial State Sponsored Body is discounting projected cash flows for commercial projects, the cost of capital should be used or even a project-specific rate.</w:t>
            </w:r>
          </w:p>
          <w:p w:rsidR="002066BE" w:rsidRPr="00125249" w:rsidRDefault="002066BE" w:rsidP="002066BE">
            <w:pPr>
              <w:shd w:val="clear" w:color="auto" w:fill="FFFFFF"/>
              <w:textAlignment w:val="baseline"/>
              <w:rPr>
                <w:rFonts w:ascii="Times New Roman" w:eastAsia="Times New Roman" w:hAnsi="Times New Roman" w:cs="Times New Roman"/>
                <w:sz w:val="24"/>
                <w:szCs w:val="24"/>
              </w:rPr>
            </w:pPr>
            <w:r w:rsidRPr="00125249">
              <w:rPr>
                <w:rFonts w:ascii="Times New Roman" w:eastAsia="Times New Roman" w:hAnsi="Times New Roman" w:cs="Times New Roman"/>
                <w:b/>
                <w:bCs/>
                <w:iCs/>
                <w:sz w:val="24"/>
                <w:szCs w:val="24"/>
              </w:rPr>
              <w:t>Internal Rate of Return (IRR)</w:t>
            </w:r>
          </w:p>
          <w:p w:rsidR="002066BE" w:rsidRPr="00125249" w:rsidRDefault="002066BE" w:rsidP="002066BE">
            <w:pPr>
              <w:shd w:val="clear" w:color="auto" w:fill="FFFFFF"/>
              <w:spacing w:after="360"/>
              <w:textAlignment w:val="baseline"/>
              <w:rPr>
                <w:rFonts w:ascii="Times New Roman" w:eastAsia="Times New Roman" w:hAnsi="Times New Roman" w:cs="Times New Roman"/>
                <w:sz w:val="24"/>
                <w:szCs w:val="24"/>
              </w:rPr>
            </w:pPr>
            <w:r w:rsidRPr="00125249">
              <w:rPr>
                <w:rFonts w:ascii="Times New Roman" w:eastAsia="Times New Roman" w:hAnsi="Times New Roman" w:cs="Times New Roman"/>
                <w:sz w:val="24"/>
                <w:szCs w:val="24"/>
              </w:rPr>
              <w:t>The IRR is the discount rate which, when applied to net revenues of a project sets them equal to the initial investment. The preferred option is that with the IRR greatest in excess of a specified rate of return. An IRR of 10% means that with a discount rate of 10%, the project breaks even. The IRR approach is usually associated with a hurdle cost of capital/discount rate, against which the IRR is compared. The hurdle rate corresponds to the opportunity cost of capital. In the case of public projects, the hurdle rate is the TDR. If the IRR exceeds the hurdle rate, the project is accepted.</w:t>
            </w:r>
          </w:p>
          <w:p w:rsidR="002066BE" w:rsidRPr="00125249" w:rsidRDefault="002066BE" w:rsidP="002066BE">
            <w:pPr>
              <w:shd w:val="clear" w:color="auto" w:fill="FFFFFF"/>
              <w:spacing w:after="360"/>
              <w:textAlignment w:val="baseline"/>
              <w:rPr>
                <w:rFonts w:ascii="Times New Roman" w:eastAsia="Times New Roman" w:hAnsi="Times New Roman" w:cs="Times New Roman"/>
                <w:sz w:val="24"/>
                <w:szCs w:val="24"/>
              </w:rPr>
            </w:pPr>
            <w:r w:rsidRPr="00125249">
              <w:rPr>
                <w:rFonts w:ascii="Times New Roman" w:eastAsia="Times New Roman" w:hAnsi="Times New Roman" w:cs="Times New Roman"/>
                <w:sz w:val="24"/>
                <w:szCs w:val="24"/>
              </w:rPr>
              <w:t>There are disadvantages associated with the IRR as a performance indicator. It is not suitable for the ranking of competing projects. It is possible for two projects to have the same IRR but have different NPV values due to differences in the timing of costs and benefits. In addition, applying different appraisal techniques to the same basic data may yield contradictory conclusions.</w:t>
            </w:r>
          </w:p>
          <w:p w:rsidR="002066BE" w:rsidRPr="00125249" w:rsidRDefault="002066BE" w:rsidP="002066BE">
            <w:pPr>
              <w:shd w:val="clear" w:color="auto" w:fill="FFFFFF"/>
              <w:textAlignment w:val="baseline"/>
              <w:rPr>
                <w:rFonts w:ascii="Times New Roman" w:eastAsia="Times New Roman" w:hAnsi="Times New Roman" w:cs="Times New Roman"/>
                <w:sz w:val="24"/>
                <w:szCs w:val="24"/>
              </w:rPr>
            </w:pPr>
            <w:r w:rsidRPr="00125249">
              <w:rPr>
                <w:rFonts w:ascii="Times New Roman" w:eastAsia="Times New Roman" w:hAnsi="Times New Roman" w:cs="Times New Roman"/>
                <w:b/>
                <w:bCs/>
                <w:iCs/>
                <w:sz w:val="24"/>
                <w:szCs w:val="24"/>
              </w:rPr>
              <w:t>Benefit / Cost ratio (BCR)</w:t>
            </w:r>
          </w:p>
          <w:p w:rsidR="002066BE" w:rsidRPr="00125249" w:rsidRDefault="002066BE" w:rsidP="002066BE">
            <w:pPr>
              <w:shd w:val="clear" w:color="auto" w:fill="FFFFFF"/>
              <w:spacing w:after="360"/>
              <w:textAlignment w:val="baseline"/>
              <w:rPr>
                <w:rFonts w:ascii="Times New Roman" w:eastAsia="Times New Roman" w:hAnsi="Times New Roman" w:cs="Times New Roman"/>
                <w:sz w:val="24"/>
                <w:szCs w:val="24"/>
              </w:rPr>
            </w:pPr>
            <w:r w:rsidRPr="00125249">
              <w:rPr>
                <w:rFonts w:ascii="Times New Roman" w:eastAsia="Times New Roman" w:hAnsi="Times New Roman" w:cs="Times New Roman"/>
                <w:sz w:val="24"/>
                <w:szCs w:val="24"/>
              </w:rPr>
              <w:t>The BCR is the discounted net revenues divided by the initial investment. The preferred option is that with the ratio greatest in excess of 1. In any event, a project with a benefit cost ratio of less than one should generally not proceed. The advantage of this method is its simplicity.</w:t>
            </w:r>
          </w:p>
          <w:p w:rsidR="002066BE" w:rsidRPr="00125249" w:rsidRDefault="002066BE" w:rsidP="002066BE">
            <w:pPr>
              <w:shd w:val="clear" w:color="auto" w:fill="FFFFFF"/>
              <w:spacing w:after="360"/>
              <w:textAlignment w:val="baseline"/>
              <w:rPr>
                <w:rFonts w:ascii="Times New Roman" w:eastAsia="Times New Roman" w:hAnsi="Times New Roman" w:cs="Times New Roman"/>
                <w:sz w:val="24"/>
                <w:szCs w:val="24"/>
              </w:rPr>
            </w:pPr>
            <w:r w:rsidRPr="00125249">
              <w:rPr>
                <w:rFonts w:ascii="Times New Roman" w:eastAsia="Times New Roman" w:hAnsi="Times New Roman" w:cs="Times New Roman"/>
                <w:sz w:val="24"/>
                <w:szCs w:val="24"/>
              </w:rPr>
              <w:t xml:space="preserve">Using the BCR to rank projects can lead to suboptimal decisions as a project with a slightly higher BCR ratio will be selected over a project with a lower BCR even though the latter </w:t>
            </w:r>
            <w:r w:rsidRPr="00125249">
              <w:rPr>
                <w:rFonts w:ascii="Times New Roman" w:eastAsia="Times New Roman" w:hAnsi="Times New Roman" w:cs="Times New Roman"/>
                <w:sz w:val="24"/>
                <w:szCs w:val="24"/>
              </w:rPr>
              <w:lastRenderedPageBreak/>
              <w:t>project has the capacity to generate much greater economic benefits because it has a higher NPV value and involves greater scale.</w:t>
            </w:r>
          </w:p>
          <w:p w:rsidR="002066BE" w:rsidRPr="00125249" w:rsidRDefault="002066BE" w:rsidP="002066BE">
            <w:pPr>
              <w:shd w:val="clear" w:color="auto" w:fill="FFFFFF"/>
              <w:textAlignment w:val="baseline"/>
              <w:rPr>
                <w:rFonts w:ascii="Times New Roman" w:eastAsia="Times New Roman" w:hAnsi="Times New Roman" w:cs="Times New Roman"/>
                <w:sz w:val="24"/>
                <w:szCs w:val="24"/>
              </w:rPr>
            </w:pPr>
            <w:r w:rsidRPr="00125249">
              <w:rPr>
                <w:rFonts w:ascii="Times New Roman" w:eastAsia="Times New Roman" w:hAnsi="Times New Roman" w:cs="Times New Roman"/>
                <w:b/>
                <w:bCs/>
                <w:iCs/>
                <w:sz w:val="24"/>
                <w:szCs w:val="24"/>
              </w:rPr>
              <w:t>Payback and Discounted payback</w:t>
            </w:r>
          </w:p>
          <w:p w:rsidR="002066BE" w:rsidRPr="00125249" w:rsidRDefault="002066BE" w:rsidP="002066BE">
            <w:pPr>
              <w:shd w:val="clear" w:color="auto" w:fill="FFFFFF"/>
              <w:spacing w:after="360"/>
              <w:textAlignment w:val="baseline"/>
              <w:rPr>
                <w:rFonts w:ascii="Times New Roman" w:eastAsia="Times New Roman" w:hAnsi="Times New Roman" w:cs="Times New Roman"/>
                <w:sz w:val="24"/>
                <w:szCs w:val="24"/>
              </w:rPr>
            </w:pPr>
            <w:r w:rsidRPr="00125249">
              <w:rPr>
                <w:rFonts w:ascii="Times New Roman" w:eastAsia="Times New Roman" w:hAnsi="Times New Roman" w:cs="Times New Roman"/>
                <w:sz w:val="24"/>
                <w:szCs w:val="24"/>
              </w:rPr>
              <w:t>The payback period is commonly used as an investment appraisal technique in the private sector and measures the length of time that it takes to recover the initial investment. However this method presents obvious drawbacks which prevent the ranking of projects. The method takes no account of the time value of money and neither does it take account of the earnings after the initial investment is recouped. For example, a project requires a €3 million investment and Option 1 returns €2 million in the first year and Option 2 returns €3 million for the same year. On this basis Option 2 is the preferred option as the payback period is shorter but if the cash flows changed in subsequent years and Option 1 returned €2 million annually  while Option 2 only earned €1 million annually, the chosen option would have been incorrect. The ordinary payback period should not be used as an appraisal technique for public investment projects.</w:t>
            </w:r>
          </w:p>
          <w:p w:rsidR="002066BE" w:rsidRPr="00125249" w:rsidRDefault="002066BE" w:rsidP="002066BE">
            <w:pPr>
              <w:shd w:val="clear" w:color="auto" w:fill="FFFFFF"/>
              <w:spacing w:after="360"/>
              <w:textAlignment w:val="baseline"/>
              <w:rPr>
                <w:rFonts w:ascii="Times New Roman" w:eastAsia="Times New Roman" w:hAnsi="Times New Roman" w:cs="Times New Roman"/>
                <w:sz w:val="24"/>
                <w:szCs w:val="24"/>
              </w:rPr>
            </w:pPr>
            <w:r w:rsidRPr="00125249">
              <w:rPr>
                <w:rFonts w:ascii="Times New Roman" w:eastAsia="Times New Roman" w:hAnsi="Times New Roman" w:cs="Times New Roman"/>
                <w:sz w:val="24"/>
                <w:szCs w:val="24"/>
              </w:rPr>
              <w:t>A variant of the payback method is the discounted payback period. The discounted payback period is the amount of time that it takes to cover the cost of a project, by adding the net positive discounted cash flows arising from the project. It should never be the sole appraisal method used to assess a project but is a useful performance indicator to contextualize the project’s anticipated performance.</w:t>
            </w:r>
          </w:p>
          <w:p w:rsidR="002066BE" w:rsidRPr="00125249" w:rsidRDefault="002066BE" w:rsidP="002066BE">
            <w:pPr>
              <w:shd w:val="clear" w:color="auto" w:fill="FFFFFF"/>
              <w:textAlignment w:val="baseline"/>
              <w:rPr>
                <w:rFonts w:ascii="Times New Roman" w:eastAsia="Times New Roman" w:hAnsi="Times New Roman" w:cs="Times New Roman"/>
                <w:sz w:val="24"/>
                <w:szCs w:val="24"/>
              </w:rPr>
            </w:pPr>
            <w:r w:rsidRPr="00125249">
              <w:rPr>
                <w:rFonts w:ascii="Times New Roman" w:eastAsia="Times New Roman" w:hAnsi="Times New Roman" w:cs="Times New Roman"/>
                <w:b/>
                <w:bCs/>
                <w:iCs/>
                <w:sz w:val="24"/>
                <w:szCs w:val="24"/>
              </w:rPr>
              <w:t>Sensitivity analysis</w:t>
            </w:r>
          </w:p>
          <w:p w:rsidR="002066BE" w:rsidRPr="00125249" w:rsidRDefault="002066BE" w:rsidP="002066BE">
            <w:pPr>
              <w:shd w:val="clear" w:color="auto" w:fill="FFFFFF"/>
              <w:spacing w:after="360"/>
              <w:textAlignment w:val="baseline"/>
              <w:rPr>
                <w:rFonts w:ascii="Times New Roman" w:eastAsia="Times New Roman" w:hAnsi="Times New Roman" w:cs="Times New Roman"/>
                <w:sz w:val="24"/>
                <w:szCs w:val="24"/>
              </w:rPr>
            </w:pPr>
            <w:r w:rsidRPr="00125249">
              <w:rPr>
                <w:rFonts w:ascii="Times New Roman" w:eastAsia="Times New Roman" w:hAnsi="Times New Roman" w:cs="Times New Roman"/>
                <w:sz w:val="24"/>
                <w:szCs w:val="24"/>
              </w:rPr>
              <w:t>An important feature of a comprehensive CBA is the inclusion of a risk assessment. The use of sensitivity analysis allows users of the CBA methodology to challenge the robustness of the results to changes in the assumptions made (i.e. discount rate, time horizon, estimated value of costs and benefits, etc). In doing so, it is possible to identify those parameters and assumptions to which the outcome of the analysis is most sensitive and therefore, allows the user to determine which assumptions and parameters may need to be re-examined and clarified.</w:t>
            </w:r>
          </w:p>
          <w:p w:rsidR="002066BE" w:rsidRPr="00125249" w:rsidRDefault="002066BE" w:rsidP="002066BE">
            <w:pPr>
              <w:shd w:val="clear" w:color="auto" w:fill="FFFFFF"/>
              <w:spacing w:after="360"/>
              <w:textAlignment w:val="baseline"/>
              <w:rPr>
                <w:rFonts w:ascii="Times New Roman" w:eastAsia="Times New Roman" w:hAnsi="Times New Roman" w:cs="Times New Roman"/>
                <w:sz w:val="24"/>
                <w:szCs w:val="24"/>
              </w:rPr>
            </w:pPr>
            <w:r w:rsidRPr="00125249">
              <w:rPr>
                <w:rFonts w:ascii="Times New Roman" w:eastAsia="Times New Roman" w:hAnsi="Times New Roman" w:cs="Times New Roman"/>
                <w:sz w:val="24"/>
                <w:szCs w:val="24"/>
              </w:rPr>
              <w:t>Sensitivity analysis is the process of establishing the outcomes of the cost benefit analysis which is sensitive to the assumed values used in the analysis.  This form of analysis should also be part of the appraisal for large projects. If an option is very sensitive to variations in a particular variable (e.g. passenger demand), then it should probably not be undertaken. If the relative merits of options change with the assumed values of variables, those values should be examined to see whether they can be made more reliable. It can be useful to attach probabilities to a range of values to help pick the best option.</w:t>
            </w:r>
          </w:p>
          <w:p w:rsidR="002066BE" w:rsidRDefault="002066BE" w:rsidP="002066BE">
            <w:pPr>
              <w:shd w:val="clear" w:color="auto" w:fill="FFFFFF"/>
              <w:spacing w:after="360"/>
              <w:textAlignment w:val="baseline"/>
              <w:rPr>
                <w:rFonts w:ascii="Times New Roman" w:eastAsia="Times New Roman" w:hAnsi="Times New Roman" w:cs="Times New Roman"/>
                <w:sz w:val="24"/>
                <w:szCs w:val="24"/>
              </w:rPr>
            </w:pPr>
            <w:r w:rsidRPr="00125249">
              <w:rPr>
                <w:rFonts w:ascii="Times New Roman" w:eastAsia="Times New Roman" w:hAnsi="Times New Roman" w:cs="Times New Roman"/>
                <w:sz w:val="24"/>
                <w:szCs w:val="24"/>
              </w:rPr>
              <w:t>Sensitivity analysis requires a degree of exploratory analysis to ascertain the most sensitive variables and should lead to a risk management strategy involving risk mitigation measures to ensure the most pessimistic values for key variables do not materialize or can be managed appropriately if they do materialize. It is important to take into account the level of disaggregation of project inputs and benefits – sensitivity analysis based on a mix of highly aggregated and disaggregated variables may be misleading.</w:t>
            </w:r>
          </w:p>
          <w:p w:rsidR="002066BE" w:rsidRPr="00125249" w:rsidRDefault="002066BE" w:rsidP="002066BE">
            <w:pPr>
              <w:shd w:val="clear" w:color="auto" w:fill="FFFFFF"/>
              <w:spacing w:after="360"/>
              <w:textAlignment w:val="baseline"/>
              <w:rPr>
                <w:rFonts w:ascii="Times New Roman" w:eastAsia="Times New Roman" w:hAnsi="Times New Roman" w:cs="Times New Roman"/>
                <w:sz w:val="24"/>
                <w:szCs w:val="24"/>
              </w:rPr>
            </w:pPr>
          </w:p>
          <w:p w:rsidR="002066BE" w:rsidRPr="00125249" w:rsidRDefault="002066BE" w:rsidP="002066BE">
            <w:pPr>
              <w:shd w:val="clear" w:color="auto" w:fill="FFFFFF"/>
              <w:textAlignment w:val="baseline"/>
              <w:rPr>
                <w:rFonts w:ascii="Times New Roman" w:eastAsia="Times New Roman" w:hAnsi="Times New Roman" w:cs="Times New Roman"/>
                <w:sz w:val="24"/>
                <w:szCs w:val="24"/>
              </w:rPr>
            </w:pPr>
            <w:r w:rsidRPr="00125249">
              <w:rPr>
                <w:rFonts w:ascii="Times New Roman" w:eastAsia="Times New Roman" w:hAnsi="Times New Roman" w:cs="Times New Roman"/>
                <w:b/>
                <w:bCs/>
                <w:iCs/>
                <w:sz w:val="24"/>
                <w:szCs w:val="24"/>
              </w:rPr>
              <w:lastRenderedPageBreak/>
              <w:t>Scenario analysis</w:t>
            </w:r>
          </w:p>
          <w:p w:rsidR="002066BE" w:rsidRPr="00125249" w:rsidRDefault="002066BE" w:rsidP="002066BE">
            <w:pPr>
              <w:shd w:val="clear" w:color="auto" w:fill="FFFFFF"/>
              <w:spacing w:after="360"/>
              <w:textAlignment w:val="baseline"/>
              <w:rPr>
                <w:rFonts w:ascii="Times New Roman" w:eastAsia="Times New Roman" w:hAnsi="Times New Roman" w:cs="Times New Roman"/>
                <w:sz w:val="24"/>
                <w:szCs w:val="24"/>
              </w:rPr>
            </w:pPr>
            <w:r w:rsidRPr="00125249">
              <w:rPr>
                <w:rFonts w:ascii="Times New Roman" w:eastAsia="Times New Roman" w:hAnsi="Times New Roman" w:cs="Times New Roman"/>
                <w:sz w:val="24"/>
                <w:szCs w:val="24"/>
              </w:rPr>
              <w:t>The scenario analysis technique is related to sensitivity analysis. Whereas the sensitivity analysis is based on a variable by variable approach, scenario analysis recognizes that the various factors impacting upon the stream of costs and benefits are inter-independent. In other words, this approach assumes that that altering individual variables whilst holding the remainder constant is unrealistic (i.e. for a tourism project, it is unlikely that ticket sales and café-souvenir sales are independent). Rather, scenario analysis uses a range of scenarios (or variations on the option under examination) where all of the various factors can be reviewed and adjusted within a consistent framework.</w:t>
            </w:r>
          </w:p>
          <w:p w:rsidR="002066BE" w:rsidRPr="00125249" w:rsidRDefault="002066BE" w:rsidP="002066BE">
            <w:pPr>
              <w:shd w:val="clear" w:color="auto" w:fill="FFFFFF"/>
              <w:spacing w:after="360"/>
              <w:textAlignment w:val="baseline"/>
              <w:rPr>
                <w:rFonts w:ascii="Times New Roman" w:eastAsia="Times New Roman" w:hAnsi="Times New Roman" w:cs="Times New Roman"/>
                <w:sz w:val="24"/>
                <w:szCs w:val="24"/>
              </w:rPr>
            </w:pPr>
            <w:r w:rsidRPr="00125249">
              <w:rPr>
                <w:rFonts w:ascii="Times New Roman" w:eastAsia="Times New Roman" w:hAnsi="Times New Roman" w:cs="Times New Roman"/>
                <w:sz w:val="24"/>
                <w:szCs w:val="24"/>
              </w:rPr>
              <w:t>A number of scenarios are formulated – best case, worst case, etc – and for each scenario identified, a range of potential values is assigned for each cost and benefit variable. When formulating these scenarios, it is important that appropriate consideration is given to the sources of uncertainty about the future (i.e. technical, political, etc). Once the values within each scenario have been reviewed, the NPV of each scenario can then be recalculated.</w:t>
            </w:r>
          </w:p>
          <w:p w:rsidR="002066BE" w:rsidRPr="00125249" w:rsidRDefault="002066BE" w:rsidP="002066BE">
            <w:pPr>
              <w:shd w:val="clear" w:color="auto" w:fill="FFFFFF"/>
              <w:textAlignment w:val="baseline"/>
              <w:rPr>
                <w:rFonts w:ascii="Times New Roman" w:eastAsia="Times New Roman" w:hAnsi="Times New Roman" w:cs="Times New Roman"/>
                <w:sz w:val="24"/>
                <w:szCs w:val="24"/>
              </w:rPr>
            </w:pPr>
            <w:r w:rsidRPr="00125249">
              <w:rPr>
                <w:rFonts w:ascii="Times New Roman" w:eastAsia="Times New Roman" w:hAnsi="Times New Roman" w:cs="Times New Roman"/>
                <w:b/>
                <w:bCs/>
                <w:iCs/>
                <w:sz w:val="24"/>
                <w:szCs w:val="24"/>
              </w:rPr>
              <w:t>Switching values</w:t>
            </w:r>
          </w:p>
          <w:p w:rsidR="002066BE" w:rsidRPr="00125249" w:rsidRDefault="002066BE" w:rsidP="002066BE">
            <w:pPr>
              <w:shd w:val="clear" w:color="auto" w:fill="FFFFFF"/>
              <w:spacing w:after="360"/>
              <w:textAlignment w:val="baseline"/>
              <w:rPr>
                <w:rFonts w:ascii="Times New Roman" w:eastAsia="Times New Roman" w:hAnsi="Times New Roman" w:cs="Times New Roman"/>
                <w:sz w:val="24"/>
                <w:szCs w:val="24"/>
              </w:rPr>
            </w:pPr>
            <w:r w:rsidRPr="00125249">
              <w:rPr>
                <w:rFonts w:ascii="Times New Roman" w:eastAsia="Times New Roman" w:hAnsi="Times New Roman" w:cs="Times New Roman"/>
                <w:sz w:val="24"/>
                <w:szCs w:val="24"/>
              </w:rPr>
              <w:t>This process of substituting new values on a variable-by-variable basis can be referred to as the calculation of switching values. These can provide interesting insights such as what change(s) would make the NPV equal zero or alternatively, by how much must costs or benefits fall or rise, respectively, in order to make a project worthwhile. The switching value is usually presented as a % i.e. a 20% increase in investment costs reduces project NPV to 0.</w:t>
            </w:r>
          </w:p>
          <w:p w:rsidR="002066BE" w:rsidRPr="00125249" w:rsidRDefault="002066BE" w:rsidP="002066BE">
            <w:pPr>
              <w:shd w:val="clear" w:color="auto" w:fill="FFFFFF"/>
              <w:spacing w:after="360"/>
              <w:textAlignment w:val="baseline"/>
              <w:rPr>
                <w:rFonts w:ascii="Times New Roman" w:eastAsia="Times New Roman" w:hAnsi="Times New Roman" w:cs="Times New Roman"/>
                <w:sz w:val="24"/>
                <w:szCs w:val="24"/>
              </w:rPr>
            </w:pPr>
            <w:r w:rsidRPr="00125249">
              <w:rPr>
                <w:rFonts w:ascii="Times New Roman" w:eastAsia="Times New Roman" w:hAnsi="Times New Roman" w:cs="Times New Roman"/>
                <w:sz w:val="24"/>
                <w:szCs w:val="24"/>
              </w:rPr>
              <w:t>This is very useful information and should be afforded a prominent place in any decision-making process. Moreover, given the importance of this information the switching values chosen should be carefully considered and should be realistic and justifiable. For example, for capital projects requiring an Exchequer commitment over the medium to long-term, operating and maintenance costs should always be examined. Similarly, any project reliant upon user charges should always examine the impact of changes in volumes and the level of charges.</w:t>
            </w:r>
          </w:p>
          <w:p w:rsidR="002066BE" w:rsidRPr="00125249" w:rsidRDefault="002066BE" w:rsidP="002066BE">
            <w:pPr>
              <w:shd w:val="clear" w:color="auto" w:fill="FFFFFF"/>
              <w:spacing w:after="360"/>
              <w:textAlignment w:val="baseline"/>
              <w:rPr>
                <w:rFonts w:ascii="Times New Roman" w:eastAsia="Times New Roman" w:hAnsi="Times New Roman" w:cs="Times New Roman"/>
                <w:sz w:val="24"/>
                <w:szCs w:val="24"/>
              </w:rPr>
            </w:pPr>
            <w:r w:rsidRPr="00125249">
              <w:rPr>
                <w:rFonts w:ascii="Times New Roman" w:eastAsia="Times New Roman" w:hAnsi="Times New Roman" w:cs="Times New Roman"/>
                <w:sz w:val="24"/>
                <w:szCs w:val="24"/>
              </w:rPr>
              <w:t>Finally, the European Commission have suggested that when undertaking a sensitivity analysis a useful determinant of the most critical variables is those for which a 1 per cent variation (+/-) produces a corresponding variation of 5 per cent or more in the NPV.</w:t>
            </w:r>
          </w:p>
          <w:p w:rsidR="002066BE" w:rsidRPr="00125249" w:rsidRDefault="002066BE" w:rsidP="002066BE">
            <w:pPr>
              <w:shd w:val="clear" w:color="auto" w:fill="FFFFFF"/>
              <w:textAlignment w:val="baseline"/>
              <w:rPr>
                <w:rFonts w:ascii="Times New Roman" w:eastAsia="Times New Roman" w:hAnsi="Times New Roman" w:cs="Times New Roman"/>
                <w:sz w:val="24"/>
                <w:szCs w:val="24"/>
              </w:rPr>
            </w:pPr>
            <w:r w:rsidRPr="00125249">
              <w:rPr>
                <w:rFonts w:ascii="Times New Roman" w:eastAsia="Times New Roman" w:hAnsi="Times New Roman" w:cs="Times New Roman"/>
                <w:b/>
                <w:bCs/>
                <w:iCs/>
                <w:sz w:val="24"/>
                <w:szCs w:val="24"/>
              </w:rPr>
              <w:t>Distributional Analysis</w:t>
            </w:r>
            <w:r w:rsidRPr="00125249">
              <w:rPr>
                <w:rFonts w:ascii="Times New Roman" w:eastAsia="Times New Roman" w:hAnsi="Times New Roman" w:cs="Times New Roman"/>
                <w:sz w:val="24"/>
                <w:szCs w:val="24"/>
              </w:rPr>
              <w:t> The calculation of NPV’s makes no allowance for the distribution of costs and benefits among members of society. This is an important drawback if the intended objectives of a program me/project aimed at specific income groups. Differential impact may arise because of income, gender, ethnicity, age, geographical location or disability and any distributional effects should be explicit and quantified where appropriate. A common approach to take account of distributional issues is to divide the relevant population into different income groups and analyze the impact of the program me/project on these groups. Weights can be attached to the different groups to reflect Government policy. Carrying out a distributional analysis can be a difficult task because costs and benefits are redistributed in unintended ways.</w:t>
            </w:r>
          </w:p>
          <w:p w:rsidR="002066BE" w:rsidRPr="00125249" w:rsidRDefault="002066BE" w:rsidP="002066BE">
            <w:pPr>
              <w:shd w:val="clear" w:color="auto" w:fill="FFFFFF"/>
              <w:textAlignment w:val="baseline"/>
              <w:rPr>
                <w:rFonts w:ascii="Times New Roman" w:eastAsia="Times New Roman" w:hAnsi="Times New Roman" w:cs="Times New Roman"/>
                <w:sz w:val="24"/>
                <w:szCs w:val="24"/>
              </w:rPr>
            </w:pPr>
          </w:p>
          <w:p w:rsidR="002066BE" w:rsidRDefault="002066BE" w:rsidP="002066BE">
            <w:pPr>
              <w:shd w:val="clear" w:color="auto" w:fill="FFFFFF"/>
              <w:textAlignment w:val="baseline"/>
              <w:rPr>
                <w:rFonts w:ascii="Times New Roman" w:eastAsia="Times New Roman" w:hAnsi="Times New Roman" w:cs="Times New Roman"/>
                <w:sz w:val="24"/>
                <w:szCs w:val="24"/>
              </w:rPr>
            </w:pPr>
          </w:p>
          <w:p w:rsidR="002066BE" w:rsidRDefault="002066BE" w:rsidP="002066BE">
            <w:pPr>
              <w:shd w:val="clear" w:color="auto" w:fill="FFFFFF"/>
              <w:textAlignment w:val="baseline"/>
              <w:rPr>
                <w:rFonts w:ascii="Times New Roman" w:eastAsia="Times New Roman" w:hAnsi="Times New Roman" w:cs="Times New Roman"/>
                <w:sz w:val="24"/>
                <w:szCs w:val="24"/>
              </w:rPr>
            </w:pPr>
          </w:p>
          <w:p w:rsidR="002066BE" w:rsidRDefault="002066BE" w:rsidP="002066BE">
            <w:pPr>
              <w:shd w:val="clear" w:color="auto" w:fill="FFFFFF"/>
              <w:textAlignment w:val="baseline"/>
              <w:rPr>
                <w:rFonts w:ascii="Times New Roman" w:eastAsia="Times New Roman" w:hAnsi="Times New Roman" w:cs="Times New Roman"/>
                <w:sz w:val="24"/>
                <w:szCs w:val="24"/>
              </w:rPr>
            </w:pPr>
          </w:p>
          <w:p w:rsidR="002066BE" w:rsidRPr="00125249" w:rsidRDefault="002066BE" w:rsidP="002066BE">
            <w:pPr>
              <w:shd w:val="clear" w:color="auto" w:fill="FFFFFF"/>
              <w:textAlignment w:val="baseline"/>
              <w:rPr>
                <w:rFonts w:ascii="Times New Roman" w:eastAsia="Times New Roman" w:hAnsi="Times New Roman" w:cs="Times New Roman"/>
                <w:sz w:val="24"/>
                <w:szCs w:val="24"/>
              </w:rPr>
            </w:pPr>
          </w:p>
          <w:p w:rsidR="002066BE" w:rsidRPr="00125249" w:rsidRDefault="002066BE" w:rsidP="002066BE">
            <w:pPr>
              <w:pStyle w:val="NormalWeb"/>
              <w:shd w:val="clear" w:color="auto" w:fill="FFFFFF"/>
              <w:spacing w:before="0" w:beforeAutospacing="0" w:after="45" w:afterAutospacing="0"/>
              <w:textAlignment w:val="baseline"/>
            </w:pPr>
            <w:proofErr w:type="gramStart"/>
            <w:r w:rsidRPr="00125249">
              <w:t>2 )</w:t>
            </w:r>
            <w:proofErr w:type="gramEnd"/>
            <w:r w:rsidRPr="00125249">
              <w:t xml:space="preserve"> </w:t>
            </w:r>
            <w:r w:rsidRPr="00125249">
              <w:tab/>
              <w:t>To survive, a business must generate a positive cash flow, meaning that long-term cash outflows must be less than long-term cash inflows. Users rely on financial statements regarding cash flows to assess the ability of an organization to generate cash and cash equivalents to evaluate the company’s liquidity. The CFS also highlights the requirements of the organization to use those cash flows, which help indicate the organization’s solvency or ability to meet long-term expenses and to accomplish long-term expansion. The cash outflows may also signal financial flexibility that, in turn, suggests fewer restrictions may affect financing and investment decisions. Such information enables investors to predict dividends or interest the company will distribute. It also enables investors to evaluate the potential risk of an investment in or a business relationship with the company. In turn, management relies on the cash flow statement to predict future cash flow, which they use to budget for future operations.</w:t>
            </w:r>
          </w:p>
          <w:p w:rsidR="002066BE" w:rsidRPr="00125249" w:rsidRDefault="002066BE" w:rsidP="002066BE">
            <w:pPr>
              <w:pStyle w:val="NormalWeb"/>
              <w:shd w:val="clear" w:color="auto" w:fill="FFFFFF"/>
              <w:spacing w:before="0" w:beforeAutospacing="0" w:after="45" w:afterAutospacing="0"/>
              <w:textAlignment w:val="baseline"/>
            </w:pPr>
          </w:p>
          <w:p w:rsidR="002066BE" w:rsidRPr="00125249" w:rsidRDefault="002066BE" w:rsidP="002066BE">
            <w:pPr>
              <w:shd w:val="clear" w:color="auto" w:fill="FFFFFF"/>
              <w:textAlignment w:val="baseline"/>
              <w:outlineLvl w:val="1"/>
              <w:rPr>
                <w:rFonts w:ascii="Times New Roman" w:eastAsia="Times New Roman" w:hAnsi="Times New Roman" w:cs="Times New Roman"/>
                <w:b/>
                <w:sz w:val="24"/>
                <w:szCs w:val="24"/>
              </w:rPr>
            </w:pPr>
            <w:r w:rsidRPr="00125249">
              <w:rPr>
                <w:rFonts w:ascii="Times New Roman" w:eastAsia="Times New Roman" w:hAnsi="Times New Roman" w:cs="Times New Roman"/>
                <w:b/>
                <w:sz w:val="24"/>
                <w:szCs w:val="24"/>
              </w:rPr>
              <w:t>Statement of Cash Flows</w:t>
            </w:r>
          </w:p>
          <w:p w:rsidR="002066BE" w:rsidRPr="00125249" w:rsidRDefault="002066BE" w:rsidP="002066BE">
            <w:pPr>
              <w:shd w:val="clear" w:color="auto" w:fill="FFFFFF"/>
              <w:spacing w:after="45"/>
              <w:textAlignment w:val="baseline"/>
              <w:rPr>
                <w:rFonts w:ascii="Times New Roman" w:eastAsia="Times New Roman" w:hAnsi="Times New Roman" w:cs="Times New Roman"/>
                <w:sz w:val="24"/>
                <w:szCs w:val="24"/>
              </w:rPr>
            </w:pPr>
            <w:r w:rsidRPr="00125249">
              <w:rPr>
                <w:rFonts w:ascii="Times New Roman" w:eastAsia="Times New Roman" w:hAnsi="Times New Roman" w:cs="Times New Roman"/>
                <w:sz w:val="24"/>
                <w:szCs w:val="24"/>
              </w:rPr>
              <w:t>Companies unable to generate sufficient cash to cover operating costs and debt service payments file bankruptcy. The success of a business depends on generating cash flows. As a result, Generally Accepted Accounting Principles require the creation of a statement of cash flows which documents both the sources and uses of cash during an accounting period, and thus the impact of a firm’s investing, financing and operating activities.</w:t>
            </w:r>
          </w:p>
          <w:p w:rsidR="002066BE" w:rsidRPr="00125249" w:rsidRDefault="002066BE" w:rsidP="002066BE">
            <w:pPr>
              <w:shd w:val="clear" w:color="auto" w:fill="FFFFFF"/>
              <w:spacing w:after="45"/>
              <w:textAlignment w:val="baseline"/>
              <w:rPr>
                <w:rFonts w:ascii="Times New Roman" w:eastAsia="Times New Roman" w:hAnsi="Times New Roman" w:cs="Times New Roman"/>
                <w:sz w:val="24"/>
                <w:szCs w:val="24"/>
              </w:rPr>
            </w:pPr>
          </w:p>
          <w:p w:rsidR="002066BE" w:rsidRPr="00125249" w:rsidRDefault="002066BE" w:rsidP="002066BE">
            <w:pPr>
              <w:shd w:val="clear" w:color="auto" w:fill="FFFFFF"/>
              <w:textAlignment w:val="baseline"/>
              <w:outlineLvl w:val="1"/>
              <w:rPr>
                <w:rFonts w:ascii="Times New Roman" w:eastAsia="Times New Roman" w:hAnsi="Times New Roman" w:cs="Times New Roman"/>
                <w:b/>
                <w:sz w:val="24"/>
                <w:szCs w:val="24"/>
              </w:rPr>
            </w:pPr>
            <w:r w:rsidRPr="00125249">
              <w:rPr>
                <w:rFonts w:ascii="Times New Roman" w:eastAsia="Times New Roman" w:hAnsi="Times New Roman" w:cs="Times New Roman"/>
                <w:b/>
                <w:sz w:val="24"/>
                <w:szCs w:val="24"/>
              </w:rPr>
              <w:t>Cash Inflows</w:t>
            </w:r>
          </w:p>
          <w:p w:rsidR="002066BE" w:rsidRPr="00125249" w:rsidRDefault="002066BE" w:rsidP="002066BE">
            <w:pPr>
              <w:shd w:val="clear" w:color="auto" w:fill="FFFFFF"/>
              <w:spacing w:after="45"/>
              <w:textAlignment w:val="baseline"/>
              <w:rPr>
                <w:rFonts w:ascii="Times New Roman" w:eastAsia="Times New Roman" w:hAnsi="Times New Roman" w:cs="Times New Roman"/>
                <w:sz w:val="24"/>
                <w:szCs w:val="24"/>
              </w:rPr>
            </w:pPr>
            <w:r w:rsidRPr="00125249">
              <w:rPr>
                <w:rFonts w:ascii="Times New Roman" w:eastAsia="Times New Roman" w:hAnsi="Times New Roman" w:cs="Times New Roman"/>
                <w:sz w:val="24"/>
                <w:szCs w:val="24"/>
              </w:rPr>
              <w:t>Cash inflows include the transfer of funds to a company from another party as a result of core operations, investments or financing. Such cash inflows include payments to the company by customers and banks and the contribution of equity by investors who purchase the company’s stock or partial ownership in a company. Cash inflows also result from the sale of property, a plant or equipment as well as legal settlements. Such sources of cash also include loans, mortgages, and bonds.</w:t>
            </w:r>
          </w:p>
          <w:p w:rsidR="002066BE" w:rsidRPr="00125249" w:rsidRDefault="002066BE" w:rsidP="002066BE">
            <w:pPr>
              <w:shd w:val="clear" w:color="auto" w:fill="FFFFFF"/>
              <w:spacing w:after="45"/>
              <w:textAlignment w:val="baseline"/>
              <w:rPr>
                <w:rFonts w:ascii="Times New Roman" w:eastAsia="Times New Roman" w:hAnsi="Times New Roman" w:cs="Times New Roman"/>
                <w:sz w:val="24"/>
                <w:szCs w:val="24"/>
              </w:rPr>
            </w:pPr>
          </w:p>
          <w:p w:rsidR="002066BE" w:rsidRPr="00125249" w:rsidRDefault="002066BE" w:rsidP="002066BE">
            <w:pPr>
              <w:shd w:val="clear" w:color="auto" w:fill="FFFFFF"/>
              <w:textAlignment w:val="baseline"/>
              <w:outlineLvl w:val="1"/>
              <w:rPr>
                <w:rFonts w:ascii="Times New Roman" w:eastAsia="Times New Roman" w:hAnsi="Times New Roman" w:cs="Times New Roman"/>
                <w:b/>
                <w:sz w:val="24"/>
                <w:szCs w:val="24"/>
              </w:rPr>
            </w:pPr>
            <w:r w:rsidRPr="00125249">
              <w:rPr>
                <w:rFonts w:ascii="Times New Roman" w:eastAsia="Times New Roman" w:hAnsi="Times New Roman" w:cs="Times New Roman"/>
                <w:b/>
                <w:sz w:val="24"/>
                <w:szCs w:val="24"/>
              </w:rPr>
              <w:t>Cash Outflows</w:t>
            </w:r>
          </w:p>
          <w:p w:rsidR="002066BE" w:rsidRPr="00125249" w:rsidRDefault="002066BE" w:rsidP="002066BE">
            <w:pPr>
              <w:shd w:val="clear" w:color="auto" w:fill="FFFFFF"/>
              <w:spacing w:after="45"/>
              <w:textAlignment w:val="baseline"/>
              <w:rPr>
                <w:rFonts w:ascii="Times New Roman" w:eastAsia="Times New Roman" w:hAnsi="Times New Roman" w:cs="Times New Roman"/>
                <w:sz w:val="24"/>
                <w:szCs w:val="24"/>
              </w:rPr>
            </w:pPr>
            <w:r w:rsidRPr="00125249">
              <w:rPr>
                <w:rFonts w:ascii="Times New Roman" w:eastAsia="Times New Roman" w:hAnsi="Times New Roman" w:cs="Times New Roman"/>
                <w:sz w:val="24"/>
                <w:szCs w:val="24"/>
              </w:rPr>
              <w:t>Cash outflows include the transfer of funds by a company to another party. Such cash outflows include payments to business partners including employees, suppliers or creditors. Cash outflows also occur when long-term assets are acquired, investments are purchased, or settlements and expenses are paid. The redemption of stock and the payment of cash dividends also result in the outflow of cash.</w:t>
            </w:r>
          </w:p>
          <w:p w:rsidR="002066BE" w:rsidRPr="00125249" w:rsidRDefault="002066BE" w:rsidP="002066BE">
            <w:pPr>
              <w:shd w:val="clear" w:color="auto" w:fill="FFFFFF"/>
              <w:textAlignment w:val="baseline"/>
              <w:rPr>
                <w:rFonts w:ascii="Times New Roman" w:eastAsia="Times New Roman" w:hAnsi="Times New Roman" w:cs="Times New Roman"/>
                <w:sz w:val="24"/>
                <w:szCs w:val="24"/>
              </w:rPr>
            </w:pPr>
            <w:r w:rsidRPr="00125249">
              <w:rPr>
                <w:rFonts w:ascii="Times New Roman" w:eastAsia="Times New Roman" w:hAnsi="Times New Roman" w:cs="Times New Roman"/>
                <w:sz w:val="24"/>
                <w:szCs w:val="24"/>
              </w:rPr>
              <w:tab/>
            </w:r>
          </w:p>
          <w:p w:rsidR="002066BE" w:rsidRPr="00125249" w:rsidRDefault="002066BE" w:rsidP="002066BE">
            <w:pPr>
              <w:shd w:val="clear" w:color="auto" w:fill="FFFFFF"/>
              <w:textAlignment w:val="baseline"/>
              <w:rPr>
                <w:rFonts w:ascii="Times New Roman" w:eastAsia="Times New Roman" w:hAnsi="Times New Roman" w:cs="Times New Roman"/>
                <w:sz w:val="24"/>
                <w:szCs w:val="24"/>
              </w:rPr>
            </w:pPr>
          </w:p>
          <w:p w:rsidR="002066BE" w:rsidRPr="00125249" w:rsidRDefault="002066BE" w:rsidP="002066BE">
            <w:pPr>
              <w:shd w:val="clear" w:color="auto" w:fill="FFFFFF"/>
              <w:textAlignment w:val="baseline"/>
              <w:rPr>
                <w:rFonts w:ascii="Times New Roman" w:eastAsia="Times New Roman" w:hAnsi="Times New Roman" w:cs="Times New Roman"/>
                <w:sz w:val="24"/>
                <w:szCs w:val="24"/>
              </w:rPr>
            </w:pPr>
          </w:p>
          <w:p w:rsidR="002066BE" w:rsidRPr="00125249" w:rsidRDefault="002066BE" w:rsidP="002066BE">
            <w:pPr>
              <w:shd w:val="clear" w:color="auto" w:fill="FFFFFF"/>
              <w:textAlignment w:val="baseline"/>
              <w:rPr>
                <w:rFonts w:ascii="Times New Roman" w:eastAsia="Times New Roman" w:hAnsi="Times New Roman" w:cs="Times New Roman"/>
                <w:sz w:val="24"/>
                <w:szCs w:val="24"/>
              </w:rPr>
            </w:pPr>
          </w:p>
          <w:p w:rsidR="002066BE" w:rsidRPr="00125249" w:rsidRDefault="002066BE" w:rsidP="002066BE">
            <w:pPr>
              <w:rPr>
                <w:rFonts w:ascii="Times New Roman" w:eastAsia="Times New Roman" w:hAnsi="Times New Roman" w:cs="Times New Roman"/>
                <w:sz w:val="24"/>
                <w:szCs w:val="24"/>
              </w:rPr>
            </w:pPr>
            <w:r w:rsidRPr="00125249">
              <w:rPr>
                <w:rFonts w:ascii="Times New Roman" w:eastAsia="Times New Roman" w:hAnsi="Times New Roman" w:cs="Times New Roman"/>
                <w:sz w:val="24"/>
                <w:szCs w:val="24"/>
                <w:shd w:val="clear" w:color="auto" w:fill="FFFFFF"/>
              </w:rPr>
              <w:t> </w:t>
            </w:r>
          </w:p>
          <w:p w:rsidR="002066BE" w:rsidRPr="00125249" w:rsidRDefault="002066BE" w:rsidP="002066BE">
            <w:pPr>
              <w:rPr>
                <w:rFonts w:ascii="Times New Roman" w:eastAsia="Times New Roman" w:hAnsi="Times New Roman" w:cs="Times New Roman"/>
                <w:sz w:val="24"/>
                <w:szCs w:val="24"/>
              </w:rPr>
            </w:pPr>
            <w:r w:rsidRPr="00125249">
              <w:rPr>
                <w:rFonts w:ascii="Times New Roman" w:hAnsi="Times New Roman" w:cs="Times New Roman"/>
                <w:sz w:val="24"/>
                <w:szCs w:val="24"/>
              </w:rPr>
              <w:br/>
            </w:r>
            <w:r w:rsidRPr="00125249">
              <w:rPr>
                <w:rFonts w:ascii="Times New Roman" w:eastAsia="Times New Roman" w:hAnsi="Times New Roman" w:cs="Times New Roman"/>
                <w:sz w:val="24"/>
                <w:szCs w:val="24"/>
                <w:shd w:val="clear" w:color="auto" w:fill="FFFFFF"/>
              </w:rPr>
              <w:t> </w:t>
            </w:r>
          </w:p>
          <w:p w:rsidR="002066BE" w:rsidRPr="00125249" w:rsidRDefault="002066BE" w:rsidP="002066BE">
            <w:pPr>
              <w:rPr>
                <w:rFonts w:ascii="Times New Roman" w:eastAsia="Times New Roman" w:hAnsi="Times New Roman" w:cs="Times New Roman"/>
                <w:sz w:val="24"/>
                <w:szCs w:val="24"/>
              </w:rPr>
            </w:pPr>
            <w:r w:rsidRPr="00125249">
              <w:rPr>
                <w:rFonts w:ascii="Times New Roman" w:eastAsia="Times New Roman" w:hAnsi="Times New Roman" w:cs="Times New Roman"/>
                <w:sz w:val="24"/>
                <w:szCs w:val="24"/>
                <w:shd w:val="clear" w:color="auto" w:fill="FFFFFF"/>
              </w:rPr>
              <w:t> </w:t>
            </w:r>
          </w:p>
          <w:p w:rsidR="002066BE" w:rsidRPr="00125249" w:rsidRDefault="002066BE" w:rsidP="002066BE">
            <w:pPr>
              <w:shd w:val="clear" w:color="auto" w:fill="FFFFFF"/>
              <w:rPr>
                <w:rFonts w:ascii="Times New Roman" w:eastAsia="Times New Roman" w:hAnsi="Times New Roman" w:cs="Times New Roman"/>
                <w:sz w:val="24"/>
                <w:szCs w:val="24"/>
              </w:rPr>
            </w:pPr>
          </w:p>
          <w:p w:rsidR="002066BE" w:rsidRPr="00125249" w:rsidRDefault="002066BE" w:rsidP="002066BE">
            <w:pPr>
              <w:pStyle w:val="NormalWeb"/>
              <w:shd w:val="clear" w:color="auto" w:fill="FFFFFF"/>
              <w:spacing w:before="0" w:beforeAutospacing="0" w:after="0" w:afterAutospacing="0" w:line="360" w:lineRule="auto"/>
              <w:jc w:val="both"/>
            </w:pPr>
          </w:p>
          <w:p w:rsidR="002066BE" w:rsidRPr="00125249" w:rsidRDefault="002066BE" w:rsidP="002066BE">
            <w:pPr>
              <w:spacing w:line="360" w:lineRule="auto"/>
              <w:jc w:val="both"/>
              <w:rPr>
                <w:rFonts w:ascii="Times New Roman" w:hAnsi="Times New Roman" w:cs="Times New Roman"/>
                <w:sz w:val="24"/>
                <w:szCs w:val="24"/>
              </w:rPr>
            </w:pPr>
          </w:p>
          <w:p w:rsidR="006D0F67" w:rsidRPr="00FA1077" w:rsidRDefault="006D0F67" w:rsidP="006D0F67">
            <w:pPr>
              <w:jc w:val="both"/>
              <w:rPr>
                <w:rFonts w:ascii="Times New Roman" w:hAnsi="Times New Roman" w:cs="Times New Roman"/>
                <w:b/>
                <w:sz w:val="24"/>
                <w:szCs w:val="24"/>
              </w:rPr>
            </w:pPr>
          </w:p>
          <w:p w:rsidR="006D0F67" w:rsidRPr="00FA1077" w:rsidRDefault="006D0F67" w:rsidP="006D0F67">
            <w:pPr>
              <w:jc w:val="both"/>
              <w:rPr>
                <w:rFonts w:ascii="Times New Roman" w:hAnsi="Times New Roman" w:cs="Times New Roman"/>
                <w:b/>
                <w:sz w:val="24"/>
                <w:szCs w:val="24"/>
              </w:rPr>
            </w:pPr>
          </w:p>
          <w:p w:rsidR="006D0F67" w:rsidRPr="00FA1077" w:rsidRDefault="006D0F67" w:rsidP="006D0F67">
            <w:pPr>
              <w:jc w:val="both"/>
              <w:rPr>
                <w:rFonts w:ascii="Times New Roman" w:hAnsi="Times New Roman" w:cs="Times New Roman"/>
                <w:b/>
                <w:sz w:val="24"/>
                <w:szCs w:val="24"/>
              </w:rPr>
            </w:pPr>
          </w:p>
          <w:p w:rsidR="006D0F67" w:rsidRPr="00FA1077" w:rsidRDefault="006D0F67" w:rsidP="006D0F67">
            <w:pPr>
              <w:jc w:val="both"/>
              <w:rPr>
                <w:rFonts w:ascii="Times New Roman" w:hAnsi="Times New Roman" w:cs="Times New Roman"/>
                <w:b/>
                <w:sz w:val="24"/>
                <w:szCs w:val="24"/>
              </w:rPr>
            </w:pPr>
          </w:p>
          <w:p w:rsidR="006D0F67" w:rsidRPr="00FA1077" w:rsidRDefault="006D0F67" w:rsidP="006D0F67">
            <w:pPr>
              <w:jc w:val="both"/>
              <w:rPr>
                <w:rFonts w:ascii="Times New Roman" w:hAnsi="Times New Roman" w:cs="Times New Roman"/>
                <w:b/>
                <w:sz w:val="24"/>
                <w:szCs w:val="24"/>
              </w:rPr>
            </w:pPr>
          </w:p>
          <w:p w:rsidR="006D0F67" w:rsidRPr="00FA1077" w:rsidRDefault="006D0F67" w:rsidP="006D0F67">
            <w:pPr>
              <w:jc w:val="both"/>
              <w:rPr>
                <w:rFonts w:ascii="Times New Roman" w:hAnsi="Times New Roman" w:cs="Times New Roman"/>
                <w:b/>
                <w:sz w:val="24"/>
                <w:szCs w:val="24"/>
              </w:rPr>
            </w:pPr>
          </w:p>
          <w:p w:rsidR="006D0F67" w:rsidRPr="00FA1077" w:rsidRDefault="006D0F67" w:rsidP="006D0F67">
            <w:pPr>
              <w:jc w:val="both"/>
              <w:rPr>
                <w:rFonts w:ascii="Times New Roman" w:hAnsi="Times New Roman" w:cs="Times New Roman"/>
                <w:b/>
                <w:sz w:val="24"/>
                <w:szCs w:val="24"/>
              </w:rPr>
            </w:pPr>
          </w:p>
          <w:p w:rsidR="006D0F67" w:rsidRPr="00FA1077" w:rsidRDefault="006D0F67" w:rsidP="006D0F67">
            <w:pPr>
              <w:jc w:val="both"/>
              <w:rPr>
                <w:rFonts w:ascii="Times New Roman" w:hAnsi="Times New Roman" w:cs="Times New Roman"/>
                <w:sz w:val="24"/>
                <w:szCs w:val="24"/>
              </w:rPr>
            </w:pPr>
          </w:p>
          <w:p w:rsidR="00CC2FB3" w:rsidRDefault="00CC2FB3" w:rsidP="006D0F67">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6D0F67" w:rsidRDefault="006D0F67" w:rsidP="006D0F67">
            <w:pPr>
              <w:pStyle w:val="ListParagraph"/>
              <w:numPr>
                <w:ilvl w:val="0"/>
                <w:numId w:val="3"/>
              </w:numPr>
              <w:rPr>
                <w:rFonts w:cs="Bliss-Regular"/>
                <w:color w:val="000000"/>
              </w:rPr>
            </w:pPr>
            <w:proofErr w:type="spellStart"/>
            <w:r>
              <w:rPr>
                <w:rFonts w:cs="Bliss-Regular"/>
                <w:color w:val="000000"/>
              </w:rPr>
              <w:t>lebitla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066BE" w:rsidP="00A851DA">
            <w:pPr>
              <w:rPr>
                <w:rFonts w:cs="Bliss-Regular"/>
                <w:color w:val="000000"/>
              </w:rPr>
            </w:pPr>
            <w:r>
              <w:rPr>
                <w:rFonts w:cs="Bliss-Regular"/>
                <w:color w:val="000000"/>
              </w:rPr>
              <w:t>04</w:t>
            </w:r>
            <w:r w:rsidR="003F52BE">
              <w:rPr>
                <w:rFonts w:cs="Bliss-Regular"/>
                <w:color w:val="000000"/>
              </w:rPr>
              <w:t xml:space="preserve"> </w:t>
            </w:r>
            <w:r w:rsidR="006D0F67">
              <w:rPr>
                <w:rFonts w:cs="Bliss-Regular"/>
                <w:color w:val="000000"/>
              </w:rPr>
              <w:t xml:space="preserve"> </w:t>
            </w:r>
            <w:r>
              <w:rPr>
                <w:rFonts w:cs="Bliss-Regular"/>
                <w:color w:val="000000"/>
              </w:rPr>
              <w:t>October</w:t>
            </w:r>
            <w:r w:rsidR="003F52BE">
              <w:rPr>
                <w:rFonts w:cs="Bliss-Regular"/>
                <w:color w:val="000000"/>
              </w:rPr>
              <w:t xml:space="preserve">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3029" w:rsidRDefault="00C53029" w:rsidP="00CB4D0A">
      <w:pPr>
        <w:spacing w:after="0" w:line="240" w:lineRule="auto"/>
      </w:pPr>
      <w:r>
        <w:separator/>
      </w:r>
    </w:p>
  </w:endnote>
  <w:endnote w:type="continuationSeparator" w:id="1">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3029" w:rsidRDefault="00C53029" w:rsidP="00CB4D0A">
      <w:pPr>
        <w:spacing w:after="0" w:line="240" w:lineRule="auto"/>
      </w:pPr>
      <w:r>
        <w:separator/>
      </w:r>
    </w:p>
  </w:footnote>
  <w:footnote w:type="continuationSeparator" w:id="1">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8F1A36"/>
    <w:multiLevelType w:val="hybridMultilevel"/>
    <w:tmpl w:val="90D6F8E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6AB03C5"/>
    <w:multiLevelType w:val="hybridMultilevel"/>
    <w:tmpl w:val="274292E0"/>
    <w:lvl w:ilvl="0" w:tplc="968C17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48E3488"/>
    <w:multiLevelType w:val="multilevel"/>
    <w:tmpl w:val="1FD6DC2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4273">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6BE"/>
    <w:rsid w:val="00206B9D"/>
    <w:rsid w:val="0023259C"/>
    <w:rsid w:val="002B0BD7"/>
    <w:rsid w:val="002B573D"/>
    <w:rsid w:val="002C5CB2"/>
    <w:rsid w:val="002F779F"/>
    <w:rsid w:val="0036051A"/>
    <w:rsid w:val="00371885"/>
    <w:rsid w:val="003E2B87"/>
    <w:rsid w:val="003F52BE"/>
    <w:rsid w:val="00402786"/>
    <w:rsid w:val="00405895"/>
    <w:rsid w:val="004058DF"/>
    <w:rsid w:val="00430AC5"/>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D0F67"/>
    <w:rsid w:val="0070347F"/>
    <w:rsid w:val="0070678E"/>
    <w:rsid w:val="00831C11"/>
    <w:rsid w:val="008A60B4"/>
    <w:rsid w:val="008B3C31"/>
    <w:rsid w:val="008B64FE"/>
    <w:rsid w:val="00935BF7"/>
    <w:rsid w:val="0095442C"/>
    <w:rsid w:val="00983942"/>
    <w:rsid w:val="009B3B46"/>
    <w:rsid w:val="009C37E0"/>
    <w:rsid w:val="009E41F4"/>
    <w:rsid w:val="00A14B66"/>
    <w:rsid w:val="00A155BB"/>
    <w:rsid w:val="00A53ED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C4BCD"/>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4273">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2066BE"/>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2116</Words>
  <Characters>12066</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agisanang</cp:lastModifiedBy>
  <cp:revision>3</cp:revision>
  <dcterms:created xsi:type="dcterms:W3CDTF">2016-10-05T03:44:00Z</dcterms:created>
  <dcterms:modified xsi:type="dcterms:W3CDTF">2016-10-05T03:46:00Z</dcterms:modified>
</cp:coreProperties>
</file>