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22"/>
        <w:gridCol w:w="6494"/>
      </w:tblGrid>
      <w:tr>
        <w:trPr>
          <w:trHeight w:val="1" w:hRule="atLeast"/>
          <w:jc w:val="left"/>
        </w:trPr>
        <w:tc>
          <w:tcPr>
            <w:tcW w:w="2522"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4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4"/>
                <w:shd w:fill="auto" w:val="clear"/>
              </w:rPr>
              <w:t xml:space="preserve">MR ARJUN KUMAR KATUWAL</w:t>
            </w:r>
          </w:p>
        </w:tc>
      </w:tr>
      <w:tr>
        <w:trPr>
          <w:trHeight w:val="1" w:hRule="atLeast"/>
          <w:jc w:val="left"/>
        </w:trPr>
        <w:tc>
          <w:tcPr>
            <w:tcW w:w="2522"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4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4"/>
                <w:shd w:fill="auto" w:val="clear"/>
              </w:rPr>
              <w:t xml:space="preserve">1461</w:t>
            </w:r>
          </w:p>
        </w:tc>
      </w:tr>
      <w:tr>
        <w:trPr>
          <w:trHeight w:val="1" w:hRule="atLeast"/>
          <w:jc w:val="left"/>
        </w:trPr>
        <w:tc>
          <w:tcPr>
            <w:tcW w:w="2522"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4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4"/>
                <w:shd w:fill="auto" w:val="clear"/>
              </w:rPr>
              <w:t xml:space="preserve">Diploma in Forensic Accounting</w:t>
            </w:r>
          </w:p>
        </w:tc>
      </w:tr>
      <w:tr>
        <w:trPr>
          <w:trHeight w:val="1" w:hRule="atLeast"/>
          <w:jc w:val="left"/>
        </w:trPr>
        <w:tc>
          <w:tcPr>
            <w:tcW w:w="2522"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4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04</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016"/>
      </w:tblGrid>
      <w:tr>
        <w:trPr>
          <w:trHeight w:val="1" w:hRule="atLeast"/>
          <w:jc w:val="left"/>
        </w:trPr>
        <w:tc>
          <w:tcPr>
            <w:tcW w:w="90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b/>
                <w:color w:val="auto"/>
                <w:spacing w:val="0"/>
                <w:position w:val="0"/>
                <w:sz w:val="40"/>
                <w:u w:val="single"/>
                <w:shd w:fill="auto" w:val="clear"/>
              </w:rPr>
            </w:pPr>
            <w:r>
              <w:rPr>
                <w:rFonts w:ascii="Calibri" w:hAnsi="Calibri" w:cs="Calibri" w:eastAsia="Calibri"/>
                <w:b/>
                <w:color w:val="auto"/>
                <w:spacing w:val="0"/>
                <w:position w:val="0"/>
                <w:sz w:val="40"/>
                <w:u w:val="single"/>
                <w:shd w:fill="auto" w:val="clear"/>
              </w:rPr>
              <w:t xml:space="preserve">Fraud Detection Techniques :</w:t>
            </w:r>
          </w:p>
          <w:p>
            <w:pPr>
              <w:spacing w:before="0" w:after="0" w:line="240"/>
              <w:ind w:right="0" w:left="0" w:firstLine="0"/>
              <w:jc w:val="left"/>
              <w:rPr>
                <w:rFonts w:ascii="Calibri" w:hAnsi="Calibri" w:cs="Calibri" w:eastAsia="Calibri"/>
                <w:b/>
                <w:color w:val="auto"/>
                <w:spacing w:val="0"/>
                <w:position w:val="0"/>
                <w:sz w:val="40"/>
                <w:shd w:fill="auto" w:val="clear"/>
              </w:rPr>
            </w:pPr>
            <w:r>
              <w:rPr>
                <w:rFonts w:ascii="Calibri" w:hAnsi="Calibri" w:cs="Calibri" w:eastAsia="Calibri"/>
                <w:b/>
                <w:color w:val="auto"/>
                <w:spacing w:val="0"/>
                <w:position w:val="0"/>
                <w:sz w:val="40"/>
                <w:u w:val="single"/>
                <w:shd w:fill="auto" w:val="clear"/>
              </w:rPr>
              <w:t xml:space="preserve">ASSESSMENT: #4</w:t>
            </w:r>
          </w:p>
          <w:p>
            <w:pPr>
              <w:spacing w:before="0" w:after="0" w:line="240"/>
              <w:ind w:right="0" w:left="0" w:firstLine="0"/>
              <w:jc w:val="left"/>
              <w:rPr>
                <w:rFonts w:ascii="Arial Narrow" w:hAnsi="Arial Narrow" w:cs="Arial Narrow" w:eastAsia="Arial Narrow"/>
                <w:color w:val="auto"/>
                <w:spacing w:val="0"/>
                <w:position w:val="0"/>
                <w:sz w:val="22"/>
                <w:shd w:fill="auto" w:val="clear"/>
              </w:rPr>
            </w:pPr>
            <w:r>
              <w:rPr>
                <w:rFonts w:ascii="Calibri" w:hAnsi="Calibri" w:cs="Calibri" w:eastAsia="Calibri"/>
                <w:color w:val="auto"/>
                <w:spacing w:val="0"/>
                <w:position w:val="0"/>
                <w:sz w:val="40"/>
                <w:shd w:fill="auto" w:val="clear"/>
              </w:rPr>
              <w:t xml:space="preserve">Answers:</w:t>
            </w:r>
          </w:p>
          <w:p>
            <w:pPr>
              <w:spacing w:before="0" w:after="0" w:line="240"/>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Q. 1. Give short answers for the following questions: </w:t>
            </w:r>
          </w:p>
          <w:p>
            <w:pPr>
              <w:spacing w:before="0" w:after="0" w:line="240"/>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i. Explain the term ‘fraud risk factors.’</w:t>
            </w:r>
          </w:p>
          <w:p>
            <w:pPr>
              <w:spacing w:before="0" w:after="0" w:line="240"/>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Answer: </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Fraud risk factor means to identify high risk areas and different types of risk. Inherent risk, control risk and detection risks are called fraud risk factors. Three main categories of fraud risk factors are Management, Industry and Operating characteristics.</w:t>
            </w:r>
          </w:p>
          <w:p>
            <w:pPr>
              <w:spacing w:before="0" w:after="0" w:line="240"/>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Q. 1.ii. What control mechanisms could be adopted against corruption?</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Answer: Internal control system should be highly and strictly designed and implemented to control corruption. These are few main control mechanisms to be adopted against corruption:</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Transparency &amp; integrity in the bidding process involved in asset purchase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Frequent rotation of employees for procurement of assets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Using private fax machine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Establishing hot line to complain</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Strong policy on the total disclosure of conflicts of interest, receipt of gifts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Properly examine corrupt scheme i.e. overpay for goods and services, purchase of unwanted items, massive inventory written off etc.</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Analyze other warning signs: unusual cost, extravagant lifestyle of buyer, restricts competition, short notice for bid.</w:t>
            </w:r>
          </w:p>
          <w:p>
            <w:pPr>
              <w:spacing w:before="0" w:after="0" w:line="240"/>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Q.1. iii. Outline the main benefits of using analytic procedures in an audit process.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Answer: These are the main benefits of using analytic procedures in an audit process: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Preliminary analytical procedures help in providing an insight in to the company and and point out high risk areas.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Substantive analytical procedures help to evaluation of account balances and obtain audit evidence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Final analytic procedures carry out a final assessment of financial statements and access whether audit conclusion are correct or not.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Assessing going concern of entity</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Indicating errors in financial statements</w:t>
            </w:r>
          </w:p>
          <w:p>
            <w:pPr>
              <w:spacing w:before="0" w:after="0" w:line="240"/>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Q.1. iv. What are the common rationalisations for a fraudster, which tempt him to commit fraud?</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Answer:</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These are common rationalisations for a fraudster, which tempt him to commit fraud:</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Financial pressures: i.e. high level of debt, major bills and too much greedy</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Personal pressures: i.e. Gambling, or other addiction</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Work related pressures: i.e. feeling overworked, and under paid, passed over</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Trust: high level of trust with senior management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Weak internal control system</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Justification: Management is doing wrong, why not me??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Lack of ethics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Q.1.v. Outline the important points to be considered when evaluating fraud risk factors.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Answer:</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act of evaluating risk factors of fraud is a cumulative process, it involves in every steps of an audit. At every stage the auditors are being vigilant and alert to misstatements indicating frauds.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These are the following important points to be considered while evaluating fraud risk factors: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Inherent risk</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Control risk</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Detection risk</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Planning &amp; Risk assessments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Discuss with employees or with Management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Audit Test: control, substantive&amp; analytical testing</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Review of Audit</w:t>
            </w:r>
          </w:p>
          <w:p>
            <w:pPr>
              <w:spacing w:before="0" w:after="0" w:line="240"/>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Q.1.vi. Analytic procedures are used throughout the audit process for three primary purposes. What are they?</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Answer.</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They are nature, timing and extent of audit procedures.</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Q. 2. ‘Circumstances may exist that create opportunities for management or other staff to commit fraud’. Discuss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Answer:</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Yes, this statement is true. Circumstances that will help to plan or provide opportunity for a fraudster to commit fraud. Sometimes circumstances may also motivate a person who is not generally dishonest to deceive or commit fraud.</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Few factors that provide opportunities for fraud include weak or ineffective controls, poor lack of supervision &amp; division of duties and sometimes the nature and size of a business provides an inherent opportunity to fraudsters. If an organisation has poor internal control system then this circumstances will create an opportunity to fraudsters.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Few risk factors that provide opportunities include: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The level of supervision of senior level management.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The stability of organisation &amp; complexity of its structure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The organisational control environment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Breach of Trust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Poor internal controls</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Q.3. SAS 99 suggests that key sources for the identification of fraud risk factors are inquiries of Management,’ in this context which type of questions should an auditor ask the management?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Answer:</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key sources of identification of fraud risk factors are inquiries of Management, so an auditor must ask following questions: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Is the management aware of any financial misstatement or assets misappropriation?</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Is the management aware of alleged fraud?</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What are the risks of fraud in the organisation according to the management?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What specific areas, transaction or accounts has the management pointed out as being vulnerable to fraud and what are the reasons behind this fraud risk?</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What programme or internal control mechanism has the management put in place?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What are the management views on ethics and business morals?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Is that management’s behaviour consistent with these views?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How the company are operating locations and other business segments monitored?</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Q.4. Case Study:</w:t>
            </w:r>
          </w:p>
          <w:p>
            <w:pPr>
              <w:spacing w:before="0" w:after="0" w:line="240"/>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Q.4.i. What type of evidence do you think the expert would have gathered for his report?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Answer:</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As per given case, these are the main evidences would have gathered for report: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Interviews and statement given by a man (Cleaner).</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Sources of purchase of first property, income evidence, purchase documents and sale documents.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Sale deed/invoice of properties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Purchase deed &amp; invoice of properties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Statement of his portfolio</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Statement from his employer (Factory)</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Statement of his financial position</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Witnesses if possible</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Q.4.ii. Which documents could have helped the forensic expert in gathering evidence?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Answer:</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Documents relating to sources of funds used to buy properties and sale &amp; purchase of properties to create equity and portfolio. Also documents showing that how he had used equity created thorough legitimate purchase and sale of property to create portfolio.</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Purchase documents, sales documents and bank statement could help forensic expert in gathering documents.</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36"/>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271"/>
        <w:gridCol w:w="3913"/>
        <w:gridCol w:w="1256"/>
        <w:gridCol w:w="1576"/>
      </w:tblGrid>
      <w:tr>
        <w:trPr>
          <w:trHeight w:val="1" w:hRule="atLeast"/>
          <w:jc w:val="left"/>
        </w:trPr>
        <w:tc>
          <w:tcPr>
            <w:tcW w:w="227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391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5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5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523"/>
        <w:gridCol w:w="4493"/>
      </w:tblGrid>
      <w:tr>
        <w:trPr>
          <w:trHeight w:val="249" w:hRule="auto"/>
          <w:jc w:val="left"/>
        </w:trPr>
        <w:tc>
          <w:tcPr>
            <w:tcW w:w="4523"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4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523"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4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523"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4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