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14D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7078">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7078">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7078">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707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767078" w:rsidRDefault="00767078" w:rsidP="00A851DA">
            <w:pPr>
              <w:rPr>
                <w:rFonts w:ascii="Arial" w:hAnsi="Arial" w:cs="Arial"/>
                <w:b/>
                <w:sz w:val="24"/>
                <w:szCs w:val="24"/>
                <w:u w:val="single"/>
              </w:rPr>
            </w:pPr>
            <w:r w:rsidRPr="00767078">
              <w:rPr>
                <w:rFonts w:ascii="Arial" w:hAnsi="Arial" w:cs="Arial"/>
                <w:b/>
                <w:sz w:val="24"/>
                <w:szCs w:val="24"/>
                <w:u w:val="single"/>
              </w:rPr>
              <w:t>QUESTION 1</w:t>
            </w:r>
          </w:p>
          <w:p w:rsidR="00CC2FB3" w:rsidRDefault="00CC2FB3" w:rsidP="00A851DA">
            <w:pPr>
              <w:rPr>
                <w:b/>
              </w:rPr>
            </w:pPr>
          </w:p>
          <w:p w:rsidR="00CC2FB3" w:rsidRPr="006160B5" w:rsidRDefault="00D15AFE" w:rsidP="00A851DA">
            <w:r w:rsidRPr="009F7E6C">
              <w:t>i</w:t>
            </w:r>
            <w:r w:rsidRPr="00E10690">
              <w:t>)</w:t>
            </w:r>
            <w:r w:rsidR="00E10690" w:rsidRPr="00E10690">
              <w:t xml:space="preserve"> </w:t>
            </w:r>
            <w:r w:rsidR="006160B5" w:rsidRPr="00E10690">
              <w:rPr>
                <w:b/>
              </w:rPr>
              <w:t xml:space="preserve"> </w:t>
            </w:r>
            <w:r w:rsidR="006160B5" w:rsidRPr="00E10690">
              <w:rPr>
                <w:b/>
                <w:lang w:val="en-GB"/>
              </w:rPr>
              <w:t xml:space="preserve"> Policies and Procedures</w:t>
            </w:r>
            <w:r w:rsidR="006160B5" w:rsidRPr="006160B5">
              <w:rPr>
                <w:lang w:val="en-GB"/>
              </w:rPr>
              <w:t xml:space="preserve"> </w:t>
            </w:r>
            <w:r w:rsidR="00E10690">
              <w:rPr>
                <w:lang w:val="en-GB"/>
              </w:rPr>
              <w:t>.</w:t>
            </w:r>
            <w:r w:rsidR="006160B5" w:rsidRPr="006160B5">
              <w:rPr>
                <w:lang w:val="en-GB"/>
              </w:rPr>
              <w:t>The objectives and principles of an entity are its policies, while the organization’s actions taken to ensure that objectives are achieved are called procedures. Policies and procedures document all unethical actions and transactions and determine how violations should be treated. A sound fraud policy and procedures based on that policy contribute substantially to laying a firm foundation for an anti-fraud environment. All publically traded companies are required to have an ethics policy as per SOX, while</w:t>
            </w:r>
            <w:r w:rsidR="006160B5">
              <w:t xml:space="preserve"> companies without an ethics policy are required to state the reasons for its absence. Policies define entity objectives and principles, while procedures define actions taken by the entity to ensure that objectives are achieved. Policies and procedures document the actions and transactions determined to be unethical, as well as stating how violations will be treated. The company’s fraud policy is a source indicating the company’s fraud prevention measures, actions that have been taken to detect and respond to fraud, and the efficacy of the anti-fraud environment.</w:t>
            </w:r>
          </w:p>
          <w:p w:rsidR="00CC2FB3" w:rsidRDefault="00CC2FB3" w:rsidP="00A851DA"/>
          <w:p w:rsidR="009F7E6C" w:rsidRPr="006160B5" w:rsidRDefault="009F7E6C" w:rsidP="00A851DA">
            <w:r>
              <w:t>ii</w:t>
            </w:r>
            <w:r w:rsidR="00467A85">
              <w:t>) Perception of detection is one of the leading elements in fraud prevention. According to crime experts with years of experience in law enforcement and criminal justice, the perception of detection is the biggest deterrent to any kind of crime, including fraud. The fear of punishment, imprisonment, humiliation, and the loss of personal relationships are enough to make a potential fraudster think several times before committing fraud and evaluate whether it is worth all the risk or not. This technique for deterring fraud is more effective in financial fraud cases than in street crime because most white-collar criminals follow their own personal ethical codes. Therefore, increasing the perception of detection is the best, most cost-efficient way of minimizing the risk of fraud. Tactics for increasing the perception of detection include</w:t>
            </w:r>
            <w:r w:rsidR="001652D6">
              <w:t>.</w:t>
            </w:r>
          </w:p>
          <w:p w:rsidR="00CC2FB3" w:rsidRPr="001652D6" w:rsidRDefault="001652D6" w:rsidP="00A851DA">
            <w:r w:rsidRPr="001652D6">
              <w:rPr>
                <w:b/>
              </w:rPr>
              <w:t>.</w:t>
            </w:r>
            <w:r w:rsidRPr="008A7128">
              <w:rPr>
                <w:sz w:val="18"/>
              </w:rPr>
              <w:t>SURVEILLANCE</w:t>
            </w:r>
          </w:p>
          <w:p w:rsidR="00CC2FB3" w:rsidRPr="008A7128" w:rsidRDefault="008A7128" w:rsidP="00A851DA">
            <w:r>
              <w:rPr>
                <w:b/>
              </w:rPr>
              <w:t>.</w:t>
            </w:r>
            <w:r>
              <w:t>Anonymous tips</w:t>
            </w:r>
          </w:p>
          <w:p w:rsidR="00CC2FB3" w:rsidRPr="008A7128" w:rsidRDefault="008A7128" w:rsidP="00A851DA">
            <w:r>
              <w:rPr>
                <w:b/>
              </w:rPr>
              <w:t>.</w:t>
            </w:r>
            <w:r>
              <w:t>Surprise audits</w:t>
            </w:r>
          </w:p>
          <w:p w:rsidR="00CC2FB3" w:rsidRDefault="008A7128" w:rsidP="00A851DA">
            <w:r>
              <w:rPr>
                <w:b/>
              </w:rPr>
              <w:t>.</w:t>
            </w:r>
            <w:r>
              <w:t>Prosecution</w:t>
            </w:r>
          </w:p>
          <w:p w:rsidR="008A7128" w:rsidRPr="008A7128" w:rsidRDefault="008A7128" w:rsidP="00A851DA">
            <w:r w:rsidRPr="008A7128">
              <w:rPr>
                <w:b/>
              </w:rPr>
              <w:lastRenderedPageBreak/>
              <w:t>.</w:t>
            </w:r>
            <w:r>
              <w:t>Enforcement of ethnics and fraud policies</w:t>
            </w:r>
          </w:p>
          <w:p w:rsidR="00CC2FB3" w:rsidRDefault="008A7128" w:rsidP="00A851DA">
            <w:r>
              <w:rPr>
                <w:b/>
              </w:rPr>
              <w:t>.</w:t>
            </w:r>
            <w:r>
              <w:t>Catch me if you can</w:t>
            </w:r>
          </w:p>
          <w:p w:rsidR="008B524F" w:rsidRDefault="008B524F" w:rsidP="00A851DA"/>
          <w:p w:rsidR="008B524F" w:rsidRPr="008A7128" w:rsidRDefault="008B524F" w:rsidP="00A851DA"/>
          <w:p w:rsidR="00CC2FB3" w:rsidRDefault="00FC66FD" w:rsidP="00A851DA">
            <w:pPr>
              <w:rPr>
                <w:b/>
              </w:rPr>
            </w:pPr>
            <w:r>
              <w:t>iii)</w:t>
            </w:r>
            <w:r w:rsidR="001C3AAB">
              <w:t xml:space="preserve"> In major financial frauds of recent years, the internal audit function was not allowed to function to its full potential, as financial information was not analyzed and other kinds of frauds were investigated. The CEOs of those companies did all they could to prevent diligent auditors from investigating their scams. Only when an auditor came in late at night to examine financial records that the executives were not willing to provide were the fraud and the CEO involved in it exposed.</w:t>
            </w:r>
          </w:p>
          <w:p w:rsidR="00CC2FB3" w:rsidRDefault="003D0E6C" w:rsidP="00A851DA">
            <w:pPr>
              <w:rPr>
                <w:b/>
              </w:rPr>
            </w:pPr>
            <w:r>
              <w:t>In another instance, a small university newspaper office in the USA employed one accountant to perform all accounting functions while a retired accounting professor was responsible for performing regular audits of the office. One year, in April, the professor notified the university that he would be performing his final audit and that they should arrange for a new auditor or put their internal audit function into effect. The university did not have an internal audit function. The university VP received a call from the newspaper-printing vendor in mid-October. The university was informed that the company would not be printing the next issue of the newspaper, as they had not been paid in some time. Upon checking the accounting records, it was revealed that the accounting clerk had been stealing thousands of dollars. The theft had begun in May of that year, after the auditor had left. It was clear that the regular audits of the newspaper office served as a perception of detection and prevented the clerk from stealing. Once the threat of audit was removed, the clerk was able to rationalize the fraud.</w:t>
            </w:r>
          </w:p>
          <w:p w:rsidR="00CC2FB3" w:rsidRDefault="00CC2FB3" w:rsidP="00A851DA">
            <w:pPr>
              <w:rPr>
                <w:b/>
              </w:rPr>
            </w:pPr>
          </w:p>
          <w:p w:rsidR="00CC2FB3" w:rsidRDefault="00DA3D20" w:rsidP="00A851DA">
            <w:r>
              <w:t>iv)</w:t>
            </w:r>
            <w:r w:rsidR="00CB3137">
              <w:t xml:space="preserve"> </w:t>
            </w:r>
            <w:r w:rsidR="00CB3137" w:rsidRPr="00866952">
              <w:rPr>
                <w:b/>
              </w:rPr>
              <w:t>Corporate Governance Structure</w:t>
            </w:r>
          </w:p>
          <w:p w:rsidR="00CB3137" w:rsidRDefault="00866952" w:rsidP="00A851DA">
            <w:r>
              <w:t>According to research, weak corporate governance has played a role in all major financial frauds. In 1998, the COSO Landmark Study examined 200 out of 300 fraud cases handled by the Securities and Exchange Commission (SEC) between 1987 and 1997. This study revealed that all entities that were investigated had weak boards. In 72% of cases, the Chief Executive Officer (CEO) was identified as being involved in the fraud. In 43% of cases, the Chief Financial Officer (CFO) was similarly identified. Moreover, according to Wheel, Deal and Steal, former or current CEOs head the majority of boards.</w:t>
            </w:r>
          </w:p>
          <w:p w:rsidR="00B647C6" w:rsidRPr="00A11649" w:rsidRDefault="00B647C6" w:rsidP="00A851DA">
            <w:pPr>
              <w:rPr>
                <w:b/>
              </w:rPr>
            </w:pPr>
            <w:r w:rsidRPr="00A11649">
              <w:rPr>
                <w:b/>
              </w:rPr>
              <w:t>The report identified the following weaknesses:</w:t>
            </w:r>
          </w:p>
          <w:p w:rsidR="00B647C6" w:rsidRPr="00F1214F" w:rsidRDefault="00165594" w:rsidP="00A851DA">
            <w:r w:rsidRPr="00F1214F">
              <w:rPr>
                <w:b/>
              </w:rPr>
              <w:t xml:space="preserve">. </w:t>
            </w:r>
            <w:r w:rsidRPr="00F1214F">
              <w:t>Dependent board members</w:t>
            </w:r>
          </w:p>
          <w:p w:rsidR="00165594" w:rsidRPr="00F1214F" w:rsidRDefault="00165594" w:rsidP="00A851DA">
            <w:r w:rsidRPr="00F1214F">
              <w:rPr>
                <w:b/>
              </w:rPr>
              <w:t>.</w:t>
            </w:r>
            <w:r w:rsidRPr="00F1214F">
              <w:t>Insiders dominating the board</w:t>
            </w:r>
          </w:p>
          <w:p w:rsidR="00165594" w:rsidRDefault="00165594" w:rsidP="00A851DA">
            <w:r w:rsidRPr="00F1214F">
              <w:rPr>
                <w:b/>
              </w:rPr>
              <w:t>.</w:t>
            </w:r>
            <w:r>
              <w:t>Significant equity holdings by board members</w:t>
            </w:r>
          </w:p>
          <w:p w:rsidR="00165594" w:rsidRDefault="00165594" w:rsidP="00A851DA">
            <w:r w:rsidRPr="00511D6F">
              <w:rPr>
                <w:b/>
              </w:rPr>
              <w:t>.</w:t>
            </w:r>
            <w:r>
              <w:t xml:space="preserve">Inexperienced board members </w:t>
            </w:r>
          </w:p>
          <w:p w:rsidR="00165594" w:rsidRDefault="00165594" w:rsidP="00A851DA">
            <w:r w:rsidRPr="00511D6F">
              <w:rPr>
                <w:b/>
              </w:rPr>
              <w:t xml:space="preserve">. </w:t>
            </w:r>
            <w:r>
              <w:t>No communication or meetings between board members and audit committees</w:t>
            </w:r>
          </w:p>
          <w:p w:rsidR="00165594" w:rsidRDefault="00165594" w:rsidP="00A851DA">
            <w:r w:rsidRPr="00511D6F">
              <w:rPr>
                <w:b/>
              </w:rPr>
              <w:t xml:space="preserve">. </w:t>
            </w:r>
            <w:r>
              <w:t xml:space="preserve">Inexperienced and untrained audit committee members </w:t>
            </w:r>
          </w:p>
          <w:p w:rsidR="00165594" w:rsidRDefault="00165594" w:rsidP="00A851DA">
            <w:r w:rsidRPr="00511D6F">
              <w:rPr>
                <w:b/>
              </w:rPr>
              <w:t xml:space="preserve">. </w:t>
            </w:r>
            <w:r>
              <w:t>No audit committee</w:t>
            </w:r>
          </w:p>
          <w:p w:rsidR="00165594" w:rsidRDefault="00165594" w:rsidP="00A851DA">
            <w:r w:rsidRPr="00511D6F">
              <w:rPr>
                <w:b/>
              </w:rPr>
              <w:t>.</w:t>
            </w:r>
            <w:r>
              <w:t xml:space="preserve"> N</w:t>
            </w:r>
            <w:r w:rsidR="00F1214F">
              <w:t>o meetings help by the audit committee</w:t>
            </w:r>
          </w:p>
          <w:p w:rsidR="00E645FE" w:rsidRDefault="00E645FE" w:rsidP="00A851DA"/>
          <w:p w:rsidR="00E645FE" w:rsidRDefault="00E645FE" w:rsidP="00A851DA">
            <w:r>
              <w:t>v)</w:t>
            </w:r>
            <w:r w:rsidR="00C10DB5" w:rsidRPr="000C6992">
              <w:rPr>
                <w:b/>
              </w:rPr>
              <w:t xml:space="preserve"> Preventive approach</w:t>
            </w:r>
            <w:r w:rsidR="00C10DB5">
              <w:t>. According to this approach, preventive measures are taken to screen out</w:t>
            </w:r>
            <w:r w:rsidR="00C10DB5">
              <w:sym w:font="Symbol" w:char="F0B7"/>
            </w:r>
            <w:r w:rsidR="00C10DB5">
              <w:t xml:space="preserve">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the preventive approach</w:t>
            </w:r>
            <w:r w:rsidR="00FD2C63">
              <w:t xml:space="preserve"> while,</w:t>
            </w:r>
            <w:r w:rsidR="006B6B11">
              <w:t xml:space="preserve"> </w:t>
            </w:r>
            <w:r w:rsidR="006B6B11" w:rsidRPr="006B6B11">
              <w:rPr>
                <w:b/>
              </w:rPr>
              <w:t>Detective approach</w:t>
            </w:r>
            <w:r w:rsidR="006B6B11">
              <w:t>. This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p w:rsidR="0056505E" w:rsidRDefault="0056505E" w:rsidP="00A851DA"/>
          <w:p w:rsidR="004D1125" w:rsidRDefault="0056505E" w:rsidP="00A851DA">
            <w:r>
              <w:t xml:space="preserve">There are other measures, apart from the general environmental, cultural and corporate measures, that might minimize fraud. Preventive measures and fraud countermeasures should be focused on </w:t>
            </w:r>
            <w:r>
              <w:lastRenderedPageBreak/>
              <w:t>people who have access to or control over sensitive assets such as cash and cheques. Appropriate countermeasures must ensure that these employees will be held accountable for handling valuable assets.</w:t>
            </w:r>
          </w:p>
          <w:p w:rsidR="00882502" w:rsidRDefault="00DA58C5" w:rsidP="00A851DA">
            <w:r>
              <w:t>iv)</w:t>
            </w:r>
            <w:r w:rsidR="00630566">
              <w:t xml:space="preserve"> </w:t>
            </w:r>
            <w:r w:rsidR="00630566" w:rsidRPr="00882502">
              <w:rPr>
                <w:b/>
              </w:rPr>
              <w:t>Internal Controls</w:t>
            </w:r>
            <w:r w:rsidR="00630566">
              <w:t xml:space="preserve"> </w:t>
            </w:r>
          </w:p>
          <w:p w:rsidR="00DA58C5" w:rsidRDefault="00630566" w:rsidP="00A851DA">
            <w:r>
              <w:t>Opportunity is one of the elements of the fraud triangle, referring essentially to internal controls. Fraud auditors have little impact on the other two legs of the fraud triangle, i.e. pressure and rationalization, although management can create an enabling environment for these elements. Pressure and rationalization are psychological and are therefore difficult to observe. Internal controls, on the other</w:t>
            </w:r>
            <w:r w:rsidR="0071044E">
              <w:t xml:space="preserve"> hand, are more easily observed and may influence the opportunity to commit fraud. One of the most common internal control lapses is the lack of segregation of duties. The following are some internal control activities that might serve as preventive measures:</w:t>
            </w:r>
          </w:p>
          <w:p w:rsidR="00842881" w:rsidRDefault="00842881" w:rsidP="00A851DA"/>
          <w:p w:rsidR="004571F3" w:rsidRDefault="004571F3" w:rsidP="00A851DA">
            <w:pPr>
              <w:rPr>
                <w:noProof/>
              </w:rPr>
            </w:pPr>
            <w:r>
              <w:rPr>
                <w:noProof/>
              </w:rPr>
              <w:drawing>
                <wp:inline distT="0" distB="0" distL="0" distR="0">
                  <wp:extent cx="5424820" cy="3200400"/>
                  <wp:effectExtent l="19050" t="0" r="23480" b="0"/>
                  <wp:docPr id="6"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4571F3" w:rsidRDefault="004571F3" w:rsidP="00A851DA">
            <w:pPr>
              <w:rPr>
                <w:noProof/>
              </w:rPr>
            </w:pPr>
          </w:p>
          <w:p w:rsidR="00842881" w:rsidRDefault="004571F3" w:rsidP="004571F3">
            <w:pPr>
              <w:rPr>
                <w:b/>
                <w:noProof/>
                <w:u w:val="single"/>
              </w:rPr>
            </w:pPr>
            <w:r w:rsidRPr="004571F3">
              <w:rPr>
                <w:b/>
                <w:noProof/>
                <w:u w:val="single"/>
              </w:rPr>
              <w:t>QUESTION 2</w:t>
            </w:r>
          </w:p>
          <w:p w:rsidR="00F20C62" w:rsidRDefault="00F20C62" w:rsidP="004571F3">
            <w:pPr>
              <w:rPr>
                <w:b/>
              </w:rPr>
            </w:pPr>
            <w:r w:rsidRPr="00354ADD">
              <w:rPr>
                <w:b/>
              </w:rPr>
              <w:t>Fraud Policy</w:t>
            </w:r>
          </w:p>
          <w:p w:rsidR="00643C5C" w:rsidRDefault="00643C5C" w:rsidP="004571F3">
            <w:r>
              <w:t>An appropriate fraud policy is the best starting point for developing an efficient fraud response. This step must be undertaken before a fraud actually occurs or before the specifics of an anti-fraud program are determined. While developing a fraud policy, there are several issues that need to be considered. The first is the definition of fraud.</w:t>
            </w:r>
          </w:p>
          <w:p w:rsidR="004B6546" w:rsidRDefault="004B6546" w:rsidP="004571F3">
            <w:r>
              <w:t>Let us suppose that an employee “borrows” the employer’s camera. This employee uses the camera to take pictures of his/her personal property or personal belongings and then uses the company’s computer to set up an eBay account and sell his/her belongings all during work hours. Might this be categorized as a fraud? Without a proper definition of fraud, a judge or jury would struggle to call it a fraud. However, if the entity had used the ACFE’s definition of fraud in its fraud policy and made all employees sign it to secure their agreement, there would be much less doubt regarding the term “fraud” in the courtroom. The same policy could be applied to employees who “borrow” heavy equipment for their personal use over the weekend, as it is not required until Monday. Therefore, it is important that the company craft a definition of fraud and make it a part of their fraud policy. The following should be considered when defining fraud</w:t>
            </w:r>
            <w:r w:rsidR="00201634">
              <w:t>.</w:t>
            </w:r>
          </w:p>
          <w:p w:rsidR="00201634" w:rsidRDefault="00201634" w:rsidP="004571F3"/>
          <w:p w:rsidR="00201634" w:rsidRDefault="00867722" w:rsidP="004571F3">
            <w:r>
              <w:rPr>
                <w:b/>
              </w:rPr>
              <w:t>.</w:t>
            </w:r>
            <w:r w:rsidR="00201634">
              <w:t>Any dishonest or fraudulent act</w:t>
            </w:r>
          </w:p>
          <w:p w:rsidR="00201634" w:rsidRDefault="00867722" w:rsidP="004571F3">
            <w:r>
              <w:rPr>
                <w:b/>
              </w:rPr>
              <w:t>.</w:t>
            </w:r>
            <w:r w:rsidR="00201634">
              <w:t>Violation of fiduciary responsibilities</w:t>
            </w:r>
          </w:p>
          <w:p w:rsidR="00201634" w:rsidRDefault="00867722" w:rsidP="004571F3">
            <w:r>
              <w:rPr>
                <w:b/>
              </w:rPr>
              <w:t>.</w:t>
            </w:r>
            <w:r w:rsidR="00201634" w:rsidRPr="00867722">
              <w:t>Misappropriation</w:t>
            </w:r>
            <w:r w:rsidR="00201634">
              <w:t xml:space="preserve"> of funds, securities, supplies, or other entity assets</w:t>
            </w:r>
          </w:p>
          <w:p w:rsidR="00201634" w:rsidRDefault="00867722" w:rsidP="004571F3">
            <w:r>
              <w:rPr>
                <w:b/>
              </w:rPr>
              <w:lastRenderedPageBreak/>
              <w:t>.</w:t>
            </w:r>
            <w:r w:rsidR="001E377F">
              <w:t>Unauthorized use of the entity’s assets, such as equipment and computers for personal use</w:t>
            </w:r>
          </w:p>
          <w:p w:rsidR="001E377F" w:rsidRDefault="00867722" w:rsidP="004571F3">
            <w:r>
              <w:rPr>
                <w:b/>
              </w:rPr>
              <w:t>.</w:t>
            </w:r>
            <w:r w:rsidR="001E377F">
              <w:t>Improper handling or reporting of money or financial transactions</w:t>
            </w:r>
          </w:p>
          <w:p w:rsidR="001E377F" w:rsidRDefault="00867722" w:rsidP="004571F3">
            <w:r>
              <w:rPr>
                <w:b/>
              </w:rPr>
              <w:t>.</w:t>
            </w:r>
            <w:r w:rsidR="00C47D67">
              <w:t>Earning profits from insider knowledge of entity activities</w:t>
            </w:r>
          </w:p>
          <w:p w:rsidR="00627537" w:rsidRDefault="00867722" w:rsidP="004571F3">
            <w:r>
              <w:rPr>
                <w:b/>
              </w:rPr>
              <w:t>.</w:t>
            </w:r>
            <w:r w:rsidR="00627537">
              <w:t>Disclosing confidential and proprietary information to outside parties</w:t>
            </w:r>
          </w:p>
          <w:p w:rsidR="00627537" w:rsidRDefault="00867722" w:rsidP="004571F3">
            <w:r>
              <w:rPr>
                <w:b/>
              </w:rPr>
              <w:t>.</w:t>
            </w:r>
            <w:r w:rsidR="00627537">
              <w:t>Disclosing securities-related activities of the entity to outsiders</w:t>
            </w:r>
          </w:p>
          <w:p w:rsidR="00627537" w:rsidRDefault="00867722" w:rsidP="004571F3">
            <w:r>
              <w:rPr>
                <w:b/>
              </w:rPr>
              <w:t>.</w:t>
            </w:r>
            <w:r w:rsidR="00627537">
              <w:t>Accepting or seeking anything of material value from contractors, vendors, or persons providing services or materials to the entity. Gifts worth less than $50 are an</w:t>
            </w:r>
            <w:r>
              <w:t xml:space="preserve"> exception</w:t>
            </w:r>
          </w:p>
          <w:p w:rsidR="00867722" w:rsidRDefault="00867722" w:rsidP="004571F3">
            <w:r>
              <w:rPr>
                <w:b/>
              </w:rPr>
              <w:t>.</w:t>
            </w:r>
            <w:r>
              <w:t>Destruction, removal, or inappropriate use of records (paper or digital), furniture, fixtures, or equipment</w:t>
            </w:r>
          </w:p>
          <w:p w:rsidR="00867722" w:rsidRDefault="00867722" w:rsidP="004571F3">
            <w:r>
              <w:rPr>
                <w:b/>
              </w:rPr>
              <w:t>.</w:t>
            </w:r>
            <w:r>
              <w:t>Malicious activities involving the entity’s computers, systems, or technologies</w:t>
            </w:r>
          </w:p>
          <w:p w:rsidR="00867722" w:rsidRDefault="00867722" w:rsidP="004571F3">
            <w:r w:rsidRPr="00AA6ACE">
              <w:rPr>
                <w:b/>
              </w:rPr>
              <w:t>.</w:t>
            </w:r>
            <w:r>
              <w:t>Any violation of a relevant legal act</w:t>
            </w:r>
          </w:p>
          <w:p w:rsidR="001F3C69" w:rsidRDefault="00AA6ACE" w:rsidP="004571F3">
            <w:r w:rsidRPr="00AA6ACE">
              <w:rPr>
                <w:b/>
              </w:rPr>
              <w:t>.</w:t>
            </w:r>
            <w:r w:rsidR="001F3C69">
              <w:t>Any similar or related irregularity</w:t>
            </w:r>
          </w:p>
          <w:p w:rsidR="00AA6ACE" w:rsidRDefault="00AA6ACE" w:rsidP="004571F3"/>
          <w:p w:rsidR="00AA6ACE" w:rsidRDefault="00AA6ACE" w:rsidP="004571F3">
            <w:r>
              <w:t>The entity’s fraud policy should also include the methods management will adopt when irregularities are detected or suspected. It should include questions such as who, what, where, and when in connection with any tips or complaints that are received and to whom such tips should be reported. The policy should ensure that the anonymity of the person providing the tip is maintained. The policy should clearly specify how such reports should be investigated, in addition to avoiding the occurrence of false or mistaken accusations, thereby alerting the suspect that an investigation is underway. Special care should be taken not to disclose any information on the investigation or the status of the investigation unless it is authorized by the management or required for legal reasons</w:t>
            </w:r>
            <w:r w:rsidR="00C0714B">
              <w:t>.</w:t>
            </w:r>
          </w:p>
          <w:p w:rsidR="000B3C97" w:rsidRDefault="000B3C97" w:rsidP="004571F3"/>
          <w:p w:rsidR="00C0714B" w:rsidRDefault="00C0714B" w:rsidP="004571F3">
            <w:r>
              <w:t>The policy should be particular about maintaining confidentiality for the sake of innocent employees who may have been swept up into the investigation and for the whistle-blowers.</w:t>
            </w:r>
          </w:p>
          <w:p w:rsidR="00AA6ACE" w:rsidRDefault="00FE4269" w:rsidP="004571F3">
            <w:pPr>
              <w:rPr>
                <w:b/>
              </w:rPr>
            </w:pPr>
            <w:r w:rsidRPr="00805857">
              <w:rPr>
                <w:b/>
              </w:rPr>
              <w:t>Fraud</w:t>
            </w:r>
            <w:r w:rsidRPr="00FE4269">
              <w:rPr>
                <w:b/>
              </w:rPr>
              <w:t xml:space="preserve"> Response Team</w:t>
            </w:r>
          </w:p>
          <w:p w:rsidR="00955587" w:rsidRPr="00201634" w:rsidRDefault="00955587" w:rsidP="004571F3">
            <w:r>
              <w:t>Once the fraud policy has been laid down on paper, the management should identify the people and positions that are responsible for implementing the various procedures included in the policy. “Fraud Policy Decision” is a tool provided by ACFE to assist management with their fraud response efforts.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13C5"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13C5" w:rsidP="00A851DA">
            <w:pPr>
              <w:rPr>
                <w:rFonts w:cs="Bliss-Regular"/>
                <w:color w:val="000000"/>
              </w:rPr>
            </w:pPr>
            <w:r>
              <w:rPr>
                <w:rFonts w:cs="Bliss-Regular"/>
                <w:color w:val="000000"/>
              </w:rPr>
              <w:t>9/11/16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0C0" w:rsidRDefault="00EF20C0" w:rsidP="00CB4D0A">
      <w:pPr>
        <w:spacing w:after="0" w:line="240" w:lineRule="auto"/>
      </w:pPr>
      <w:r>
        <w:separator/>
      </w:r>
    </w:p>
  </w:endnote>
  <w:endnote w:type="continuationSeparator" w:id="1">
    <w:p w:rsidR="00EF20C0" w:rsidRDefault="00EF20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0C0" w:rsidRDefault="00EF20C0" w:rsidP="00CB4D0A">
      <w:pPr>
        <w:spacing w:after="0" w:line="240" w:lineRule="auto"/>
      </w:pPr>
      <w:r>
        <w:separator/>
      </w:r>
    </w:p>
  </w:footnote>
  <w:footnote w:type="continuationSeparator" w:id="1">
    <w:p w:rsidR="00EF20C0" w:rsidRDefault="00EF20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4C55"/>
    <w:rsid w:val="00055992"/>
    <w:rsid w:val="000820E8"/>
    <w:rsid w:val="000B3C97"/>
    <w:rsid w:val="000C2238"/>
    <w:rsid w:val="000C6992"/>
    <w:rsid w:val="001175EE"/>
    <w:rsid w:val="00157CF6"/>
    <w:rsid w:val="001652D6"/>
    <w:rsid w:val="00165594"/>
    <w:rsid w:val="00182416"/>
    <w:rsid w:val="00187EB4"/>
    <w:rsid w:val="001C3AAB"/>
    <w:rsid w:val="001E377F"/>
    <w:rsid w:val="001F0481"/>
    <w:rsid w:val="001F3C69"/>
    <w:rsid w:val="00200C92"/>
    <w:rsid w:val="00201634"/>
    <w:rsid w:val="0020451E"/>
    <w:rsid w:val="00206B9D"/>
    <w:rsid w:val="0023259C"/>
    <w:rsid w:val="002B0BD7"/>
    <w:rsid w:val="002B573D"/>
    <w:rsid w:val="002C5CB2"/>
    <w:rsid w:val="002F60E1"/>
    <w:rsid w:val="002F779F"/>
    <w:rsid w:val="00354ADD"/>
    <w:rsid w:val="00371885"/>
    <w:rsid w:val="003D0E6C"/>
    <w:rsid w:val="003E2B87"/>
    <w:rsid w:val="00402786"/>
    <w:rsid w:val="00405895"/>
    <w:rsid w:val="004058DF"/>
    <w:rsid w:val="00443E6F"/>
    <w:rsid w:val="004571F3"/>
    <w:rsid w:val="00467A85"/>
    <w:rsid w:val="00473313"/>
    <w:rsid w:val="00486F1A"/>
    <w:rsid w:val="00490CB9"/>
    <w:rsid w:val="004A2CE2"/>
    <w:rsid w:val="004B6546"/>
    <w:rsid w:val="004D1125"/>
    <w:rsid w:val="004E3CDA"/>
    <w:rsid w:val="004F4B4D"/>
    <w:rsid w:val="004F6BC0"/>
    <w:rsid w:val="0050216D"/>
    <w:rsid w:val="00503D7E"/>
    <w:rsid w:val="0050778F"/>
    <w:rsid w:val="00511D6F"/>
    <w:rsid w:val="00527C11"/>
    <w:rsid w:val="00535F31"/>
    <w:rsid w:val="005543DB"/>
    <w:rsid w:val="0056505E"/>
    <w:rsid w:val="00574D64"/>
    <w:rsid w:val="00591365"/>
    <w:rsid w:val="005B31E4"/>
    <w:rsid w:val="006034F6"/>
    <w:rsid w:val="00607874"/>
    <w:rsid w:val="00607E77"/>
    <w:rsid w:val="006160B5"/>
    <w:rsid w:val="00617BB3"/>
    <w:rsid w:val="00627537"/>
    <w:rsid w:val="00630566"/>
    <w:rsid w:val="00643C5C"/>
    <w:rsid w:val="00645CDD"/>
    <w:rsid w:val="006823A7"/>
    <w:rsid w:val="00687EE8"/>
    <w:rsid w:val="006B6B11"/>
    <w:rsid w:val="0070347F"/>
    <w:rsid w:val="0070678E"/>
    <w:rsid w:val="0071044E"/>
    <w:rsid w:val="0072281A"/>
    <w:rsid w:val="00767078"/>
    <w:rsid w:val="00805857"/>
    <w:rsid w:val="00822FD2"/>
    <w:rsid w:val="00831C11"/>
    <w:rsid w:val="00842881"/>
    <w:rsid w:val="00866952"/>
    <w:rsid w:val="00867722"/>
    <w:rsid w:val="00882502"/>
    <w:rsid w:val="008A60B4"/>
    <w:rsid w:val="008A7128"/>
    <w:rsid w:val="008B3C31"/>
    <w:rsid w:val="008B524F"/>
    <w:rsid w:val="008B64FE"/>
    <w:rsid w:val="008E105B"/>
    <w:rsid w:val="00935BF7"/>
    <w:rsid w:val="0095442C"/>
    <w:rsid w:val="00955587"/>
    <w:rsid w:val="009814DB"/>
    <w:rsid w:val="00983942"/>
    <w:rsid w:val="009C37E0"/>
    <w:rsid w:val="009E41F4"/>
    <w:rsid w:val="009F7E6C"/>
    <w:rsid w:val="00A11649"/>
    <w:rsid w:val="00A14B66"/>
    <w:rsid w:val="00A65CF7"/>
    <w:rsid w:val="00A81AB4"/>
    <w:rsid w:val="00A851DA"/>
    <w:rsid w:val="00A8607A"/>
    <w:rsid w:val="00AA6ACE"/>
    <w:rsid w:val="00AC7D5B"/>
    <w:rsid w:val="00AE1481"/>
    <w:rsid w:val="00B0415E"/>
    <w:rsid w:val="00B04678"/>
    <w:rsid w:val="00B23632"/>
    <w:rsid w:val="00B647C6"/>
    <w:rsid w:val="00B92B62"/>
    <w:rsid w:val="00BC46DF"/>
    <w:rsid w:val="00BE0A25"/>
    <w:rsid w:val="00C03577"/>
    <w:rsid w:val="00C0714B"/>
    <w:rsid w:val="00C10DB5"/>
    <w:rsid w:val="00C47D67"/>
    <w:rsid w:val="00C53029"/>
    <w:rsid w:val="00C65FEA"/>
    <w:rsid w:val="00CA0AC2"/>
    <w:rsid w:val="00CB3137"/>
    <w:rsid w:val="00CB4D0A"/>
    <w:rsid w:val="00CC2FB3"/>
    <w:rsid w:val="00CC575A"/>
    <w:rsid w:val="00CF123B"/>
    <w:rsid w:val="00D039AC"/>
    <w:rsid w:val="00D15AFE"/>
    <w:rsid w:val="00D413C5"/>
    <w:rsid w:val="00D427DE"/>
    <w:rsid w:val="00D5587D"/>
    <w:rsid w:val="00D5608D"/>
    <w:rsid w:val="00D707CC"/>
    <w:rsid w:val="00D821FE"/>
    <w:rsid w:val="00D95BEF"/>
    <w:rsid w:val="00DA3D20"/>
    <w:rsid w:val="00DA58C5"/>
    <w:rsid w:val="00DA7543"/>
    <w:rsid w:val="00DB0793"/>
    <w:rsid w:val="00DF1C30"/>
    <w:rsid w:val="00E00821"/>
    <w:rsid w:val="00E04DB4"/>
    <w:rsid w:val="00E10690"/>
    <w:rsid w:val="00E30679"/>
    <w:rsid w:val="00E3626C"/>
    <w:rsid w:val="00E4597D"/>
    <w:rsid w:val="00E54832"/>
    <w:rsid w:val="00E56A90"/>
    <w:rsid w:val="00E641CC"/>
    <w:rsid w:val="00E645FE"/>
    <w:rsid w:val="00EA30AB"/>
    <w:rsid w:val="00EB3925"/>
    <w:rsid w:val="00EB5C28"/>
    <w:rsid w:val="00EF20C0"/>
    <w:rsid w:val="00F1214F"/>
    <w:rsid w:val="00F20C62"/>
    <w:rsid w:val="00F96EB3"/>
    <w:rsid w:val="00FC66FD"/>
    <w:rsid w:val="00FD0E1B"/>
    <w:rsid w:val="00FD2C63"/>
    <w:rsid w:val="00FE426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03C44A-BFFD-4C04-B3F0-3B56878C39D8}" type="doc">
      <dgm:prSet loTypeId="urn:microsoft.com/office/officeart/2005/8/layout/default" loCatId="list" qsTypeId="urn:microsoft.com/office/officeart/2005/8/quickstyle/simple1" qsCatId="simple" csTypeId="urn:microsoft.com/office/officeart/2005/8/colors/colorful2" csCatId="colorful" phldr="1"/>
      <dgm:spPr/>
      <dgm:t>
        <a:bodyPr/>
        <a:lstStyle/>
        <a:p>
          <a:endParaRPr lang="en-US"/>
        </a:p>
      </dgm:t>
    </dgm:pt>
    <dgm:pt modelId="{6557EC53-790B-4008-877E-08333787F571}">
      <dgm:prSet phldrT="[Text]"/>
      <dgm:spPr/>
      <dgm:t>
        <a:bodyPr/>
        <a:lstStyle/>
        <a:p>
          <a:r>
            <a:rPr lang="en-US"/>
            <a:t>adequate </a:t>
          </a:r>
        </a:p>
        <a:p>
          <a:r>
            <a:rPr lang="en-US"/>
            <a:t>thorization procedures</a:t>
          </a:r>
        </a:p>
      </dgm:t>
    </dgm:pt>
    <dgm:pt modelId="{F4B75EFC-FD23-4625-B923-2B7CB571757D}" type="parTrans" cxnId="{0FE0906F-1780-4657-B582-4F4ED46F6665}">
      <dgm:prSet/>
      <dgm:spPr/>
      <dgm:t>
        <a:bodyPr/>
        <a:lstStyle/>
        <a:p>
          <a:endParaRPr lang="en-US"/>
        </a:p>
      </dgm:t>
    </dgm:pt>
    <dgm:pt modelId="{E58B6DB5-A95C-44B3-90B9-DC41F833CE18}" type="sibTrans" cxnId="{0FE0906F-1780-4657-B582-4F4ED46F6665}">
      <dgm:prSet/>
      <dgm:spPr/>
      <dgm:t>
        <a:bodyPr/>
        <a:lstStyle/>
        <a:p>
          <a:endParaRPr lang="en-US"/>
        </a:p>
      </dgm:t>
    </dgm:pt>
    <dgm:pt modelId="{7D50F69F-4EC1-40BF-AF1B-2784A7EC85A5}">
      <dgm:prSet phldrT="[Text]"/>
      <dgm:spPr/>
      <dgm:t>
        <a:bodyPr/>
        <a:lstStyle/>
        <a:p>
          <a:r>
            <a:rPr lang="en-US"/>
            <a:t>adequate documentation, records, and audit trail</a:t>
          </a:r>
        </a:p>
      </dgm:t>
    </dgm:pt>
    <dgm:pt modelId="{29A3DBA6-B275-4666-B5CE-355FFEBBB44A}" type="parTrans" cxnId="{599043DA-E9F3-4427-93DD-F31BEC0AF92B}">
      <dgm:prSet/>
      <dgm:spPr/>
      <dgm:t>
        <a:bodyPr/>
        <a:lstStyle/>
        <a:p>
          <a:endParaRPr lang="en-US"/>
        </a:p>
      </dgm:t>
    </dgm:pt>
    <dgm:pt modelId="{5740DFE5-058F-4680-9B17-B2222B6A243A}" type="sibTrans" cxnId="{599043DA-E9F3-4427-93DD-F31BEC0AF92B}">
      <dgm:prSet/>
      <dgm:spPr/>
      <dgm:t>
        <a:bodyPr/>
        <a:lstStyle/>
        <a:p>
          <a:endParaRPr lang="en-US"/>
        </a:p>
      </dgm:t>
    </dgm:pt>
    <dgm:pt modelId="{DE34FCD6-86C9-4FD9-8C13-D5970BF8D540}">
      <dgm:prSet phldrT="[Text]"/>
      <dgm:spPr/>
      <dgm:t>
        <a:bodyPr/>
        <a:lstStyle/>
        <a:p>
          <a:r>
            <a:rPr lang="en-US"/>
            <a:t>physical control over asset and records </a:t>
          </a:r>
        </a:p>
      </dgm:t>
    </dgm:pt>
    <dgm:pt modelId="{98E6A964-E8F7-4A71-A8E5-81C6DA4AF2CB}" type="parTrans" cxnId="{F9EA925C-5F9C-4D57-B003-BFF54B1A390F}">
      <dgm:prSet/>
      <dgm:spPr/>
      <dgm:t>
        <a:bodyPr/>
        <a:lstStyle/>
        <a:p>
          <a:endParaRPr lang="en-US"/>
        </a:p>
      </dgm:t>
    </dgm:pt>
    <dgm:pt modelId="{9D6721D9-B693-4205-A67F-F8DD86821215}" type="sibTrans" cxnId="{F9EA925C-5F9C-4D57-B003-BFF54B1A390F}">
      <dgm:prSet/>
      <dgm:spPr/>
      <dgm:t>
        <a:bodyPr/>
        <a:lstStyle/>
        <a:p>
          <a:endParaRPr lang="en-US"/>
        </a:p>
      </dgm:t>
    </dgm:pt>
    <dgm:pt modelId="{79579FD1-80BC-440E-87FA-B31D0C866F01}">
      <dgm:prSet phldrT="[Text]"/>
      <dgm:spPr/>
      <dgm:t>
        <a:bodyPr/>
        <a:lstStyle/>
        <a:p>
          <a:r>
            <a:rPr lang="en-US"/>
            <a:t>independent performance checks</a:t>
          </a:r>
        </a:p>
      </dgm:t>
    </dgm:pt>
    <dgm:pt modelId="{C230AE8C-E3B1-445E-898B-A28BC6F4D5BC}" type="parTrans" cxnId="{40EAFB27-E03A-41D1-9589-DC8091792550}">
      <dgm:prSet/>
      <dgm:spPr/>
      <dgm:t>
        <a:bodyPr/>
        <a:lstStyle/>
        <a:p>
          <a:endParaRPr lang="en-US"/>
        </a:p>
      </dgm:t>
    </dgm:pt>
    <dgm:pt modelId="{D3616432-D1FB-4965-A4FD-4C4BD717FA46}" type="sibTrans" cxnId="{40EAFB27-E03A-41D1-9589-DC8091792550}">
      <dgm:prSet/>
      <dgm:spPr/>
      <dgm:t>
        <a:bodyPr/>
        <a:lstStyle/>
        <a:p>
          <a:endParaRPr lang="en-US"/>
        </a:p>
      </dgm:t>
    </dgm:pt>
    <dgm:pt modelId="{A8F33A76-A961-492C-9CCF-5B0CB637D132}">
      <dgm:prSet phldrT="[Text]"/>
      <dgm:spPr/>
      <dgm:t>
        <a:bodyPr/>
        <a:lstStyle/>
        <a:p>
          <a:r>
            <a:rPr lang="en-US"/>
            <a:t>monitoring of controls </a:t>
          </a:r>
        </a:p>
      </dgm:t>
    </dgm:pt>
    <dgm:pt modelId="{B9EB09C2-773B-4CB8-83E4-7A4CA44CC29E}" type="parTrans" cxnId="{EAEB7B9A-FBB5-47FE-9FA2-7A3038B65C98}">
      <dgm:prSet/>
      <dgm:spPr/>
      <dgm:t>
        <a:bodyPr/>
        <a:lstStyle/>
        <a:p>
          <a:endParaRPr lang="en-US"/>
        </a:p>
      </dgm:t>
    </dgm:pt>
    <dgm:pt modelId="{E732DBF1-4FB2-4A2D-8C1A-8DE7B49E19F3}" type="sibTrans" cxnId="{EAEB7B9A-FBB5-47FE-9FA2-7A3038B65C98}">
      <dgm:prSet/>
      <dgm:spPr/>
      <dgm:t>
        <a:bodyPr/>
        <a:lstStyle/>
        <a:p>
          <a:endParaRPr lang="en-US"/>
        </a:p>
      </dgm:t>
    </dgm:pt>
    <dgm:pt modelId="{24909614-7D5B-4808-975D-FE8E05B2AD65}" type="pres">
      <dgm:prSet presAssocID="{DB03C44A-BFFD-4C04-B3F0-3B56878C39D8}" presName="diagram" presStyleCnt="0">
        <dgm:presLayoutVars>
          <dgm:dir/>
          <dgm:resizeHandles val="exact"/>
        </dgm:presLayoutVars>
      </dgm:prSet>
      <dgm:spPr/>
    </dgm:pt>
    <dgm:pt modelId="{B86BE4D1-346B-42B8-B469-3A223C006F2A}" type="pres">
      <dgm:prSet presAssocID="{6557EC53-790B-4008-877E-08333787F571}" presName="node" presStyleLbl="node1" presStyleIdx="0" presStyleCnt="5">
        <dgm:presLayoutVars>
          <dgm:bulletEnabled val="1"/>
        </dgm:presLayoutVars>
      </dgm:prSet>
      <dgm:spPr/>
      <dgm:t>
        <a:bodyPr/>
        <a:lstStyle/>
        <a:p>
          <a:endParaRPr lang="en-US"/>
        </a:p>
      </dgm:t>
    </dgm:pt>
    <dgm:pt modelId="{328051C9-63C9-4726-9B71-F37F5784949C}" type="pres">
      <dgm:prSet presAssocID="{E58B6DB5-A95C-44B3-90B9-DC41F833CE18}" presName="sibTrans" presStyleCnt="0"/>
      <dgm:spPr/>
    </dgm:pt>
    <dgm:pt modelId="{9FF9E2C1-E934-4C31-9D96-FEDB783A69C4}" type="pres">
      <dgm:prSet presAssocID="{7D50F69F-4EC1-40BF-AF1B-2784A7EC85A5}" presName="node" presStyleLbl="node1" presStyleIdx="1" presStyleCnt="5">
        <dgm:presLayoutVars>
          <dgm:bulletEnabled val="1"/>
        </dgm:presLayoutVars>
      </dgm:prSet>
      <dgm:spPr/>
    </dgm:pt>
    <dgm:pt modelId="{2BFB0167-6890-4922-9BC8-F81B46EA16AE}" type="pres">
      <dgm:prSet presAssocID="{5740DFE5-058F-4680-9B17-B2222B6A243A}" presName="sibTrans" presStyleCnt="0"/>
      <dgm:spPr/>
    </dgm:pt>
    <dgm:pt modelId="{3569B861-C4E7-4A4B-9986-5DBBB611097C}" type="pres">
      <dgm:prSet presAssocID="{DE34FCD6-86C9-4FD9-8C13-D5970BF8D540}" presName="node" presStyleLbl="node1" presStyleIdx="2" presStyleCnt="5">
        <dgm:presLayoutVars>
          <dgm:bulletEnabled val="1"/>
        </dgm:presLayoutVars>
      </dgm:prSet>
      <dgm:spPr/>
    </dgm:pt>
    <dgm:pt modelId="{07F50E6C-048D-4504-9084-67CA951BACA9}" type="pres">
      <dgm:prSet presAssocID="{9D6721D9-B693-4205-A67F-F8DD86821215}" presName="sibTrans" presStyleCnt="0"/>
      <dgm:spPr/>
    </dgm:pt>
    <dgm:pt modelId="{88FC70EA-322B-42B7-A104-352E9EAC1190}" type="pres">
      <dgm:prSet presAssocID="{79579FD1-80BC-440E-87FA-B31D0C866F01}" presName="node" presStyleLbl="node1" presStyleIdx="3" presStyleCnt="5">
        <dgm:presLayoutVars>
          <dgm:bulletEnabled val="1"/>
        </dgm:presLayoutVars>
      </dgm:prSet>
      <dgm:spPr/>
      <dgm:t>
        <a:bodyPr/>
        <a:lstStyle/>
        <a:p>
          <a:endParaRPr lang="en-US"/>
        </a:p>
      </dgm:t>
    </dgm:pt>
    <dgm:pt modelId="{DE0AC71E-1931-4839-8B9B-BD6341842ABB}" type="pres">
      <dgm:prSet presAssocID="{D3616432-D1FB-4965-A4FD-4C4BD717FA46}" presName="sibTrans" presStyleCnt="0"/>
      <dgm:spPr/>
    </dgm:pt>
    <dgm:pt modelId="{BB423A91-A83E-4B94-8D68-AADB4786DD6A}" type="pres">
      <dgm:prSet presAssocID="{A8F33A76-A961-492C-9CCF-5B0CB637D132}" presName="node" presStyleLbl="node1" presStyleIdx="4" presStyleCnt="5">
        <dgm:presLayoutVars>
          <dgm:bulletEnabled val="1"/>
        </dgm:presLayoutVars>
      </dgm:prSet>
      <dgm:spPr/>
      <dgm:t>
        <a:bodyPr/>
        <a:lstStyle/>
        <a:p>
          <a:endParaRPr lang="en-US"/>
        </a:p>
      </dgm:t>
    </dgm:pt>
  </dgm:ptLst>
  <dgm:cxnLst>
    <dgm:cxn modelId="{599043DA-E9F3-4427-93DD-F31BEC0AF92B}" srcId="{DB03C44A-BFFD-4C04-B3F0-3B56878C39D8}" destId="{7D50F69F-4EC1-40BF-AF1B-2784A7EC85A5}" srcOrd="1" destOrd="0" parTransId="{29A3DBA6-B275-4666-B5CE-355FFEBBB44A}" sibTransId="{5740DFE5-058F-4680-9B17-B2222B6A243A}"/>
    <dgm:cxn modelId="{E546CCEB-CFB1-4070-B683-2C53570F4B12}" type="presOf" srcId="{A8F33A76-A961-492C-9CCF-5B0CB637D132}" destId="{BB423A91-A83E-4B94-8D68-AADB4786DD6A}" srcOrd="0" destOrd="0" presId="urn:microsoft.com/office/officeart/2005/8/layout/default"/>
    <dgm:cxn modelId="{2A3E30A7-88E9-4141-B1A5-DDE98E13FF05}" type="presOf" srcId="{7D50F69F-4EC1-40BF-AF1B-2784A7EC85A5}" destId="{9FF9E2C1-E934-4C31-9D96-FEDB783A69C4}" srcOrd="0" destOrd="0" presId="urn:microsoft.com/office/officeart/2005/8/layout/default"/>
    <dgm:cxn modelId="{40EAFB27-E03A-41D1-9589-DC8091792550}" srcId="{DB03C44A-BFFD-4C04-B3F0-3B56878C39D8}" destId="{79579FD1-80BC-440E-87FA-B31D0C866F01}" srcOrd="3" destOrd="0" parTransId="{C230AE8C-E3B1-445E-898B-A28BC6F4D5BC}" sibTransId="{D3616432-D1FB-4965-A4FD-4C4BD717FA46}"/>
    <dgm:cxn modelId="{4A6571A5-03C2-43BC-8C6F-8644287008E7}" type="presOf" srcId="{79579FD1-80BC-440E-87FA-B31D0C866F01}" destId="{88FC70EA-322B-42B7-A104-352E9EAC1190}" srcOrd="0" destOrd="0" presId="urn:microsoft.com/office/officeart/2005/8/layout/default"/>
    <dgm:cxn modelId="{EAEB7B9A-FBB5-47FE-9FA2-7A3038B65C98}" srcId="{DB03C44A-BFFD-4C04-B3F0-3B56878C39D8}" destId="{A8F33A76-A961-492C-9CCF-5B0CB637D132}" srcOrd="4" destOrd="0" parTransId="{B9EB09C2-773B-4CB8-83E4-7A4CA44CC29E}" sibTransId="{E732DBF1-4FB2-4A2D-8C1A-8DE7B49E19F3}"/>
    <dgm:cxn modelId="{08BBA85A-921A-405F-BA72-ABFFB5371154}" type="presOf" srcId="{DE34FCD6-86C9-4FD9-8C13-D5970BF8D540}" destId="{3569B861-C4E7-4A4B-9986-5DBBB611097C}" srcOrd="0" destOrd="0" presId="urn:microsoft.com/office/officeart/2005/8/layout/default"/>
    <dgm:cxn modelId="{D6703D21-58A6-4D79-B0BC-8101E2034841}" type="presOf" srcId="{DB03C44A-BFFD-4C04-B3F0-3B56878C39D8}" destId="{24909614-7D5B-4808-975D-FE8E05B2AD65}" srcOrd="0" destOrd="0" presId="urn:microsoft.com/office/officeart/2005/8/layout/default"/>
    <dgm:cxn modelId="{0FE0906F-1780-4657-B582-4F4ED46F6665}" srcId="{DB03C44A-BFFD-4C04-B3F0-3B56878C39D8}" destId="{6557EC53-790B-4008-877E-08333787F571}" srcOrd="0" destOrd="0" parTransId="{F4B75EFC-FD23-4625-B923-2B7CB571757D}" sibTransId="{E58B6DB5-A95C-44B3-90B9-DC41F833CE18}"/>
    <dgm:cxn modelId="{F9EA925C-5F9C-4D57-B003-BFF54B1A390F}" srcId="{DB03C44A-BFFD-4C04-B3F0-3B56878C39D8}" destId="{DE34FCD6-86C9-4FD9-8C13-D5970BF8D540}" srcOrd="2" destOrd="0" parTransId="{98E6A964-E8F7-4A71-A8E5-81C6DA4AF2CB}" sibTransId="{9D6721D9-B693-4205-A67F-F8DD86821215}"/>
    <dgm:cxn modelId="{F75C00FC-A925-4133-91AB-46E4977BA4A2}" type="presOf" srcId="{6557EC53-790B-4008-877E-08333787F571}" destId="{B86BE4D1-346B-42B8-B469-3A223C006F2A}" srcOrd="0" destOrd="0" presId="urn:microsoft.com/office/officeart/2005/8/layout/default"/>
    <dgm:cxn modelId="{BCC0AA50-4A32-4D12-95A6-DC715B73942F}" type="presParOf" srcId="{24909614-7D5B-4808-975D-FE8E05B2AD65}" destId="{B86BE4D1-346B-42B8-B469-3A223C006F2A}" srcOrd="0" destOrd="0" presId="urn:microsoft.com/office/officeart/2005/8/layout/default"/>
    <dgm:cxn modelId="{3F90AA80-B036-4632-8369-E91280E47F08}" type="presParOf" srcId="{24909614-7D5B-4808-975D-FE8E05B2AD65}" destId="{328051C9-63C9-4726-9B71-F37F5784949C}" srcOrd="1" destOrd="0" presId="urn:microsoft.com/office/officeart/2005/8/layout/default"/>
    <dgm:cxn modelId="{1A1EF73C-1451-45FE-9818-23F569F0CB69}" type="presParOf" srcId="{24909614-7D5B-4808-975D-FE8E05B2AD65}" destId="{9FF9E2C1-E934-4C31-9D96-FEDB783A69C4}" srcOrd="2" destOrd="0" presId="urn:microsoft.com/office/officeart/2005/8/layout/default"/>
    <dgm:cxn modelId="{43990471-617E-416D-91B5-222D3D6B7541}" type="presParOf" srcId="{24909614-7D5B-4808-975D-FE8E05B2AD65}" destId="{2BFB0167-6890-4922-9BC8-F81B46EA16AE}" srcOrd="3" destOrd="0" presId="urn:microsoft.com/office/officeart/2005/8/layout/default"/>
    <dgm:cxn modelId="{CA73E741-3BE8-49FF-B85E-175A909E0AB5}" type="presParOf" srcId="{24909614-7D5B-4808-975D-FE8E05B2AD65}" destId="{3569B861-C4E7-4A4B-9986-5DBBB611097C}" srcOrd="4" destOrd="0" presId="urn:microsoft.com/office/officeart/2005/8/layout/default"/>
    <dgm:cxn modelId="{7993399D-67DB-4A70-BA71-CC010EDE36C2}" type="presParOf" srcId="{24909614-7D5B-4808-975D-FE8E05B2AD65}" destId="{07F50E6C-048D-4504-9084-67CA951BACA9}" srcOrd="5" destOrd="0" presId="urn:microsoft.com/office/officeart/2005/8/layout/default"/>
    <dgm:cxn modelId="{0874730B-CF30-4DD7-8E54-B4E708B38BEE}" type="presParOf" srcId="{24909614-7D5B-4808-975D-FE8E05B2AD65}" destId="{88FC70EA-322B-42B7-A104-352E9EAC1190}" srcOrd="6" destOrd="0" presId="urn:microsoft.com/office/officeart/2005/8/layout/default"/>
    <dgm:cxn modelId="{59CC3D54-EAFA-4CCE-B526-697897FBE055}" type="presParOf" srcId="{24909614-7D5B-4808-975D-FE8E05B2AD65}" destId="{DE0AC71E-1931-4839-8B9B-BD6341842ABB}" srcOrd="7" destOrd="0" presId="urn:microsoft.com/office/officeart/2005/8/layout/default"/>
    <dgm:cxn modelId="{89CFA2D9-22FE-456A-80D2-223E13958EEB}" type="presParOf" srcId="{24909614-7D5B-4808-975D-FE8E05B2AD65}" destId="{BB423A91-A83E-4B94-8D68-AADB4786DD6A}" srcOrd="8" destOrd="0" presId="urn:microsoft.com/office/officeart/2005/8/layout/default"/>
  </dgm:cxnLst>
  <dgm:bg/>
  <dgm:whole/>
</dgm:dataModel>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1CA76-FDA7-4712-B5B7-E43A2E387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1631</Words>
  <Characters>9300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lamin</cp:lastModifiedBy>
  <cp:revision>2</cp:revision>
  <dcterms:created xsi:type="dcterms:W3CDTF">2016-11-09T11:01:00Z</dcterms:created>
  <dcterms:modified xsi:type="dcterms:W3CDTF">2016-11-09T11:01:00Z</dcterms:modified>
</cp:coreProperties>
</file>