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E2748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ED39B94" wp14:editId="770455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9E9872" w14:textId="77777777" w:rsidR="00607874" w:rsidRDefault="00021F8E" w:rsidP="00A851DA">
      <w:pPr>
        <w:rPr>
          <w:lang w:val="en-US"/>
        </w:rPr>
      </w:pPr>
      <w:r>
        <w:rPr>
          <w:noProof/>
          <w:lang w:val="en-US"/>
        </w:rPr>
        <mc:AlternateContent>
          <mc:Choice Requires="wps">
            <w:drawing>
              <wp:anchor distT="0" distB="0" distL="114300" distR="114300" simplePos="0" relativeHeight="251660288" behindDoc="0" locked="0" layoutInCell="1" allowOverlap="1" wp14:anchorId="7C44AC6F" wp14:editId="71981FB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7E4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864E6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44AC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427E4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864E69" w14:textId="77777777" w:rsidR="00405895" w:rsidRDefault="00405895"/>
                  </w:txbxContent>
                </v:textbox>
              </v:shape>
            </w:pict>
          </mc:Fallback>
        </mc:AlternateContent>
      </w:r>
    </w:p>
    <w:p w14:paraId="704B290C" w14:textId="77777777" w:rsidR="00607874" w:rsidRDefault="00607874" w:rsidP="00A851DA">
      <w:pPr>
        <w:rPr>
          <w:lang w:val="en-US"/>
        </w:rPr>
      </w:pPr>
    </w:p>
    <w:p w14:paraId="0E72B72F" w14:textId="77777777" w:rsidR="00607874" w:rsidRDefault="00607874" w:rsidP="00A851DA">
      <w:pPr>
        <w:rPr>
          <w:lang w:val="en-US"/>
        </w:rPr>
      </w:pPr>
    </w:p>
    <w:p w14:paraId="61EA496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31FEE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100C7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BB8667" w14:textId="77777777" w:rsidR="00A851DA" w:rsidRPr="00B0415E" w:rsidRDefault="00946887">
            <w:pPr>
              <w:pStyle w:val="Default"/>
              <w:rPr>
                <w:rFonts w:asciiTheme="minorHAnsi" w:hAnsiTheme="minorHAnsi"/>
              </w:rPr>
            </w:pPr>
            <w:r>
              <w:rPr>
                <w:rFonts w:asciiTheme="minorHAnsi" w:hAnsiTheme="minorHAnsi"/>
              </w:rPr>
              <w:t>Malvi Khimasia</w:t>
            </w:r>
          </w:p>
        </w:tc>
      </w:tr>
      <w:tr w:rsidR="00A851DA" w:rsidRPr="00B0415E" w14:paraId="3D31BE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0A3F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429A99" w14:textId="77777777" w:rsidR="00A851DA" w:rsidRPr="00B0415E" w:rsidRDefault="00946887">
            <w:pPr>
              <w:pStyle w:val="Default"/>
              <w:rPr>
                <w:rFonts w:asciiTheme="minorHAnsi" w:hAnsiTheme="minorHAnsi"/>
              </w:rPr>
            </w:pPr>
            <w:r>
              <w:rPr>
                <w:rFonts w:asciiTheme="minorHAnsi" w:hAnsiTheme="minorHAnsi"/>
              </w:rPr>
              <w:t>2106</w:t>
            </w:r>
          </w:p>
        </w:tc>
      </w:tr>
      <w:tr w:rsidR="00A851DA" w:rsidRPr="00B0415E" w14:paraId="391569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7EC5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BB27A94" w14:textId="77777777" w:rsidR="00A851DA" w:rsidRPr="00B0415E" w:rsidRDefault="00946887">
            <w:pPr>
              <w:pStyle w:val="Default"/>
              <w:rPr>
                <w:rFonts w:asciiTheme="minorHAnsi" w:hAnsiTheme="minorHAnsi"/>
              </w:rPr>
            </w:pPr>
            <w:r>
              <w:rPr>
                <w:rFonts w:asciiTheme="minorHAnsi" w:hAnsiTheme="minorHAnsi"/>
              </w:rPr>
              <w:t>Diploma in Forensic Accounting</w:t>
            </w:r>
          </w:p>
        </w:tc>
      </w:tr>
      <w:tr w:rsidR="00A851DA" w:rsidRPr="00B0415E" w14:paraId="61FE43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85655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8D04CE" w14:textId="77777777" w:rsidR="00A851DA" w:rsidRPr="00B0415E" w:rsidRDefault="004E29E8">
            <w:r>
              <w:t>6</w:t>
            </w:r>
          </w:p>
        </w:tc>
      </w:tr>
    </w:tbl>
    <w:p w14:paraId="725D53FA" w14:textId="77777777" w:rsidR="00CC2FB3" w:rsidRDefault="00CC2FB3" w:rsidP="00A851DA">
      <w:pPr>
        <w:rPr>
          <w:b/>
          <w:lang w:val="en-US"/>
        </w:rPr>
      </w:pPr>
    </w:p>
    <w:p w14:paraId="016B9D21" w14:textId="77777777" w:rsidR="00443E6F" w:rsidRDefault="00527C11" w:rsidP="00A851DA">
      <w:pPr>
        <w:rPr>
          <w:b/>
          <w:sz w:val="28"/>
          <w:lang w:val="en-US"/>
        </w:rPr>
      </w:pPr>
      <w:r w:rsidRPr="00443E6F">
        <w:rPr>
          <w:b/>
          <w:sz w:val="28"/>
          <w:lang w:val="en-US"/>
        </w:rPr>
        <w:t>Marking Criteria:</w:t>
      </w:r>
    </w:p>
    <w:p w14:paraId="18779F7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2DF6C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AC2B7EF" w14:textId="77777777" w:rsidTr="00BD5B32">
        <w:trPr>
          <w:trHeight w:val="7078"/>
        </w:trPr>
        <w:tc>
          <w:tcPr>
            <w:tcW w:w="9242" w:type="dxa"/>
          </w:tcPr>
          <w:p w14:paraId="3E60B4AD"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 xml:space="preserve">1 i. Best evidence also known as primary evidence, is presented as proof of a fact in its original form as opposed to a photocopy or other substitute and that which is admissible in court. Best evidence mostly signifies an original writing, which is considered to be a reliable proof of its existence and therefore it must be offered into evidence at a trial unless it is not available for some legitimate reason. A written instrument such as a formal or legal contract, deed and a will in writing itself is regarded as the best possible evidence. </w:t>
            </w:r>
          </w:p>
          <w:p w14:paraId="1F002F8F" w14:textId="77777777" w:rsidR="004E29E8" w:rsidRPr="004E29E8" w:rsidRDefault="004E29E8" w:rsidP="004E29E8">
            <w:pPr>
              <w:pStyle w:val="NoSpacing"/>
              <w:spacing w:before="30" w:after="30"/>
              <w:ind w:left="850" w:right="850"/>
              <w:rPr>
                <w:rFonts w:ascii="Ariel" w:hAnsi="Ariel"/>
                <w:sz w:val="24"/>
                <w:szCs w:val="24"/>
              </w:rPr>
            </w:pPr>
          </w:p>
          <w:p w14:paraId="652D4B34"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 xml:space="preserve">ii. Conclusions of an investigation are drawn from the evidence gathered, therefore the documents need to be preserved in an efficient manner. Evidence is preserved in accordance to the type of case being investigated. Financial investigations as compared to Non - financial investigations usually result in collection of large number of documents and records leading to an overload of information. This could make the process of compiling information into greater sense if not arranged well. Information gathered could also include non-material information, therefore it would be imperative to separate and organise </w:t>
            </w:r>
            <w:commentRangeStart w:id="0"/>
            <w:r w:rsidRPr="004E29E8">
              <w:rPr>
                <w:rFonts w:ascii="Ariel" w:hAnsi="Ariel"/>
                <w:sz w:val="24"/>
                <w:szCs w:val="24"/>
              </w:rPr>
              <w:t>evidence</w:t>
            </w:r>
            <w:commentRangeEnd w:id="0"/>
            <w:r w:rsidRPr="004E29E8">
              <w:rPr>
                <w:rStyle w:val="CommentReference"/>
                <w:rFonts w:ascii="Ariel" w:hAnsi="Ariel"/>
                <w:sz w:val="24"/>
                <w:szCs w:val="24"/>
              </w:rPr>
              <w:commentReference w:id="0"/>
            </w:r>
            <w:r w:rsidRPr="004E29E8">
              <w:rPr>
                <w:rFonts w:ascii="Ariel" w:hAnsi="Ariel"/>
                <w:sz w:val="24"/>
                <w:szCs w:val="24"/>
              </w:rPr>
              <w:t xml:space="preserve"> gathered according to its credibility. Planning should be done well in time for storage of documentation before the collection process begins. As the investigation progresses, chances of evidence being overridden are high, therefore evidence gathered need to be organised in order to protect it. Investigators save on time and effort by avoiding rummaging through the many documents. Evidence gathered and stored well can only be admissible in court if not altered and damaged.</w:t>
            </w:r>
          </w:p>
          <w:p w14:paraId="15AAE3F5" w14:textId="77777777" w:rsidR="004E29E8" w:rsidRPr="004E29E8" w:rsidRDefault="004E29E8" w:rsidP="004E29E8">
            <w:pPr>
              <w:pStyle w:val="NoSpacing"/>
              <w:spacing w:before="30" w:after="30"/>
              <w:ind w:left="850" w:right="850"/>
              <w:rPr>
                <w:rFonts w:ascii="Ariel" w:hAnsi="Ariel"/>
                <w:sz w:val="24"/>
                <w:szCs w:val="24"/>
              </w:rPr>
            </w:pPr>
          </w:p>
          <w:p w14:paraId="57F7EE37" w14:textId="77777777" w:rsidR="004E29E8" w:rsidRDefault="004E29E8" w:rsidP="004E29E8">
            <w:pPr>
              <w:pStyle w:val="NoSpacing"/>
              <w:spacing w:before="30" w:after="30"/>
              <w:ind w:left="850" w:right="850"/>
              <w:rPr>
                <w:rFonts w:ascii="Ariel" w:hAnsi="Ariel"/>
                <w:sz w:val="24"/>
                <w:szCs w:val="24"/>
              </w:rPr>
            </w:pPr>
          </w:p>
          <w:p w14:paraId="5D7AA75E" w14:textId="77777777" w:rsidR="004E29E8" w:rsidRDefault="004E29E8" w:rsidP="004E29E8">
            <w:pPr>
              <w:pStyle w:val="NoSpacing"/>
              <w:spacing w:before="30" w:after="30"/>
              <w:ind w:left="850" w:right="850"/>
              <w:rPr>
                <w:rFonts w:ascii="Ariel" w:hAnsi="Ariel"/>
                <w:sz w:val="24"/>
                <w:szCs w:val="24"/>
              </w:rPr>
            </w:pPr>
          </w:p>
          <w:p w14:paraId="4573B6DC"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iii. The devices mentioned below assist in collecting evidence:</w:t>
            </w:r>
          </w:p>
          <w:p w14:paraId="033AFD7A"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Digital Cameras</w:t>
            </w:r>
          </w:p>
          <w:p w14:paraId="091AE5D9"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Security systems example: CCTV Cameras, Biometrics</w:t>
            </w:r>
          </w:p>
          <w:p w14:paraId="67F075F9"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Caller ID apps example True Caller</w:t>
            </w:r>
          </w:p>
          <w:p w14:paraId="0EEAAE83"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Network servers</w:t>
            </w:r>
          </w:p>
          <w:p w14:paraId="5C3592B5"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Printers, scanners, copiers - Log in checks</w:t>
            </w:r>
          </w:p>
          <w:p w14:paraId="0E4A0FA9"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Mobile phones and landlines</w:t>
            </w:r>
          </w:p>
          <w:p w14:paraId="4A477B12"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Facsimile machines</w:t>
            </w:r>
          </w:p>
          <w:p w14:paraId="33492F9E"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Global positing systems (GPS)</w:t>
            </w:r>
          </w:p>
          <w:p w14:paraId="19B47E38" w14:textId="77777777" w:rsidR="004E29E8" w:rsidRPr="004E29E8" w:rsidRDefault="004E29E8" w:rsidP="004E29E8">
            <w:pPr>
              <w:pStyle w:val="NoSpacing"/>
              <w:numPr>
                <w:ilvl w:val="0"/>
                <w:numId w:val="22"/>
              </w:numPr>
              <w:spacing w:before="30" w:after="30"/>
              <w:ind w:left="850" w:right="850"/>
              <w:rPr>
                <w:rFonts w:ascii="Ariel" w:hAnsi="Ariel"/>
                <w:sz w:val="24"/>
                <w:szCs w:val="24"/>
              </w:rPr>
            </w:pPr>
            <w:r w:rsidRPr="004E29E8">
              <w:rPr>
                <w:rFonts w:ascii="Ariel" w:hAnsi="Ariel"/>
                <w:sz w:val="24"/>
                <w:szCs w:val="24"/>
              </w:rPr>
              <w:t>Answering machines</w:t>
            </w:r>
          </w:p>
          <w:p w14:paraId="3C5AD833" w14:textId="77777777" w:rsidR="004E29E8" w:rsidRPr="004E29E8" w:rsidRDefault="004E29E8" w:rsidP="004E29E8">
            <w:pPr>
              <w:pStyle w:val="NoSpacing"/>
              <w:spacing w:before="30" w:after="30"/>
              <w:ind w:left="850" w:right="850"/>
              <w:rPr>
                <w:rFonts w:ascii="Ariel" w:hAnsi="Ariel"/>
                <w:sz w:val="24"/>
                <w:szCs w:val="24"/>
              </w:rPr>
            </w:pPr>
          </w:p>
          <w:p w14:paraId="0424FCAA"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iv. Planning beforehand provides an insight on the scope and direction of the evidence gathering process. The points to be considered when planning for evidence gathering process are:</w:t>
            </w:r>
          </w:p>
          <w:p w14:paraId="19FDBAF6"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To meet with the clients to discuss and understand the nature of the investigation, reviewing the business structure and company policies.</w:t>
            </w:r>
          </w:p>
          <w:p w14:paraId="35FA217F"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The type of documents that shall be required to serve as evidence and which will be relevant to the investigation.</w:t>
            </w:r>
          </w:p>
          <w:p w14:paraId="57E3CC78"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Reviewing of accounting and technology software used to record daily business transactions.</w:t>
            </w:r>
          </w:p>
          <w:p w14:paraId="5927EE6F"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Identifying and visiting the storage location for documents on paper or server.</w:t>
            </w:r>
          </w:p>
          <w:p w14:paraId="6BF3062B"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To identify how many branches exist and if one business policy is followed in all locations.</w:t>
            </w:r>
          </w:p>
          <w:p w14:paraId="65408466"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Evaluating any system changes that might have occurred in the accounting or other system.</w:t>
            </w:r>
          </w:p>
          <w:p w14:paraId="772422BB"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 xml:space="preserve">To check how often or if any </w:t>
            </w:r>
            <w:r w:rsidRPr="004E29E8">
              <w:rPr>
                <w:rFonts w:ascii="Ariel" w:hAnsi="Ariel"/>
                <w:sz w:val="24"/>
                <w:szCs w:val="24"/>
              </w:rPr>
              <w:t>backups</w:t>
            </w:r>
            <w:r w:rsidRPr="004E29E8">
              <w:rPr>
                <w:rFonts w:ascii="Ariel" w:hAnsi="Ariel"/>
                <w:sz w:val="24"/>
                <w:szCs w:val="24"/>
              </w:rPr>
              <w:t xml:space="preserve"> are kept on server or hard drive for aged data.</w:t>
            </w:r>
          </w:p>
          <w:p w14:paraId="40554C6E" w14:textId="77777777" w:rsidR="004E29E8" w:rsidRPr="004E29E8" w:rsidRDefault="004E29E8" w:rsidP="004E29E8">
            <w:pPr>
              <w:pStyle w:val="NoSpacing"/>
              <w:numPr>
                <w:ilvl w:val="0"/>
                <w:numId w:val="23"/>
              </w:numPr>
              <w:spacing w:before="30" w:after="30"/>
              <w:ind w:left="850" w:right="850"/>
              <w:rPr>
                <w:rFonts w:ascii="Ariel" w:hAnsi="Ariel"/>
                <w:sz w:val="24"/>
                <w:szCs w:val="24"/>
              </w:rPr>
            </w:pPr>
            <w:r w:rsidRPr="004E29E8">
              <w:rPr>
                <w:rFonts w:ascii="Ariel" w:hAnsi="Ariel"/>
                <w:sz w:val="24"/>
                <w:szCs w:val="24"/>
              </w:rPr>
              <w:t>To allocate work to expertise of different fields accordingly based on the level required and set deadlines to the investigative process.</w:t>
            </w:r>
          </w:p>
          <w:p w14:paraId="2361F267" w14:textId="77777777" w:rsidR="004E29E8" w:rsidRPr="004E29E8" w:rsidRDefault="004E29E8" w:rsidP="004E29E8">
            <w:pPr>
              <w:pStyle w:val="NoSpacing"/>
              <w:spacing w:before="30" w:after="30"/>
              <w:ind w:left="850" w:right="850"/>
              <w:rPr>
                <w:rFonts w:ascii="Ariel" w:hAnsi="Ariel"/>
                <w:sz w:val="24"/>
                <w:szCs w:val="24"/>
              </w:rPr>
            </w:pPr>
          </w:p>
          <w:p w14:paraId="7F9D161B"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 xml:space="preserve">v. Working papers encompass of documents and materials which are used to support an investigation and they differ from one investigation to another depending the case. Working papers are used by professionals such as accountants, auditors, lawyers etcetera. </w:t>
            </w:r>
          </w:p>
          <w:p w14:paraId="48660EF5"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The following is a list that comprises of different working papers:</w:t>
            </w:r>
          </w:p>
          <w:p w14:paraId="0E589E4E" w14:textId="77777777" w:rsidR="004E29E8" w:rsidRPr="004E29E8" w:rsidRDefault="004E29E8" w:rsidP="004E29E8">
            <w:pPr>
              <w:pStyle w:val="NoSpacing"/>
              <w:numPr>
                <w:ilvl w:val="0"/>
                <w:numId w:val="24"/>
              </w:numPr>
              <w:spacing w:before="30" w:after="30"/>
              <w:ind w:left="850" w:right="850"/>
              <w:rPr>
                <w:rFonts w:ascii="Ariel" w:hAnsi="Ariel"/>
                <w:sz w:val="24"/>
                <w:szCs w:val="24"/>
              </w:rPr>
            </w:pPr>
            <w:r w:rsidRPr="004E29E8">
              <w:rPr>
                <w:rFonts w:ascii="Ariel" w:hAnsi="Ariel"/>
                <w:sz w:val="24"/>
                <w:szCs w:val="24"/>
              </w:rPr>
              <w:t>Accounting records - these include general ledgers, debtors and creditors list, aged debtors and creditors summary, summary of journal entries, reconciliations, management reports, purchase orders and any other accounting related documents</w:t>
            </w:r>
          </w:p>
          <w:p w14:paraId="78BDCCE1" w14:textId="77777777" w:rsidR="004E29E8" w:rsidRPr="004E29E8" w:rsidRDefault="004E29E8" w:rsidP="004E29E8">
            <w:pPr>
              <w:pStyle w:val="NoSpacing"/>
              <w:numPr>
                <w:ilvl w:val="0"/>
                <w:numId w:val="24"/>
              </w:numPr>
              <w:spacing w:before="30" w:after="30"/>
              <w:ind w:left="850" w:right="850"/>
              <w:rPr>
                <w:rFonts w:ascii="Ariel" w:hAnsi="Ariel"/>
                <w:sz w:val="24"/>
                <w:szCs w:val="24"/>
              </w:rPr>
            </w:pPr>
            <w:r w:rsidRPr="004E29E8">
              <w:rPr>
                <w:rFonts w:ascii="Ariel" w:hAnsi="Ariel"/>
                <w:sz w:val="24"/>
                <w:szCs w:val="24"/>
              </w:rPr>
              <w:t>Electronic records - these include emails, website, log in and log out checks, computer files, any other data stored in e-form.</w:t>
            </w:r>
          </w:p>
          <w:p w14:paraId="2469DCEF" w14:textId="77777777" w:rsidR="004E29E8" w:rsidRPr="004E29E8" w:rsidRDefault="004E29E8" w:rsidP="004E29E8">
            <w:pPr>
              <w:pStyle w:val="NoSpacing"/>
              <w:numPr>
                <w:ilvl w:val="0"/>
                <w:numId w:val="24"/>
              </w:numPr>
              <w:spacing w:before="30" w:after="30"/>
              <w:ind w:left="850" w:right="850"/>
              <w:rPr>
                <w:rFonts w:ascii="Ariel" w:hAnsi="Ariel"/>
                <w:sz w:val="24"/>
                <w:szCs w:val="24"/>
              </w:rPr>
            </w:pPr>
            <w:r w:rsidRPr="004E29E8">
              <w:rPr>
                <w:rFonts w:ascii="Ariel" w:hAnsi="Ariel"/>
                <w:sz w:val="24"/>
                <w:szCs w:val="24"/>
              </w:rPr>
              <w:t>Public records - these include newspaper articles, magazines, and social network sites such as linkedin and facebook, published financial statements.</w:t>
            </w:r>
          </w:p>
          <w:p w14:paraId="0C4D86C8" w14:textId="77777777" w:rsidR="004E29E8" w:rsidRPr="004E29E8" w:rsidRDefault="004E29E8" w:rsidP="004E29E8">
            <w:pPr>
              <w:pStyle w:val="NoSpacing"/>
              <w:numPr>
                <w:ilvl w:val="0"/>
                <w:numId w:val="24"/>
              </w:numPr>
              <w:spacing w:before="30" w:after="30"/>
              <w:ind w:left="850" w:right="850"/>
              <w:rPr>
                <w:rFonts w:ascii="Ariel" w:hAnsi="Ariel"/>
                <w:sz w:val="24"/>
                <w:szCs w:val="24"/>
              </w:rPr>
            </w:pPr>
            <w:r w:rsidRPr="004E29E8">
              <w:rPr>
                <w:rFonts w:ascii="Ariel" w:hAnsi="Ariel"/>
                <w:sz w:val="24"/>
                <w:szCs w:val="24"/>
              </w:rPr>
              <w:lastRenderedPageBreak/>
              <w:t>Photographs or digital photos with details of date and time.</w:t>
            </w:r>
          </w:p>
          <w:p w14:paraId="153864DA" w14:textId="77777777" w:rsidR="004E29E8" w:rsidRPr="004E29E8" w:rsidRDefault="004E29E8" w:rsidP="004E29E8">
            <w:pPr>
              <w:pStyle w:val="NoSpacing"/>
              <w:numPr>
                <w:ilvl w:val="0"/>
                <w:numId w:val="24"/>
              </w:numPr>
              <w:spacing w:before="30" w:after="30"/>
              <w:ind w:left="850" w:right="850"/>
              <w:rPr>
                <w:rFonts w:ascii="Ariel" w:hAnsi="Ariel"/>
                <w:sz w:val="24"/>
                <w:szCs w:val="24"/>
              </w:rPr>
            </w:pPr>
            <w:r w:rsidRPr="004E29E8">
              <w:rPr>
                <w:rFonts w:ascii="Ariel" w:hAnsi="Ariel"/>
                <w:sz w:val="24"/>
                <w:szCs w:val="24"/>
              </w:rPr>
              <w:t>Legal records - legal documents such as will, title deed, notes made when conducting interview with witness, suspects or other personnel, Audio recordings and video clippings and court deposition transcripts.</w:t>
            </w:r>
          </w:p>
          <w:p w14:paraId="2F81A988" w14:textId="77777777" w:rsidR="004E29E8" w:rsidRPr="004E29E8" w:rsidRDefault="004E29E8" w:rsidP="004E29E8">
            <w:pPr>
              <w:pStyle w:val="NoSpacing"/>
              <w:numPr>
                <w:ilvl w:val="0"/>
                <w:numId w:val="24"/>
              </w:numPr>
              <w:spacing w:before="30" w:after="30"/>
              <w:ind w:left="850" w:right="850"/>
              <w:rPr>
                <w:rFonts w:ascii="Ariel" w:hAnsi="Ariel"/>
                <w:sz w:val="24"/>
                <w:szCs w:val="24"/>
              </w:rPr>
            </w:pPr>
            <w:r w:rsidRPr="004E29E8">
              <w:rPr>
                <w:rFonts w:ascii="Ariel" w:hAnsi="Ariel"/>
                <w:sz w:val="24"/>
                <w:szCs w:val="24"/>
              </w:rPr>
              <w:t>Third party information - this information provided by counsellors, consultants, external auditors such as letters, bank statements, reports, banking advices, cancelled cheque.</w:t>
            </w:r>
          </w:p>
          <w:p w14:paraId="1C5191F0" w14:textId="77777777" w:rsidR="004E29E8" w:rsidRPr="004E29E8" w:rsidRDefault="004E29E8" w:rsidP="004E29E8">
            <w:pPr>
              <w:pStyle w:val="NoSpacing"/>
              <w:spacing w:before="30" w:after="30"/>
              <w:ind w:left="850" w:right="850"/>
              <w:rPr>
                <w:rFonts w:ascii="Ariel" w:hAnsi="Ariel"/>
                <w:sz w:val="24"/>
                <w:szCs w:val="24"/>
              </w:rPr>
            </w:pPr>
          </w:p>
          <w:p w14:paraId="00585B44"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vi. The main steps involved in the evidence gathering process are:</w:t>
            </w:r>
          </w:p>
          <w:p w14:paraId="58B1E039" w14:textId="77777777" w:rsidR="004E29E8" w:rsidRPr="004E29E8" w:rsidRDefault="004E29E8" w:rsidP="004E29E8">
            <w:pPr>
              <w:pStyle w:val="NoSpacing"/>
              <w:spacing w:before="30" w:after="30"/>
              <w:ind w:left="850" w:right="850"/>
              <w:rPr>
                <w:rFonts w:ascii="Ariel" w:hAnsi="Ariel"/>
                <w:sz w:val="24"/>
                <w:szCs w:val="24"/>
              </w:rPr>
            </w:pPr>
          </w:p>
          <w:p w14:paraId="3AF3BE1B" w14:textId="77777777" w:rsidR="004E29E8" w:rsidRPr="004E29E8" w:rsidRDefault="004E29E8" w:rsidP="004E29E8">
            <w:pPr>
              <w:pStyle w:val="NoSpacing"/>
              <w:numPr>
                <w:ilvl w:val="0"/>
                <w:numId w:val="25"/>
              </w:numPr>
              <w:spacing w:before="30" w:after="30"/>
              <w:ind w:left="850" w:right="850"/>
              <w:rPr>
                <w:rFonts w:ascii="Ariel" w:hAnsi="Ariel"/>
                <w:sz w:val="24"/>
                <w:szCs w:val="24"/>
              </w:rPr>
            </w:pPr>
            <w:r w:rsidRPr="004E29E8">
              <w:rPr>
                <w:rFonts w:ascii="Ariel" w:hAnsi="Ariel"/>
                <w:sz w:val="24"/>
                <w:szCs w:val="24"/>
              </w:rPr>
              <w:t xml:space="preserve">Document retention gathering - Investigations rely heavily on documentary proof therefore preservation of documents is of utmost importance. Physical documents must be stored in a </w:t>
            </w:r>
            <w:r w:rsidRPr="004E29E8">
              <w:rPr>
                <w:rFonts w:ascii="Ariel" w:hAnsi="Ariel"/>
                <w:sz w:val="24"/>
                <w:szCs w:val="24"/>
              </w:rPr>
              <w:t>well-designed</w:t>
            </w:r>
            <w:r w:rsidRPr="004E29E8">
              <w:rPr>
                <w:rFonts w:ascii="Ariel" w:hAnsi="Ariel"/>
                <w:sz w:val="24"/>
                <w:szCs w:val="24"/>
              </w:rPr>
              <w:t xml:space="preserve"> manner for it to be easily accessible. Evidence available from the accounting system should be retained and a backup file should be created as transactions can be added or deleted and accounting systems can be modified.</w:t>
            </w:r>
          </w:p>
          <w:p w14:paraId="33D0DA0A" w14:textId="77777777" w:rsidR="004E29E8" w:rsidRPr="004E29E8" w:rsidRDefault="004E29E8" w:rsidP="004E29E8">
            <w:pPr>
              <w:pStyle w:val="NoSpacing"/>
              <w:numPr>
                <w:ilvl w:val="0"/>
                <w:numId w:val="25"/>
              </w:numPr>
              <w:spacing w:before="30" w:after="30"/>
              <w:ind w:left="850" w:right="850"/>
              <w:rPr>
                <w:rFonts w:ascii="Ariel" w:hAnsi="Ariel"/>
                <w:sz w:val="24"/>
                <w:szCs w:val="24"/>
              </w:rPr>
            </w:pPr>
            <w:r w:rsidRPr="004E29E8">
              <w:rPr>
                <w:rFonts w:ascii="Ariel" w:hAnsi="Ariel"/>
                <w:sz w:val="24"/>
                <w:szCs w:val="24"/>
              </w:rPr>
              <w:t>Planning considerations - Meeting up with clients to understand the business and accounting systems provides a helpful tool to obtain information archived at different locations to save out on time and keep the investigative process flowing. It also prepares the client in advance on what information will be required and to keep it ready and available to the investigators.</w:t>
            </w:r>
          </w:p>
          <w:p w14:paraId="6E498F5E" w14:textId="77777777" w:rsidR="004E29E8" w:rsidRPr="004E29E8" w:rsidRDefault="004E29E8" w:rsidP="004E29E8">
            <w:pPr>
              <w:pStyle w:val="NoSpacing"/>
              <w:numPr>
                <w:ilvl w:val="0"/>
                <w:numId w:val="25"/>
              </w:numPr>
              <w:spacing w:before="30" w:after="30"/>
              <w:ind w:left="850" w:right="850"/>
              <w:rPr>
                <w:rFonts w:ascii="Ariel" w:hAnsi="Ariel"/>
                <w:sz w:val="24"/>
                <w:szCs w:val="24"/>
              </w:rPr>
            </w:pPr>
            <w:r w:rsidRPr="004E29E8">
              <w:rPr>
                <w:rFonts w:ascii="Ariel" w:hAnsi="Ariel"/>
                <w:sz w:val="24"/>
                <w:szCs w:val="24"/>
              </w:rPr>
              <w:t>Creating a chain of custody- This needs to be set up with counsel and client before gathering evidence to serve as proof that the evidence has been preserved by following the protocols. Its significance is to present evidence in court of value.</w:t>
            </w:r>
          </w:p>
          <w:p w14:paraId="170DEBE8" w14:textId="77777777" w:rsidR="004E29E8" w:rsidRPr="004E29E8" w:rsidRDefault="004E29E8" w:rsidP="004E29E8">
            <w:pPr>
              <w:pStyle w:val="NoSpacing"/>
              <w:spacing w:before="30" w:after="30"/>
              <w:ind w:left="850" w:right="850"/>
              <w:rPr>
                <w:rFonts w:ascii="Ariel" w:hAnsi="Ariel"/>
                <w:sz w:val="24"/>
                <w:szCs w:val="24"/>
              </w:rPr>
            </w:pPr>
          </w:p>
          <w:p w14:paraId="0C1FE658"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vii. Documents collected in the evidence gathering process differ in each investigation depending on the nature of the case such as:</w:t>
            </w:r>
          </w:p>
          <w:p w14:paraId="3ED48740" w14:textId="77777777" w:rsidR="004E29E8" w:rsidRPr="004E29E8" w:rsidRDefault="004E29E8" w:rsidP="004E29E8">
            <w:pPr>
              <w:pStyle w:val="NoSpacing"/>
              <w:spacing w:before="30" w:after="30"/>
              <w:ind w:left="850" w:right="850"/>
              <w:rPr>
                <w:rFonts w:ascii="Ariel" w:hAnsi="Ariel"/>
                <w:sz w:val="24"/>
                <w:szCs w:val="24"/>
              </w:rPr>
            </w:pPr>
          </w:p>
          <w:p w14:paraId="7A556E73" w14:textId="77777777" w:rsidR="004E29E8" w:rsidRPr="004E29E8" w:rsidRDefault="004E29E8" w:rsidP="004E29E8">
            <w:pPr>
              <w:pStyle w:val="NoSpacing"/>
              <w:numPr>
                <w:ilvl w:val="0"/>
                <w:numId w:val="26"/>
              </w:numPr>
              <w:spacing w:before="30" w:after="30"/>
              <w:ind w:left="850" w:right="850"/>
              <w:rPr>
                <w:rFonts w:ascii="Ariel" w:hAnsi="Ariel"/>
                <w:sz w:val="24"/>
                <w:szCs w:val="24"/>
              </w:rPr>
            </w:pPr>
            <w:r w:rsidRPr="004E29E8">
              <w:rPr>
                <w:rFonts w:ascii="Ariel" w:hAnsi="Ariel"/>
                <w:sz w:val="24"/>
                <w:szCs w:val="24"/>
              </w:rPr>
              <w:t>Investigation of Financial Statement Fraud - The following will be reviewed such as company’s bank statements, emails, accounting records, general ledgers, customer and supplier files and employer files. Sources of these documents would be from accounting software, e-mail server, interviewing third parties such as banks, employees, customers, suppliers for evidence of transactions.</w:t>
            </w:r>
          </w:p>
          <w:p w14:paraId="3A7B2791" w14:textId="77777777" w:rsidR="004E29E8" w:rsidRPr="004E29E8" w:rsidRDefault="004E29E8" w:rsidP="004E29E8">
            <w:pPr>
              <w:pStyle w:val="NoSpacing"/>
              <w:numPr>
                <w:ilvl w:val="0"/>
                <w:numId w:val="26"/>
              </w:numPr>
              <w:spacing w:before="30" w:after="30"/>
              <w:ind w:left="850" w:right="850"/>
              <w:rPr>
                <w:rFonts w:ascii="Ariel" w:hAnsi="Ariel"/>
                <w:sz w:val="24"/>
                <w:szCs w:val="24"/>
              </w:rPr>
            </w:pPr>
            <w:r w:rsidRPr="004E29E8">
              <w:rPr>
                <w:rFonts w:ascii="Ariel" w:hAnsi="Ariel"/>
                <w:sz w:val="24"/>
                <w:szCs w:val="24"/>
              </w:rPr>
              <w:t>Investigation of Employee Misappropriations - Focus is given on gathering documents linked to the type of work handled by the employee such as work and personal email correspondences, personal bank statements, desk files, computer data, cell phone calls and messages records etc. Sources of this evidence can be gathered from the suspect, third party and victim from the bank for statements, paperwork, intranet and emails.</w:t>
            </w:r>
          </w:p>
          <w:p w14:paraId="21A9ADD5" w14:textId="77777777" w:rsidR="004E29E8" w:rsidRPr="004E29E8" w:rsidRDefault="004E29E8" w:rsidP="004E29E8">
            <w:pPr>
              <w:pStyle w:val="NoSpacing"/>
              <w:numPr>
                <w:ilvl w:val="0"/>
                <w:numId w:val="26"/>
              </w:numPr>
              <w:spacing w:before="30" w:after="30"/>
              <w:ind w:left="850" w:right="850"/>
              <w:rPr>
                <w:rFonts w:ascii="Ariel" w:hAnsi="Ariel"/>
                <w:sz w:val="24"/>
                <w:szCs w:val="24"/>
              </w:rPr>
            </w:pPr>
            <w:r w:rsidRPr="004E29E8">
              <w:rPr>
                <w:rFonts w:ascii="Ariel" w:hAnsi="Ariel"/>
                <w:sz w:val="24"/>
                <w:szCs w:val="24"/>
              </w:rPr>
              <w:t xml:space="preserve">Investigation of Vendors - Information reviewed and gathered in this case would be local purchase order confirming the order, authorised signatories, invoices and delivery notes and payment vouchers. Sources of this information should be both from the suspect and victim for </w:t>
            </w:r>
            <w:r w:rsidRPr="004E29E8">
              <w:rPr>
                <w:rFonts w:ascii="Ariel" w:hAnsi="Ariel"/>
                <w:sz w:val="24"/>
                <w:szCs w:val="24"/>
              </w:rPr>
              <w:lastRenderedPageBreak/>
              <w:t>paperwork, email if any e-communication with the vendor and, internet for vendor information.</w:t>
            </w:r>
          </w:p>
          <w:p w14:paraId="057E9B26" w14:textId="77777777" w:rsidR="004E29E8" w:rsidRPr="004E29E8" w:rsidRDefault="004E29E8" w:rsidP="004E29E8">
            <w:pPr>
              <w:pStyle w:val="NoSpacing"/>
              <w:spacing w:before="30" w:after="30"/>
              <w:ind w:left="850" w:right="850"/>
              <w:rPr>
                <w:rFonts w:ascii="Ariel" w:hAnsi="Ariel"/>
                <w:sz w:val="24"/>
                <w:szCs w:val="24"/>
              </w:rPr>
            </w:pPr>
          </w:p>
          <w:p w14:paraId="6512C151"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2. Evidence comes in many types and even if it's not admissible in court it can still be significant to the ongoing investigation process. Financial investigations are mostly reactive or historic, therefore they rely heavily on document based evidence. Documents used as evidence which are formed prior to or during the commission of the offence usually include bank records, accounting records, legal documents and instruments. These mentioned documents are normally the basis of a financial investigation, however, personal records like correspondence, mobile phone records and work diary should not be overlooked. With the digital era now, investigators must be prepared to download or know how to access documents legally if available in e-form only rather than hard copies. Financial investigations on drugs smuggling or money laundering offences involve visiting the physical locations where evidence such as notes, score sheets, traces of drugs, fingerprints can further link the suspect to the offence.</w:t>
            </w:r>
          </w:p>
          <w:p w14:paraId="1B8F2954" w14:textId="77777777" w:rsidR="004E29E8" w:rsidRPr="004E29E8" w:rsidRDefault="004E29E8" w:rsidP="004E29E8">
            <w:pPr>
              <w:pStyle w:val="NoSpacing"/>
              <w:spacing w:before="30" w:after="30"/>
              <w:ind w:left="850" w:right="850"/>
              <w:rPr>
                <w:rFonts w:ascii="Ariel" w:hAnsi="Ariel"/>
                <w:sz w:val="24"/>
                <w:szCs w:val="24"/>
              </w:rPr>
            </w:pPr>
          </w:p>
          <w:p w14:paraId="5E313A61" w14:textId="77777777" w:rsidR="004E29E8" w:rsidRPr="004E29E8" w:rsidRDefault="004E29E8" w:rsidP="004E29E8">
            <w:pPr>
              <w:pStyle w:val="NoSpacing"/>
              <w:spacing w:before="30" w:after="30"/>
              <w:ind w:left="850" w:right="850"/>
              <w:rPr>
                <w:rFonts w:ascii="Ariel" w:hAnsi="Ariel"/>
                <w:sz w:val="24"/>
                <w:szCs w:val="24"/>
              </w:rPr>
            </w:pPr>
            <w:r w:rsidRPr="004E29E8">
              <w:rPr>
                <w:rFonts w:ascii="Ariel" w:hAnsi="Ariel"/>
                <w:sz w:val="24"/>
                <w:szCs w:val="24"/>
              </w:rPr>
              <w:t>3. As mentioned above, financial crimes will have more documentary evidence such as bank records, accounting records, legal records, subpoenas, to support his /her allegations as compared to non-financial crimes. Non-financial crimes such as burglary and murder have their own set of challenges, however it requires gathering real evidence such as verifying finger prints or tool marks to prove the crime. Testimony evidence comprises of people's oral narrations based on their memory or interpretations of documents containing information regarding the investigation. This type of evidence gathering can be used in both non-financial and financial crimes, but would be more appropriate and useful in proving non-financial crimes. Physical evidence gathering process would also be used to prove non-financial crimes as opposed to in a financial crime. Financial crimes tend to become more complicated as the investigation process begins hence volume of evidence in form of documents required to prove a case is higher than non-financial crimes.</w:t>
            </w:r>
          </w:p>
          <w:p w14:paraId="2199844A" w14:textId="77777777" w:rsidR="004E29E8" w:rsidRDefault="004E29E8" w:rsidP="004E29E8">
            <w:pPr>
              <w:pStyle w:val="NoSpacing"/>
              <w:rPr>
                <w:rFonts w:ascii="Ariel" w:hAnsi="Ariel"/>
                <w:sz w:val="24"/>
                <w:szCs w:val="24"/>
              </w:rPr>
            </w:pPr>
          </w:p>
          <w:p w14:paraId="1974D7B0" w14:textId="77777777" w:rsidR="008A5EA4" w:rsidRPr="00DA4C1B" w:rsidRDefault="008A5EA4" w:rsidP="008A5EA4">
            <w:pPr>
              <w:pStyle w:val="NoSpacing"/>
              <w:spacing w:before="30" w:after="30"/>
              <w:ind w:left="850" w:right="850" w:hanging="426"/>
              <w:rPr>
                <w:rFonts w:ascii="Ariel" w:hAnsi="Ariel"/>
                <w:sz w:val="24"/>
                <w:szCs w:val="24"/>
              </w:rPr>
            </w:pPr>
          </w:p>
          <w:p w14:paraId="32833562" w14:textId="77777777" w:rsidR="008A5EA4" w:rsidRPr="00DA4C1B" w:rsidRDefault="008A5EA4" w:rsidP="008A5EA4">
            <w:pPr>
              <w:spacing w:before="30" w:after="30"/>
              <w:ind w:left="850" w:right="850"/>
              <w:rPr>
                <w:rFonts w:ascii="Ariel" w:hAnsi="Ariel"/>
                <w:sz w:val="24"/>
                <w:szCs w:val="24"/>
              </w:rPr>
            </w:pPr>
          </w:p>
          <w:p w14:paraId="6EA3BE26" w14:textId="77777777" w:rsidR="00CC2FB3" w:rsidRPr="005E00BC" w:rsidRDefault="00CC2FB3" w:rsidP="008A5EA4">
            <w:pPr>
              <w:spacing w:before="30" w:after="30"/>
              <w:ind w:left="850" w:right="850"/>
              <w:rPr>
                <w:rFonts w:ascii="Ariel" w:hAnsi="Ariel"/>
                <w:sz w:val="24"/>
                <w:szCs w:val="24"/>
              </w:rPr>
            </w:pPr>
          </w:p>
        </w:tc>
      </w:tr>
    </w:tbl>
    <w:p w14:paraId="3B1716A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CDD6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6A2E73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8D1F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FC128E"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1" w:name="_GoBack"/>
      <w:bookmarkEnd w:id="1"/>
    </w:p>
    <w:p w14:paraId="3360CF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4181E2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14:paraId="195DDD8C" w14:textId="77777777" w:rsidTr="00405895">
        <w:tc>
          <w:tcPr>
            <w:tcW w:w="2310" w:type="dxa"/>
            <w:shd w:val="clear" w:color="auto" w:fill="D9D9D9" w:themeFill="background1" w:themeFillShade="D9"/>
          </w:tcPr>
          <w:p w14:paraId="4C49F16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BE9C1D" w14:textId="77777777" w:rsidR="00405895" w:rsidRPr="00B0415E" w:rsidRDefault="00BD5B32" w:rsidP="00A851DA">
            <w:pPr>
              <w:rPr>
                <w:rFonts w:cs="Bliss-Regular"/>
                <w:color w:val="000000"/>
              </w:rPr>
            </w:pPr>
            <w:r>
              <w:rPr>
                <w:rFonts w:cs="Bliss-Regular"/>
                <w:color w:val="000000"/>
              </w:rPr>
              <w:t>Malvi Khimasia</w:t>
            </w:r>
          </w:p>
        </w:tc>
        <w:tc>
          <w:tcPr>
            <w:tcW w:w="1276" w:type="dxa"/>
            <w:shd w:val="clear" w:color="auto" w:fill="D9D9D9" w:themeFill="background1" w:themeFillShade="D9"/>
          </w:tcPr>
          <w:p w14:paraId="6A77D80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A6858B" w14:textId="77777777" w:rsidR="00405895" w:rsidRPr="00B0415E" w:rsidRDefault="004E29E8" w:rsidP="00A851DA">
            <w:pPr>
              <w:rPr>
                <w:rFonts w:cs="Bliss-Regular"/>
                <w:color w:val="000000"/>
              </w:rPr>
            </w:pPr>
            <w:r>
              <w:rPr>
                <w:rFonts w:cs="Bliss-Regular"/>
                <w:color w:val="000000"/>
              </w:rPr>
              <w:t>14.11</w:t>
            </w:r>
            <w:r w:rsidR="008A5EA4">
              <w:rPr>
                <w:rFonts w:cs="Bliss-Regular"/>
                <w:color w:val="000000"/>
              </w:rPr>
              <w:t>.16</w:t>
            </w:r>
          </w:p>
        </w:tc>
      </w:tr>
    </w:tbl>
    <w:p w14:paraId="4108F23E" w14:textId="77777777" w:rsidR="00A851DA" w:rsidRPr="00B0415E" w:rsidRDefault="00A851DA" w:rsidP="00A851DA">
      <w:pPr>
        <w:rPr>
          <w:rFonts w:cs="Bliss-Regular"/>
          <w:color w:val="000000"/>
          <w:lang w:val="en-US"/>
        </w:rPr>
      </w:pPr>
    </w:p>
    <w:p w14:paraId="0F41F8B6" w14:textId="77777777" w:rsidR="00A851DA" w:rsidRPr="00B0415E" w:rsidRDefault="00A851DA" w:rsidP="00A851DA">
      <w:pPr>
        <w:rPr>
          <w:rFonts w:cs="Bliss-Regular"/>
          <w:color w:val="000000"/>
          <w:lang w:val="en-US"/>
        </w:rPr>
      </w:pPr>
    </w:p>
    <w:p w14:paraId="70EF1CD4"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F9651FB" w14:textId="77777777" w:rsidTr="00B0415E">
        <w:trPr>
          <w:trHeight w:val="249"/>
        </w:trPr>
        <w:tc>
          <w:tcPr>
            <w:tcW w:w="4621" w:type="dxa"/>
            <w:shd w:val="clear" w:color="auto" w:fill="D9D9D9" w:themeFill="background1" w:themeFillShade="D9"/>
          </w:tcPr>
          <w:p w14:paraId="2031F27E" w14:textId="77777777" w:rsidR="00503D7E" w:rsidRPr="00B0415E" w:rsidRDefault="00503D7E" w:rsidP="00503D7E">
            <w:pPr>
              <w:rPr>
                <w:b/>
                <w:color w:val="002060"/>
              </w:rPr>
            </w:pPr>
            <w:r w:rsidRPr="00B0415E">
              <w:rPr>
                <w:b/>
                <w:color w:val="002060"/>
              </w:rPr>
              <w:t>Total Marks</w:t>
            </w:r>
          </w:p>
        </w:tc>
        <w:tc>
          <w:tcPr>
            <w:tcW w:w="4621" w:type="dxa"/>
          </w:tcPr>
          <w:p w14:paraId="3730A0D1" w14:textId="77777777" w:rsidR="00503D7E" w:rsidRPr="00B0415E" w:rsidRDefault="00503D7E" w:rsidP="00503D7E">
            <w:pPr>
              <w:rPr>
                <w:rFonts w:cs="Times New Roman"/>
                <w:szCs w:val="32"/>
              </w:rPr>
            </w:pPr>
          </w:p>
        </w:tc>
      </w:tr>
      <w:tr w:rsidR="00503D7E" w:rsidRPr="00B0415E" w14:paraId="5397D742" w14:textId="77777777" w:rsidTr="00B0415E">
        <w:tc>
          <w:tcPr>
            <w:tcW w:w="4621" w:type="dxa"/>
            <w:shd w:val="clear" w:color="auto" w:fill="D9D9D9" w:themeFill="background1" w:themeFillShade="D9"/>
          </w:tcPr>
          <w:p w14:paraId="24D40525" w14:textId="77777777" w:rsidR="00503D7E" w:rsidRPr="00B0415E" w:rsidRDefault="00503D7E" w:rsidP="00503D7E">
            <w:pPr>
              <w:rPr>
                <w:b/>
                <w:color w:val="002060"/>
              </w:rPr>
            </w:pPr>
            <w:r w:rsidRPr="00B0415E">
              <w:rPr>
                <w:b/>
                <w:color w:val="002060"/>
              </w:rPr>
              <w:t>Marks Obtained</w:t>
            </w:r>
          </w:p>
        </w:tc>
        <w:tc>
          <w:tcPr>
            <w:tcW w:w="4621" w:type="dxa"/>
          </w:tcPr>
          <w:p w14:paraId="74D612B0" w14:textId="77777777" w:rsidR="00503D7E" w:rsidRPr="00B0415E" w:rsidRDefault="00503D7E" w:rsidP="00503D7E">
            <w:pPr>
              <w:rPr>
                <w:rFonts w:cs="Times New Roman"/>
                <w:szCs w:val="32"/>
              </w:rPr>
            </w:pPr>
          </w:p>
        </w:tc>
      </w:tr>
      <w:tr w:rsidR="00503D7E" w:rsidRPr="00B0415E" w14:paraId="01E4651A" w14:textId="77777777" w:rsidTr="00B0415E">
        <w:tc>
          <w:tcPr>
            <w:tcW w:w="4621" w:type="dxa"/>
            <w:shd w:val="clear" w:color="auto" w:fill="D9D9D9" w:themeFill="background1" w:themeFillShade="D9"/>
          </w:tcPr>
          <w:p w14:paraId="0329D96B" w14:textId="77777777" w:rsidR="00503D7E" w:rsidRPr="00B0415E" w:rsidRDefault="00B0415E" w:rsidP="00503D7E">
            <w:pPr>
              <w:rPr>
                <w:b/>
                <w:color w:val="002060"/>
              </w:rPr>
            </w:pPr>
            <w:r w:rsidRPr="00B0415E">
              <w:rPr>
                <w:b/>
                <w:color w:val="002060"/>
              </w:rPr>
              <w:t>Percentage / Grade</w:t>
            </w:r>
          </w:p>
        </w:tc>
        <w:tc>
          <w:tcPr>
            <w:tcW w:w="4621" w:type="dxa"/>
          </w:tcPr>
          <w:p w14:paraId="77869A8F" w14:textId="77777777" w:rsidR="00503D7E" w:rsidRPr="00B0415E" w:rsidRDefault="00503D7E" w:rsidP="00503D7E">
            <w:pPr>
              <w:rPr>
                <w:rFonts w:cs="Times New Roman"/>
                <w:szCs w:val="32"/>
              </w:rPr>
            </w:pPr>
          </w:p>
        </w:tc>
      </w:tr>
    </w:tbl>
    <w:p w14:paraId="3207584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16-11-14T08:52:00Z" w:initials="u">
    <w:p w14:paraId="1B0FEDFF" w14:textId="77777777" w:rsidR="004E29E8" w:rsidRDefault="004E29E8" w:rsidP="004E29E8">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B0FEDF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78414E" w14:textId="77777777" w:rsidR="00AD7DD2" w:rsidRDefault="00AD7DD2" w:rsidP="00CB4D0A">
      <w:pPr>
        <w:spacing w:after="0" w:line="240" w:lineRule="auto"/>
      </w:pPr>
      <w:r>
        <w:separator/>
      </w:r>
    </w:p>
  </w:endnote>
  <w:endnote w:type="continuationSeparator" w:id="0">
    <w:p w14:paraId="2E406B51" w14:textId="77777777" w:rsidR="00AD7DD2" w:rsidRDefault="00AD7D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0F7DA" w14:textId="77777777" w:rsidR="00AD7DD2" w:rsidRDefault="00AD7DD2" w:rsidP="00CB4D0A">
      <w:pPr>
        <w:spacing w:after="0" w:line="240" w:lineRule="auto"/>
      </w:pPr>
      <w:r>
        <w:separator/>
      </w:r>
    </w:p>
  </w:footnote>
  <w:footnote w:type="continuationSeparator" w:id="0">
    <w:p w14:paraId="3A99C0ED" w14:textId="77777777" w:rsidR="00AD7DD2" w:rsidRDefault="00AD7DD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26FC3"/>
    <w:multiLevelType w:val="hybridMultilevel"/>
    <w:tmpl w:val="98B8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30907"/>
    <w:multiLevelType w:val="hybridMultilevel"/>
    <w:tmpl w:val="E0B07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7B1118"/>
    <w:multiLevelType w:val="hybridMultilevel"/>
    <w:tmpl w:val="E08E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025B1"/>
    <w:multiLevelType w:val="hybridMultilevel"/>
    <w:tmpl w:val="6B34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10AFE"/>
    <w:multiLevelType w:val="hybridMultilevel"/>
    <w:tmpl w:val="E8A0E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43354F9"/>
    <w:multiLevelType w:val="hybridMultilevel"/>
    <w:tmpl w:val="2B6A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37667"/>
    <w:multiLevelType w:val="hybridMultilevel"/>
    <w:tmpl w:val="5508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C932F6"/>
    <w:multiLevelType w:val="hybridMultilevel"/>
    <w:tmpl w:val="6C0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425060"/>
    <w:multiLevelType w:val="hybridMultilevel"/>
    <w:tmpl w:val="5B788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C3056D"/>
    <w:multiLevelType w:val="hybridMultilevel"/>
    <w:tmpl w:val="98B6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675B05"/>
    <w:multiLevelType w:val="hybridMultilevel"/>
    <w:tmpl w:val="4E56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D6679E"/>
    <w:multiLevelType w:val="hybridMultilevel"/>
    <w:tmpl w:val="BB62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72715F"/>
    <w:multiLevelType w:val="hybridMultilevel"/>
    <w:tmpl w:val="4DC4E90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4AD87826"/>
    <w:multiLevelType w:val="hybridMultilevel"/>
    <w:tmpl w:val="5350A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2056B5"/>
    <w:multiLevelType w:val="hybridMultilevel"/>
    <w:tmpl w:val="3CBA0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967ED5"/>
    <w:multiLevelType w:val="hybridMultilevel"/>
    <w:tmpl w:val="27B6C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CB52B2"/>
    <w:multiLevelType w:val="hybridMultilevel"/>
    <w:tmpl w:val="56E4F8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55183219"/>
    <w:multiLevelType w:val="hybridMultilevel"/>
    <w:tmpl w:val="37729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8856AA"/>
    <w:multiLevelType w:val="hybridMultilevel"/>
    <w:tmpl w:val="EE82B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6E4B7A"/>
    <w:multiLevelType w:val="hybridMultilevel"/>
    <w:tmpl w:val="9A3A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EE6654"/>
    <w:multiLevelType w:val="hybridMultilevel"/>
    <w:tmpl w:val="C066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747A2F"/>
    <w:multiLevelType w:val="hybridMultilevel"/>
    <w:tmpl w:val="7B88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6521D6"/>
    <w:multiLevelType w:val="hybridMultilevel"/>
    <w:tmpl w:val="6488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2C673A"/>
    <w:multiLevelType w:val="hybridMultilevel"/>
    <w:tmpl w:val="D88AD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037D0B"/>
    <w:multiLevelType w:val="hybridMultilevel"/>
    <w:tmpl w:val="DF2A0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3"/>
  </w:num>
  <w:num w:numId="3">
    <w:abstractNumId w:val="6"/>
  </w:num>
  <w:num w:numId="4">
    <w:abstractNumId w:val="25"/>
  </w:num>
  <w:num w:numId="5">
    <w:abstractNumId w:val="7"/>
  </w:num>
  <w:num w:numId="6">
    <w:abstractNumId w:val="9"/>
  </w:num>
  <w:num w:numId="7">
    <w:abstractNumId w:val="17"/>
  </w:num>
  <w:num w:numId="8">
    <w:abstractNumId w:val="18"/>
  </w:num>
  <w:num w:numId="9">
    <w:abstractNumId w:val="22"/>
  </w:num>
  <w:num w:numId="10">
    <w:abstractNumId w:val="0"/>
  </w:num>
  <w:num w:numId="11">
    <w:abstractNumId w:val="5"/>
  </w:num>
  <w:num w:numId="12">
    <w:abstractNumId w:val="3"/>
  </w:num>
  <w:num w:numId="13">
    <w:abstractNumId w:val="10"/>
  </w:num>
  <w:num w:numId="14">
    <w:abstractNumId w:val="24"/>
  </w:num>
  <w:num w:numId="15">
    <w:abstractNumId w:val="8"/>
  </w:num>
  <w:num w:numId="16">
    <w:abstractNumId w:val="20"/>
  </w:num>
  <w:num w:numId="17">
    <w:abstractNumId w:val="2"/>
  </w:num>
  <w:num w:numId="18">
    <w:abstractNumId w:val="4"/>
  </w:num>
  <w:num w:numId="19">
    <w:abstractNumId w:val="11"/>
  </w:num>
  <w:num w:numId="20">
    <w:abstractNumId w:val="21"/>
  </w:num>
  <w:num w:numId="21">
    <w:abstractNumId w:val="19"/>
  </w:num>
  <w:num w:numId="22">
    <w:abstractNumId w:val="12"/>
  </w:num>
  <w:num w:numId="23">
    <w:abstractNumId w:val="13"/>
  </w:num>
  <w:num w:numId="24">
    <w:abstractNumId w:val="1"/>
  </w:num>
  <w:num w:numId="25">
    <w:abstractNumId w:val="14"/>
  </w:num>
  <w:num w:numId="26">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833"/>
    <w:rsid w:val="00021F8E"/>
    <w:rsid w:val="00035CDD"/>
    <w:rsid w:val="00040083"/>
    <w:rsid w:val="00055992"/>
    <w:rsid w:val="000820E8"/>
    <w:rsid w:val="000E2DF2"/>
    <w:rsid w:val="001175EE"/>
    <w:rsid w:val="001337D8"/>
    <w:rsid w:val="00157CF6"/>
    <w:rsid w:val="00182416"/>
    <w:rsid w:val="00187EB4"/>
    <w:rsid w:val="001F0481"/>
    <w:rsid w:val="00200C92"/>
    <w:rsid w:val="0020451E"/>
    <w:rsid w:val="00206B9D"/>
    <w:rsid w:val="0023259C"/>
    <w:rsid w:val="002B0BD7"/>
    <w:rsid w:val="002B5508"/>
    <w:rsid w:val="002B573D"/>
    <w:rsid w:val="002C5CB2"/>
    <w:rsid w:val="002F779F"/>
    <w:rsid w:val="00371885"/>
    <w:rsid w:val="003E2B87"/>
    <w:rsid w:val="00402786"/>
    <w:rsid w:val="00405895"/>
    <w:rsid w:val="004058DF"/>
    <w:rsid w:val="00443E6F"/>
    <w:rsid w:val="00486F1A"/>
    <w:rsid w:val="00490CB9"/>
    <w:rsid w:val="004A2CE2"/>
    <w:rsid w:val="004B346B"/>
    <w:rsid w:val="004E29E8"/>
    <w:rsid w:val="004E3CDA"/>
    <w:rsid w:val="004F4B4D"/>
    <w:rsid w:val="0050216D"/>
    <w:rsid w:val="00503D7E"/>
    <w:rsid w:val="0050778F"/>
    <w:rsid w:val="00527C11"/>
    <w:rsid w:val="00535F31"/>
    <w:rsid w:val="00574D64"/>
    <w:rsid w:val="00591365"/>
    <w:rsid w:val="005B31E4"/>
    <w:rsid w:val="005D2421"/>
    <w:rsid w:val="005E00BC"/>
    <w:rsid w:val="006034F6"/>
    <w:rsid w:val="00607874"/>
    <w:rsid w:val="00607E77"/>
    <w:rsid w:val="00617BB3"/>
    <w:rsid w:val="00645CDD"/>
    <w:rsid w:val="006823A7"/>
    <w:rsid w:val="00687EE8"/>
    <w:rsid w:val="0070347F"/>
    <w:rsid w:val="0070678E"/>
    <w:rsid w:val="007C6CD4"/>
    <w:rsid w:val="007D450C"/>
    <w:rsid w:val="007E1F9C"/>
    <w:rsid w:val="00831C11"/>
    <w:rsid w:val="008A5EA4"/>
    <w:rsid w:val="008A60B4"/>
    <w:rsid w:val="008B3C31"/>
    <w:rsid w:val="008B64FE"/>
    <w:rsid w:val="00935BF7"/>
    <w:rsid w:val="00946887"/>
    <w:rsid w:val="0095442C"/>
    <w:rsid w:val="00983942"/>
    <w:rsid w:val="009C37E0"/>
    <w:rsid w:val="009E41F4"/>
    <w:rsid w:val="00A14B66"/>
    <w:rsid w:val="00A65CF7"/>
    <w:rsid w:val="00A81AB4"/>
    <w:rsid w:val="00A851DA"/>
    <w:rsid w:val="00AC7D5B"/>
    <w:rsid w:val="00AD7DD2"/>
    <w:rsid w:val="00AE1481"/>
    <w:rsid w:val="00B0415E"/>
    <w:rsid w:val="00B04678"/>
    <w:rsid w:val="00BC46DF"/>
    <w:rsid w:val="00BD5B32"/>
    <w:rsid w:val="00C03577"/>
    <w:rsid w:val="00C53029"/>
    <w:rsid w:val="00C65FEA"/>
    <w:rsid w:val="00CA0AC2"/>
    <w:rsid w:val="00CA31F3"/>
    <w:rsid w:val="00CB4D0A"/>
    <w:rsid w:val="00CC2FB3"/>
    <w:rsid w:val="00CC575A"/>
    <w:rsid w:val="00CF123B"/>
    <w:rsid w:val="00D039AC"/>
    <w:rsid w:val="00D35BBC"/>
    <w:rsid w:val="00D427DE"/>
    <w:rsid w:val="00D5587D"/>
    <w:rsid w:val="00D707CC"/>
    <w:rsid w:val="00D821FE"/>
    <w:rsid w:val="00DB0793"/>
    <w:rsid w:val="00DB4060"/>
    <w:rsid w:val="00E00821"/>
    <w:rsid w:val="00E04DB4"/>
    <w:rsid w:val="00E30679"/>
    <w:rsid w:val="00E4597D"/>
    <w:rsid w:val="00E54832"/>
    <w:rsid w:val="00E56A90"/>
    <w:rsid w:val="00E641CC"/>
    <w:rsid w:val="00EA30AB"/>
    <w:rsid w:val="00EB3925"/>
    <w:rsid w:val="00EF1310"/>
    <w:rsid w:val="00F337C0"/>
    <w:rsid w:val="00F96EB3"/>
    <w:rsid w:val="00FC253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8BC32"/>
  <w15:docId w15:val="{2CAE2886-3E08-4865-BCBE-415622C5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5EA4"/>
    <w:pPr>
      <w:spacing w:after="0" w:line="240" w:lineRule="auto"/>
    </w:pPr>
  </w:style>
  <w:style w:type="character" w:styleId="CommentReference">
    <w:name w:val="annotation reference"/>
    <w:basedOn w:val="DefaultParagraphFont"/>
    <w:uiPriority w:val="99"/>
    <w:semiHidden/>
    <w:unhideWhenUsed/>
    <w:rsid w:val="004E29E8"/>
    <w:rPr>
      <w:sz w:val="16"/>
      <w:szCs w:val="16"/>
    </w:rPr>
  </w:style>
  <w:style w:type="paragraph" w:styleId="CommentText">
    <w:name w:val="annotation text"/>
    <w:basedOn w:val="Normal"/>
    <w:link w:val="CommentTextChar"/>
    <w:uiPriority w:val="99"/>
    <w:semiHidden/>
    <w:unhideWhenUsed/>
    <w:rsid w:val="004E29E8"/>
    <w:pPr>
      <w:spacing w:line="240" w:lineRule="auto"/>
    </w:pPr>
    <w:rPr>
      <w:sz w:val="20"/>
      <w:szCs w:val="20"/>
    </w:rPr>
  </w:style>
  <w:style w:type="character" w:customStyle="1" w:styleId="CommentTextChar">
    <w:name w:val="Comment Text Char"/>
    <w:basedOn w:val="DefaultParagraphFont"/>
    <w:link w:val="CommentText"/>
    <w:uiPriority w:val="99"/>
    <w:semiHidden/>
    <w:rsid w:val="004E29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0D1D5-79C9-40BE-8E18-EDC981D51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2016-11-14T06:00:00Z</dcterms:created>
  <dcterms:modified xsi:type="dcterms:W3CDTF">2016-11-14T06:02:00Z</dcterms:modified>
</cp:coreProperties>
</file>