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0271">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0271" w:rsidP="0093132C">
            <w:pPr>
              <w:rPr>
                <w:rFonts w:cs="Bliss-Regular"/>
                <w:color w:val="000000"/>
              </w:rPr>
            </w:pPr>
            <w:r>
              <w:rPr>
                <w:rFonts w:cs="Bliss-Regular"/>
                <w:color w:val="000000"/>
              </w:rPr>
              <w:t>Oct 17</w:t>
            </w:r>
            <w:r w:rsidR="00642795">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D64BC3"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#12</w:t>
      </w:r>
    </w:p>
    <w:p w:rsidR="002B0E73" w:rsidRDefault="003C06AC" w:rsidP="00CD36F0">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436869" w:rsidRDefault="00436869" w:rsidP="00436869">
      <w:pPr>
        <w:pStyle w:val="ListParagraph"/>
        <w:numPr>
          <w:ilvl w:val="0"/>
          <w:numId w:val="11"/>
        </w:numPr>
        <w:spacing w:after="160" w:line="259" w:lineRule="auto"/>
        <w:ind w:left="810"/>
      </w:pPr>
    </w:p>
    <w:p w:rsidR="00436869" w:rsidRPr="0018031F" w:rsidRDefault="00436869" w:rsidP="00436869">
      <w:pPr>
        <w:pStyle w:val="ListParagraph"/>
      </w:pPr>
    </w:p>
    <w:p w:rsidR="00436869" w:rsidRDefault="00436869" w:rsidP="00D64BC3">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 xml:space="preserve">The difference between traditional projects and international projects that in traditional projects a large majority of the team members work in a single location for the same organization. </w:t>
      </w:r>
      <w:r w:rsidR="00D64BC3">
        <w:rPr>
          <w:rFonts w:asciiTheme="minorBidi" w:hAnsiTheme="minorBidi"/>
          <w:sz w:val="24"/>
          <w:szCs w:val="24"/>
        </w:rPr>
        <w:t>And</w:t>
      </w:r>
      <w:r>
        <w:rPr>
          <w:rFonts w:asciiTheme="minorBidi" w:hAnsiTheme="minorBidi"/>
          <w:sz w:val="24"/>
          <w:szCs w:val="24"/>
        </w:rPr>
        <w:t xml:space="preserve"> international projects involve team members working in many locations across country borders and working in different organizations.</w:t>
      </w:r>
    </w:p>
    <w:p w:rsidR="00436869" w:rsidRDefault="00436869" w:rsidP="00436869">
      <w:pPr>
        <w:pStyle w:val="ListParagraph"/>
        <w:spacing w:before="30" w:after="30"/>
        <w:ind w:left="1570" w:right="850"/>
        <w:rPr>
          <w:rFonts w:asciiTheme="minorBidi" w:hAnsiTheme="minorBidi"/>
          <w:sz w:val="24"/>
          <w:szCs w:val="24"/>
        </w:rPr>
      </w:pPr>
    </w:p>
    <w:p w:rsidR="00436869" w:rsidRPr="00C3285B" w:rsidRDefault="00436869" w:rsidP="00436869">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Virtual projects are composed of team members who work together form different geographic locations, organizations and rely on communication technology in order to collaborate.</w:t>
      </w:r>
    </w:p>
    <w:p w:rsidR="00436869" w:rsidRPr="00CF1B5C" w:rsidRDefault="00436869" w:rsidP="00436869">
      <w:pPr>
        <w:pStyle w:val="ListParagraph"/>
        <w:spacing w:before="30" w:after="30"/>
        <w:ind w:left="850" w:right="850"/>
        <w:rPr>
          <w:rFonts w:asciiTheme="minorBidi" w:hAnsiTheme="minorBidi"/>
          <w:sz w:val="24"/>
          <w:szCs w:val="24"/>
        </w:rPr>
      </w:pPr>
    </w:p>
    <w:p w:rsidR="00436869" w:rsidRDefault="00D64BC3" w:rsidP="00D64BC3">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 xml:space="preserve">The </w:t>
      </w:r>
      <w:r w:rsidR="00436869">
        <w:rPr>
          <w:rFonts w:asciiTheme="minorBidi" w:hAnsiTheme="minorBidi"/>
          <w:sz w:val="24"/>
          <w:szCs w:val="24"/>
        </w:rPr>
        <w:t>challenges involved in ma</w:t>
      </w:r>
      <w:r>
        <w:rPr>
          <w:rFonts w:asciiTheme="minorBidi" w:hAnsiTheme="minorBidi"/>
          <w:sz w:val="24"/>
          <w:szCs w:val="24"/>
        </w:rPr>
        <w:t xml:space="preserve">naging global projects </w:t>
      </w:r>
      <w:r w:rsidR="00436869">
        <w:rPr>
          <w:rFonts w:asciiTheme="minorBidi" w:hAnsiTheme="minorBidi"/>
          <w:sz w:val="24"/>
          <w:szCs w:val="24"/>
        </w:rPr>
        <w:t>are as follows:</w:t>
      </w:r>
    </w:p>
    <w:p w:rsidR="00436869" w:rsidRDefault="00436869" w:rsidP="00436869">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 xml:space="preserve">Number of different organization: </w:t>
      </w:r>
    </w:p>
    <w:p w:rsidR="00436869" w:rsidRPr="00181BB5" w:rsidRDefault="00436869" w:rsidP="00D64BC3">
      <w:pPr>
        <w:pStyle w:val="ListParagraph"/>
        <w:spacing w:before="30" w:after="30"/>
        <w:ind w:left="1650" w:right="850"/>
        <w:rPr>
          <w:rFonts w:asciiTheme="minorBidi" w:hAnsiTheme="minorBidi"/>
          <w:sz w:val="24"/>
          <w:szCs w:val="24"/>
        </w:rPr>
      </w:pPr>
      <w:r>
        <w:rPr>
          <w:rFonts w:asciiTheme="minorBidi" w:hAnsiTheme="minorBidi"/>
          <w:sz w:val="24"/>
          <w:szCs w:val="24"/>
        </w:rPr>
        <w:t>Project managers must adapt their people and leadership skills to the multiple proce</w:t>
      </w:r>
      <w:r w:rsidR="00D64BC3">
        <w:rPr>
          <w:rFonts w:asciiTheme="minorBidi" w:hAnsiTheme="minorBidi"/>
          <w:sz w:val="24"/>
          <w:szCs w:val="24"/>
        </w:rPr>
        <w:t>dures, organizational and cultures.</w:t>
      </w:r>
    </w:p>
    <w:p w:rsidR="00436869" w:rsidRDefault="00436869" w:rsidP="00436869">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Number of distant locations:</w:t>
      </w:r>
    </w:p>
    <w:p w:rsidR="00436869" w:rsidRDefault="00436869" w:rsidP="00436869">
      <w:pPr>
        <w:pStyle w:val="ListParagraph"/>
        <w:spacing w:before="30" w:after="30"/>
        <w:ind w:left="1650" w:right="850"/>
        <w:rPr>
          <w:rFonts w:asciiTheme="minorBidi" w:hAnsiTheme="minorBidi"/>
          <w:sz w:val="24"/>
          <w:szCs w:val="24"/>
        </w:rPr>
      </w:pPr>
      <w:r>
        <w:rPr>
          <w:rFonts w:asciiTheme="minorBidi" w:hAnsiTheme="minorBidi"/>
          <w:sz w:val="24"/>
          <w:szCs w:val="24"/>
        </w:rPr>
        <w:t>The team members are located in at least two different countries in global projects. When the distance between the team members is such that travel is required for physical contact, the use of phone and video conferencing becomes essential, requiring the application of communication strategies to ensure a high level of effectiveness.</w:t>
      </w:r>
    </w:p>
    <w:p w:rsidR="00436869" w:rsidRDefault="00436869" w:rsidP="00436869">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Country culture:</w:t>
      </w:r>
    </w:p>
    <w:p w:rsidR="00436869" w:rsidRDefault="00436869" w:rsidP="00D64BC3">
      <w:pPr>
        <w:pStyle w:val="ListParagraph"/>
        <w:spacing w:before="30" w:after="30"/>
        <w:ind w:left="1650" w:right="850"/>
        <w:rPr>
          <w:rFonts w:asciiTheme="minorBidi" w:hAnsiTheme="minorBidi"/>
          <w:sz w:val="24"/>
          <w:szCs w:val="24"/>
        </w:rPr>
      </w:pPr>
      <w:r>
        <w:rPr>
          <w:rFonts w:asciiTheme="minorBidi" w:hAnsiTheme="minorBidi"/>
          <w:sz w:val="24"/>
          <w:szCs w:val="24"/>
        </w:rPr>
        <w:t xml:space="preserve">Beyond organizational culture, the tradition and customs of different nations and regions can bring more diversity to the work environment. </w:t>
      </w:r>
      <w:r>
        <w:rPr>
          <w:rFonts w:asciiTheme="minorBidi" w:hAnsiTheme="minorBidi"/>
          <w:sz w:val="24"/>
          <w:szCs w:val="24"/>
        </w:rPr>
        <w:t>In addition,</w:t>
      </w:r>
      <w:r>
        <w:rPr>
          <w:rFonts w:asciiTheme="minorBidi" w:hAnsiTheme="minorBidi"/>
          <w:sz w:val="24"/>
          <w:szCs w:val="24"/>
        </w:rPr>
        <w:t xml:space="preserve"> this diversity can be sometimes the source of misunderstanding and conflicts, and project managers must apply some basic practices and rules to take advantage of the cross-culture communication</w:t>
      </w:r>
      <w:r w:rsidR="00D64BC3">
        <w:rPr>
          <w:rFonts w:asciiTheme="minorBidi" w:hAnsiTheme="minorBidi"/>
          <w:sz w:val="24"/>
          <w:szCs w:val="24"/>
        </w:rPr>
        <w:t>.</w:t>
      </w:r>
    </w:p>
    <w:p w:rsidR="00436869" w:rsidRDefault="00436869" w:rsidP="00436869">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Time zones:</w:t>
      </w:r>
    </w:p>
    <w:p w:rsidR="00436869" w:rsidRDefault="00436869" w:rsidP="00D64BC3">
      <w:pPr>
        <w:pStyle w:val="ListParagraph"/>
        <w:spacing w:before="30" w:after="30"/>
        <w:ind w:left="1650" w:right="850"/>
        <w:rPr>
          <w:rFonts w:asciiTheme="minorBidi" w:hAnsiTheme="minorBidi"/>
          <w:sz w:val="24"/>
          <w:szCs w:val="24"/>
        </w:rPr>
      </w:pPr>
      <w:r>
        <w:rPr>
          <w:rFonts w:asciiTheme="minorBidi" w:hAnsiTheme="minorBidi"/>
          <w:sz w:val="24"/>
          <w:szCs w:val="24"/>
        </w:rPr>
        <w:t>The time zones effect is</w:t>
      </w:r>
      <w:r w:rsidR="00D64BC3">
        <w:rPr>
          <w:rFonts w:asciiTheme="minorBidi" w:hAnsiTheme="minorBidi"/>
          <w:sz w:val="24"/>
          <w:szCs w:val="24"/>
        </w:rPr>
        <w:t xml:space="preserve"> p</w:t>
      </w:r>
      <w:r>
        <w:rPr>
          <w:rFonts w:asciiTheme="minorBidi" w:hAnsiTheme="minorBidi"/>
          <w:sz w:val="24"/>
          <w:szCs w:val="24"/>
        </w:rPr>
        <w:t>rogram and project managers can use the different working times to their advantage by creating a ‘follow-the sun’ implementation, reducing the duration of sequential tasks by a half or a third of the time.</w:t>
      </w:r>
    </w:p>
    <w:p w:rsidR="00436869" w:rsidRDefault="00436869" w:rsidP="00436869">
      <w:pPr>
        <w:pStyle w:val="ListParagraph"/>
        <w:numPr>
          <w:ilvl w:val="0"/>
          <w:numId w:val="26"/>
        </w:numPr>
        <w:spacing w:before="30" w:after="30" w:line="259" w:lineRule="auto"/>
        <w:ind w:right="850"/>
        <w:rPr>
          <w:rFonts w:asciiTheme="minorBidi" w:hAnsiTheme="minorBidi"/>
          <w:sz w:val="24"/>
          <w:szCs w:val="24"/>
        </w:rPr>
      </w:pPr>
      <w:r>
        <w:rPr>
          <w:rFonts w:asciiTheme="minorBidi" w:hAnsiTheme="minorBidi"/>
          <w:sz w:val="24"/>
          <w:szCs w:val="24"/>
        </w:rPr>
        <w:t>Different languages:</w:t>
      </w:r>
    </w:p>
    <w:p w:rsidR="00436869" w:rsidRDefault="00436869" w:rsidP="00D64BC3">
      <w:pPr>
        <w:pStyle w:val="ListParagraph"/>
        <w:spacing w:before="30" w:after="30"/>
        <w:ind w:left="1650" w:right="850"/>
        <w:rPr>
          <w:rFonts w:asciiTheme="minorBidi" w:hAnsiTheme="minorBidi"/>
          <w:sz w:val="24"/>
          <w:szCs w:val="24"/>
        </w:rPr>
      </w:pPr>
      <w:r>
        <w:rPr>
          <w:rFonts w:asciiTheme="minorBidi" w:hAnsiTheme="minorBidi"/>
          <w:sz w:val="24"/>
          <w:szCs w:val="24"/>
        </w:rPr>
        <w:t>International companies usually establish a common language for the exchange of information, although the way people communicate is highly dependent on their language.</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#12</w:t>
      </w:r>
    </w:p>
    <w:p w:rsidR="00D64BC3"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436869" w:rsidRPr="00181BB5" w:rsidRDefault="00436869" w:rsidP="00436869">
      <w:pPr>
        <w:pStyle w:val="ListParagraph"/>
        <w:spacing w:before="30" w:after="30"/>
        <w:ind w:left="1650" w:right="850"/>
        <w:rPr>
          <w:rFonts w:asciiTheme="minorBidi" w:hAnsiTheme="minorBidi"/>
          <w:sz w:val="24"/>
          <w:szCs w:val="24"/>
        </w:rPr>
      </w:pPr>
    </w:p>
    <w:p w:rsidR="00436869" w:rsidRPr="00F137F2" w:rsidRDefault="00436869" w:rsidP="00436869">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 xml:space="preserve">Global leadership is leading international operations of worldwide firms heading a globally dispersed team. </w:t>
      </w:r>
      <w:r>
        <w:rPr>
          <w:rFonts w:asciiTheme="minorBidi" w:hAnsiTheme="minorBidi"/>
          <w:sz w:val="24"/>
          <w:szCs w:val="24"/>
        </w:rPr>
        <w:t>In addition,</w:t>
      </w:r>
      <w:r>
        <w:rPr>
          <w:rFonts w:asciiTheme="minorBidi" w:hAnsiTheme="minorBidi"/>
          <w:sz w:val="24"/>
          <w:szCs w:val="24"/>
        </w:rPr>
        <w:t xml:space="preserve"> global leadership involves handling multiple national boundaries, different cultures, alternative product lines and other managerial challenges.</w:t>
      </w:r>
    </w:p>
    <w:p w:rsidR="00436869" w:rsidRPr="00964B88" w:rsidRDefault="00436869" w:rsidP="00436869">
      <w:pPr>
        <w:pStyle w:val="ListParagraph"/>
        <w:spacing w:before="30" w:after="30"/>
        <w:ind w:left="850" w:right="850"/>
        <w:rPr>
          <w:rFonts w:asciiTheme="minorBidi" w:hAnsiTheme="minorBidi"/>
          <w:sz w:val="24"/>
          <w:szCs w:val="24"/>
        </w:rPr>
      </w:pPr>
    </w:p>
    <w:p w:rsidR="00436869" w:rsidRDefault="00436869" w:rsidP="00436869">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The trust is at the heart of global team management, and it’s important to evaluate the needs to increase trust among the team members, project managers and coordinators, and other stakeholders by considering the following steps:</w:t>
      </w:r>
    </w:p>
    <w:p w:rsidR="00436869" w:rsidRDefault="00436869" w:rsidP="00436869">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Establish trust in the initial phases of the project</w:t>
      </w:r>
    </w:p>
    <w:p w:rsidR="00436869" w:rsidRDefault="00436869" w:rsidP="00D64BC3">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Determine the weak communication channels in your team</w:t>
      </w:r>
    </w:p>
    <w:p w:rsidR="00436869" w:rsidRDefault="00436869" w:rsidP="00436869">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Identify the level of trust required</w:t>
      </w:r>
    </w:p>
    <w:p w:rsidR="00436869" w:rsidRDefault="00436869" w:rsidP="00436869">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Maintain trust during the project implementation</w:t>
      </w:r>
    </w:p>
    <w:p w:rsidR="00436869" w:rsidRPr="003C6BDD" w:rsidRDefault="00436869" w:rsidP="00436869">
      <w:pPr>
        <w:pStyle w:val="ListParagraph"/>
        <w:numPr>
          <w:ilvl w:val="0"/>
          <w:numId w:val="27"/>
        </w:numPr>
        <w:spacing w:before="30" w:after="30" w:line="259" w:lineRule="auto"/>
        <w:ind w:right="850"/>
        <w:rPr>
          <w:rFonts w:asciiTheme="minorBidi" w:hAnsiTheme="minorBidi"/>
          <w:sz w:val="24"/>
          <w:szCs w:val="24"/>
        </w:rPr>
      </w:pPr>
      <w:r>
        <w:rPr>
          <w:rFonts w:asciiTheme="minorBidi" w:hAnsiTheme="minorBidi"/>
          <w:sz w:val="24"/>
          <w:szCs w:val="24"/>
        </w:rPr>
        <w:t>Build in this trust to create healthy and collaborative environment for future projects</w:t>
      </w:r>
    </w:p>
    <w:p w:rsidR="00436869" w:rsidRDefault="00436869" w:rsidP="00436869">
      <w:pPr>
        <w:spacing w:before="30" w:after="30"/>
        <w:ind w:right="850"/>
        <w:rPr>
          <w:rFonts w:asciiTheme="minorBidi" w:hAnsiTheme="minorBidi"/>
          <w:sz w:val="24"/>
          <w:szCs w:val="24"/>
        </w:rPr>
      </w:pPr>
    </w:p>
    <w:p w:rsidR="00436869" w:rsidRDefault="00436869" w:rsidP="00436869">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Team members must have a set of global skills to work effectively on global projects. These global skills involve the ability to work remotely and openness to other company and count</w:t>
      </w:r>
      <w:r w:rsidR="00D64BC3">
        <w:rPr>
          <w:rFonts w:asciiTheme="minorBidi" w:hAnsiTheme="minorBidi"/>
          <w:sz w:val="24"/>
          <w:szCs w:val="24"/>
        </w:rPr>
        <w:t>ry cultures, as</w:t>
      </w:r>
      <w:r>
        <w:rPr>
          <w:rFonts w:asciiTheme="minorBidi" w:hAnsiTheme="minorBidi"/>
          <w:sz w:val="24"/>
          <w:szCs w:val="24"/>
        </w:rPr>
        <w:t>:</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Global communication</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Global thinking</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Global experience</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Technical capabilities</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Culture awareness</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Self-discipline</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High personal confidence</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Self-motivation</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Tolerance for ambiguity</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Good organization</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Self-efficacy</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Concentration</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Reduce social interaction</w:t>
      </w:r>
    </w:p>
    <w:p w:rsidR="00436869" w:rsidRDefault="00436869" w:rsidP="00436869">
      <w:pPr>
        <w:pStyle w:val="ListParagraph"/>
        <w:numPr>
          <w:ilvl w:val="0"/>
          <w:numId w:val="28"/>
        </w:numPr>
        <w:spacing w:before="30" w:after="30" w:line="259" w:lineRule="auto"/>
        <w:ind w:right="850"/>
        <w:rPr>
          <w:rFonts w:asciiTheme="minorBidi" w:hAnsiTheme="minorBidi"/>
          <w:sz w:val="24"/>
          <w:szCs w:val="24"/>
        </w:rPr>
      </w:pPr>
      <w:r>
        <w:rPr>
          <w:rFonts w:asciiTheme="minorBidi" w:hAnsiTheme="minorBidi"/>
          <w:sz w:val="24"/>
          <w:szCs w:val="24"/>
        </w:rPr>
        <w:t>Openness and flexibility</w:t>
      </w:r>
    </w:p>
    <w:p w:rsidR="00436869" w:rsidRPr="00864559" w:rsidRDefault="00436869" w:rsidP="00436869">
      <w:pPr>
        <w:pStyle w:val="ListParagraph"/>
        <w:rPr>
          <w:rFonts w:asciiTheme="minorBidi" w:hAnsiTheme="minorBidi"/>
          <w:sz w:val="24"/>
          <w:szCs w:val="24"/>
        </w:rPr>
      </w:pPr>
    </w:p>
    <w:p w:rsidR="00436869" w:rsidRPr="003510B4" w:rsidRDefault="00436869" w:rsidP="00436869">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The characteristics of global project (organizations, multiple locations, languages, time zones, and cultures, different stakeholders with diverse views and different reactions to change and various approaches to risk management) can be a source and contribute to the generation of conflicts.</w:t>
      </w:r>
    </w:p>
    <w:p w:rsidR="00436869" w:rsidRDefault="00436869" w:rsidP="00436869">
      <w:pPr>
        <w:spacing w:before="30" w:after="30"/>
        <w:ind w:right="850"/>
        <w:rPr>
          <w:rFonts w:asciiTheme="minorBidi" w:hAnsiTheme="minorBidi"/>
          <w:sz w:val="24"/>
          <w:szCs w:val="24"/>
        </w:rPr>
      </w:pP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#12</w:t>
      </w:r>
    </w:p>
    <w:p w:rsidR="00D64BC3"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3C06AC">
        <w:rPr>
          <w:rFonts w:asciiTheme="minorBidi" w:eastAsia="Calibri" w:hAnsiTheme="minorBidi" w:cs="Times New Roman"/>
          <w:sz w:val="24"/>
          <w:szCs w:val="24"/>
          <w:lang w:val="en-US"/>
        </w:rPr>
        <w:t xml:space="preserve"> </w:t>
      </w:r>
    </w:p>
    <w:p w:rsidR="00436869" w:rsidRDefault="00436869" w:rsidP="00436869">
      <w:pPr>
        <w:spacing w:before="30" w:after="30"/>
        <w:ind w:right="850"/>
        <w:rPr>
          <w:rFonts w:asciiTheme="minorBidi" w:hAnsiTheme="minorBidi"/>
          <w:sz w:val="24"/>
          <w:szCs w:val="24"/>
        </w:rPr>
      </w:pPr>
    </w:p>
    <w:p w:rsidR="00436869" w:rsidRDefault="00436869" w:rsidP="00436869">
      <w:pPr>
        <w:pStyle w:val="ListParagraph"/>
        <w:numPr>
          <w:ilvl w:val="0"/>
          <w:numId w:val="11"/>
        </w:numPr>
        <w:spacing w:before="30" w:after="30" w:line="259" w:lineRule="auto"/>
        <w:ind w:left="810" w:right="850"/>
        <w:rPr>
          <w:rFonts w:asciiTheme="minorBidi" w:hAnsiTheme="minorBidi"/>
          <w:sz w:val="24"/>
          <w:szCs w:val="24"/>
        </w:rPr>
      </w:pPr>
    </w:p>
    <w:p w:rsidR="00436869" w:rsidRDefault="00436869" w:rsidP="00436869">
      <w:pPr>
        <w:pStyle w:val="ListParagraph"/>
        <w:spacing w:before="30" w:after="30"/>
        <w:ind w:right="850"/>
        <w:rPr>
          <w:rFonts w:asciiTheme="minorBidi" w:hAnsiTheme="minorBidi"/>
          <w:sz w:val="24"/>
          <w:szCs w:val="24"/>
        </w:rPr>
      </w:pPr>
    </w:p>
    <w:p w:rsidR="00436869" w:rsidRDefault="00436869" w:rsidP="00436869">
      <w:pPr>
        <w:pStyle w:val="ListParagraph"/>
        <w:spacing w:before="30" w:after="30"/>
        <w:ind w:right="850"/>
        <w:rPr>
          <w:rFonts w:asciiTheme="minorBidi" w:hAnsiTheme="minorBidi"/>
          <w:sz w:val="24"/>
          <w:szCs w:val="24"/>
        </w:rPr>
      </w:pPr>
      <w:r>
        <w:rPr>
          <w:rFonts w:asciiTheme="minorBidi" w:hAnsiTheme="minorBidi"/>
          <w:sz w:val="24"/>
          <w:szCs w:val="24"/>
        </w:rPr>
        <w:t>When the project team has identified potential conflict situations as threats to the project. The steps below are gen</w:t>
      </w:r>
      <w:r>
        <w:rPr>
          <w:rFonts w:asciiTheme="minorBidi" w:hAnsiTheme="minorBidi"/>
          <w:sz w:val="24"/>
          <w:szCs w:val="24"/>
        </w:rPr>
        <w:t>eral guidelines that can be used</w:t>
      </w:r>
      <w:r>
        <w:rPr>
          <w:rFonts w:asciiTheme="minorBidi" w:hAnsiTheme="minorBidi"/>
          <w:sz w:val="24"/>
          <w:szCs w:val="24"/>
        </w:rPr>
        <w:t xml:space="preserve"> to adapt your current conflict management procedures to projects: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Act as a Mediator:</w:t>
      </w:r>
    </w:p>
    <w:p w:rsidR="00436869"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Show integrity, transparency and culture understanding, ensuring that your main interest is to resolve the conflict in the best possible way for all parties involved. Culture differences among stakeholders require more openness from all parties if the reasons for conflict are </w:t>
      </w:r>
      <w:r>
        <w:rPr>
          <w:rFonts w:asciiTheme="minorBidi" w:hAnsiTheme="minorBidi"/>
          <w:sz w:val="24"/>
          <w:szCs w:val="24"/>
        </w:rPr>
        <w:t>to be</w:t>
      </w:r>
      <w:r>
        <w:rPr>
          <w:rFonts w:asciiTheme="minorBidi" w:hAnsiTheme="minorBidi"/>
          <w:sz w:val="24"/>
          <w:szCs w:val="24"/>
        </w:rPr>
        <w:t xml:space="preserve"> understood and common ground found.  </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Question the Situation:</w:t>
      </w:r>
    </w:p>
    <w:p w:rsidR="00436869"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Obtain information about the threats, weaknesses, and strengths and collected in a format that allows easy comparison, and be ready to use online conferencing tools to share it with people in other locations.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Appoint a Third-party Arbitrator:</w:t>
      </w:r>
    </w:p>
    <w:p w:rsidR="00436869"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This should done when the program or project manager needs to defend the interests of one organization involved in the divergences, or when project manager is part of the conflict.</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Pr>
          <w:rFonts w:asciiTheme="minorBidi" w:hAnsiTheme="minorBidi"/>
          <w:sz w:val="24"/>
          <w:szCs w:val="24"/>
        </w:rPr>
        <w:t>Assess the Situation:</w:t>
      </w:r>
    </w:p>
    <w:p w:rsidR="00436869"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Evaluate the conflict through the lenses of the project objectives and the business strategies, with participation from stakeholders as well as those involved in the source of the conflict. This can remove the negative emotion, depersonalize the situation, and focus on the desired outcomes.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Define the Strategy:</w:t>
      </w:r>
    </w:p>
    <w:p w:rsidR="00436869" w:rsidRPr="00480F78"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Prepare your arguments and anticipate from different participants using the information collected in the previous steps, defining the best approach for the conflict situation.</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Prepare the Discussion:</w:t>
      </w:r>
    </w:p>
    <w:p w:rsidR="00D64BC3"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Define th</w:t>
      </w:r>
      <w:r>
        <w:rPr>
          <w:rFonts w:asciiTheme="minorBidi" w:hAnsiTheme="minorBidi"/>
          <w:sz w:val="24"/>
          <w:szCs w:val="24"/>
        </w:rPr>
        <w:t>e communication media to be use</w:t>
      </w:r>
      <w:r>
        <w:rPr>
          <w:rFonts w:asciiTheme="minorBidi" w:hAnsiTheme="minorBidi"/>
          <w:sz w:val="24"/>
          <w:szCs w:val="24"/>
        </w:rPr>
        <w:t xml:space="preserve"> during the discussion and negotiation. Prefer to have online meetings or even </w:t>
      </w:r>
      <w:r>
        <w:rPr>
          <w:rFonts w:asciiTheme="minorBidi" w:hAnsiTheme="minorBidi"/>
          <w:sz w:val="24"/>
          <w:szCs w:val="24"/>
        </w:rPr>
        <w:t>face-to-face</w:t>
      </w:r>
      <w:r>
        <w:rPr>
          <w:rFonts w:asciiTheme="minorBidi" w:hAnsiTheme="minorBidi"/>
          <w:sz w:val="24"/>
          <w:szCs w:val="24"/>
        </w:rPr>
        <w:t xml:space="preserve"> discussions when the decision involves </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D64BC3" w:rsidRPr="003C06AC"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#12</w:t>
      </w:r>
    </w:p>
    <w:p w:rsidR="00D64BC3" w:rsidRDefault="00D64BC3" w:rsidP="00D64BC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D64BC3" w:rsidRDefault="00D64BC3" w:rsidP="00436869">
      <w:pPr>
        <w:pStyle w:val="ListParagraph"/>
        <w:spacing w:before="30" w:after="30"/>
        <w:ind w:left="1440" w:right="850"/>
        <w:rPr>
          <w:rFonts w:asciiTheme="minorBidi" w:hAnsiTheme="minorBidi"/>
          <w:sz w:val="24"/>
          <w:szCs w:val="24"/>
        </w:rPr>
      </w:pPr>
    </w:p>
    <w:p w:rsidR="00436869" w:rsidRPr="00480F78" w:rsidRDefault="00D64BC3" w:rsidP="00436869">
      <w:pPr>
        <w:pStyle w:val="ListParagraph"/>
        <w:spacing w:before="30" w:after="30"/>
        <w:ind w:left="1440" w:right="850"/>
        <w:rPr>
          <w:rFonts w:asciiTheme="minorBidi" w:hAnsiTheme="minorBidi"/>
          <w:sz w:val="24"/>
          <w:szCs w:val="24"/>
        </w:rPr>
      </w:pPr>
      <w:r>
        <w:rPr>
          <w:rFonts w:asciiTheme="minorBidi" w:hAnsiTheme="minorBidi"/>
          <w:sz w:val="24"/>
          <w:szCs w:val="24"/>
        </w:rPr>
        <w:t>people</w:t>
      </w:r>
      <w:r w:rsidR="00436869">
        <w:rPr>
          <w:rFonts w:asciiTheme="minorBidi" w:hAnsiTheme="minorBidi"/>
          <w:sz w:val="24"/>
          <w:szCs w:val="24"/>
        </w:rPr>
        <w:t xml:space="preserve"> with different personalities and cultures, and when it is important to the project. Decide who needs to take part in the discussion, sending the meeting invitations and organizing the logistics.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Start the Discussion:</w:t>
      </w:r>
    </w:p>
    <w:p w:rsidR="00436869" w:rsidRPr="00480F78"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Introduce the reason for the conflict, the participants, the main differences on standpoints, and the importance and impact of the decision for the project. Reinforce the project goals, mission and objectives that are relevant to the discussion. Share your opinions on the culture dimensions with the parties involved in the conflict situation.</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Resolve the Situation:</w:t>
      </w:r>
    </w:p>
    <w:p w:rsidR="00436869" w:rsidRPr="00480F78"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Start with the points on which you can reach an easy consensus when there are many items to be resolved. This increases the collaboration and trust level, and then addresses the problems areas after words.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Document and Communication the Situation:</w:t>
      </w:r>
    </w:p>
    <w:p w:rsidR="00436869" w:rsidRPr="00480F78"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All parties must agree on a written statement of the decision. Share a document that summarize the key decision areas by web conferencing or video, and request a verbal agreement from all parties. Distribute the outcome to the key stakeholders and other participants, and ask for written reply stating their agreement or comments.</w:t>
      </w:r>
    </w:p>
    <w:p w:rsidR="00436869" w:rsidRDefault="00436869" w:rsidP="00436869">
      <w:pPr>
        <w:pStyle w:val="ListParagraph"/>
        <w:numPr>
          <w:ilvl w:val="0"/>
          <w:numId w:val="29"/>
        </w:numPr>
        <w:spacing w:before="30" w:after="30" w:line="259" w:lineRule="auto"/>
        <w:ind w:right="850"/>
        <w:rPr>
          <w:rFonts w:asciiTheme="minorBidi" w:hAnsiTheme="minorBidi"/>
          <w:sz w:val="24"/>
          <w:szCs w:val="24"/>
        </w:rPr>
      </w:pPr>
      <w:r w:rsidRPr="00480F78">
        <w:rPr>
          <w:rFonts w:asciiTheme="minorBidi" w:hAnsiTheme="minorBidi"/>
          <w:sz w:val="24"/>
          <w:szCs w:val="24"/>
        </w:rPr>
        <w:t>Document the Lessons Learned:</w:t>
      </w:r>
    </w:p>
    <w:p w:rsidR="00436869" w:rsidRPr="00480F78" w:rsidRDefault="00436869" w:rsidP="00436869">
      <w:pPr>
        <w:pStyle w:val="ListParagraph"/>
        <w:spacing w:before="30" w:after="30"/>
        <w:ind w:left="1440" w:right="850"/>
        <w:rPr>
          <w:rFonts w:asciiTheme="minorBidi" w:hAnsiTheme="minorBidi"/>
          <w:sz w:val="24"/>
          <w:szCs w:val="24"/>
        </w:rPr>
      </w:pPr>
      <w:r>
        <w:rPr>
          <w:rFonts w:asciiTheme="minorBidi" w:hAnsiTheme="minorBidi"/>
          <w:sz w:val="24"/>
          <w:szCs w:val="24"/>
        </w:rPr>
        <w:t>Summarize your learning during conflict situation for future: the methods, the reasons, the positive and negative strategies and consequences.</w:t>
      </w:r>
    </w:p>
    <w:p w:rsidR="00436869" w:rsidRPr="007C7D6D" w:rsidRDefault="00436869" w:rsidP="00436869">
      <w:pPr>
        <w:pStyle w:val="ListParagraph"/>
        <w:spacing w:before="30" w:after="30"/>
        <w:ind w:left="1440" w:right="850"/>
        <w:rPr>
          <w:rFonts w:asciiTheme="minorBidi" w:hAnsiTheme="minorBidi"/>
          <w:sz w:val="24"/>
          <w:szCs w:val="24"/>
        </w:rPr>
      </w:pPr>
    </w:p>
    <w:p w:rsidR="00436869" w:rsidRDefault="00436869" w:rsidP="00436869">
      <w:pPr>
        <w:pStyle w:val="ListParagraph"/>
        <w:spacing w:before="30" w:after="30"/>
        <w:ind w:right="850"/>
        <w:rPr>
          <w:rFonts w:asciiTheme="minorBidi" w:hAnsiTheme="minorBidi"/>
          <w:sz w:val="24"/>
          <w:szCs w:val="24"/>
        </w:rPr>
      </w:pPr>
    </w:p>
    <w:p w:rsidR="00436869" w:rsidRDefault="00436869" w:rsidP="00436869">
      <w:pPr>
        <w:pStyle w:val="ListParagraph"/>
        <w:numPr>
          <w:ilvl w:val="0"/>
          <w:numId w:val="11"/>
        </w:numPr>
        <w:spacing w:before="30" w:after="30" w:line="259" w:lineRule="auto"/>
        <w:ind w:left="810" w:right="850"/>
        <w:rPr>
          <w:rFonts w:asciiTheme="minorBidi" w:hAnsiTheme="minorBidi"/>
          <w:sz w:val="24"/>
          <w:szCs w:val="24"/>
        </w:rPr>
      </w:pPr>
    </w:p>
    <w:p w:rsidR="00436869" w:rsidRDefault="00436869" w:rsidP="00436869">
      <w:pPr>
        <w:pStyle w:val="ListParagraph"/>
        <w:spacing w:before="30" w:after="30"/>
        <w:ind w:right="850"/>
        <w:rPr>
          <w:rFonts w:asciiTheme="minorBidi" w:hAnsiTheme="minorBidi"/>
          <w:sz w:val="24"/>
          <w:szCs w:val="24"/>
        </w:rPr>
      </w:pPr>
    </w:p>
    <w:p w:rsidR="00436869" w:rsidRDefault="00436869" w:rsidP="00436869">
      <w:pPr>
        <w:pStyle w:val="ListParagraph"/>
        <w:spacing w:before="30" w:after="30"/>
        <w:ind w:right="850"/>
        <w:rPr>
          <w:rFonts w:asciiTheme="minorBidi" w:hAnsiTheme="minorBidi"/>
          <w:sz w:val="24"/>
          <w:szCs w:val="24"/>
        </w:rPr>
      </w:pPr>
      <w:r>
        <w:rPr>
          <w:rFonts w:asciiTheme="minorBidi" w:hAnsiTheme="minorBidi"/>
          <w:sz w:val="24"/>
          <w:szCs w:val="24"/>
        </w:rPr>
        <w:t xml:space="preserve">The project manager need to use different communication techniques in global </w:t>
      </w:r>
      <w:r>
        <w:rPr>
          <w:rFonts w:asciiTheme="minorBidi" w:hAnsiTheme="minorBidi"/>
          <w:sz w:val="24"/>
          <w:szCs w:val="24"/>
        </w:rPr>
        <w:t>projects</w:t>
      </w:r>
      <w:r>
        <w:rPr>
          <w:rFonts w:asciiTheme="minorBidi" w:hAnsiTheme="minorBidi"/>
          <w:sz w:val="24"/>
          <w:szCs w:val="24"/>
        </w:rPr>
        <w:t xml:space="preserve"> and these are:</w:t>
      </w:r>
    </w:p>
    <w:p w:rsidR="00436869" w:rsidRDefault="00436869" w:rsidP="00436869">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Collecting information from the global team members:</w:t>
      </w:r>
    </w:p>
    <w:p w:rsidR="00436869" w:rsidRDefault="00436869" w:rsidP="00436869">
      <w:pPr>
        <w:pStyle w:val="ListParagraph"/>
        <w:spacing w:before="30" w:after="30"/>
        <w:ind w:left="1500" w:right="850"/>
        <w:rPr>
          <w:rFonts w:asciiTheme="minorBidi" w:hAnsiTheme="minorBidi"/>
          <w:sz w:val="24"/>
          <w:szCs w:val="24"/>
        </w:rPr>
      </w:pPr>
      <w:r>
        <w:rPr>
          <w:rFonts w:asciiTheme="minorBidi" w:hAnsiTheme="minorBidi"/>
          <w:sz w:val="24"/>
          <w:szCs w:val="24"/>
        </w:rPr>
        <w:t xml:space="preserve">During project execution, the following points can help the project office members and the project manager, </w:t>
      </w:r>
      <w:r>
        <w:rPr>
          <w:rFonts w:asciiTheme="minorBidi" w:hAnsiTheme="minorBidi"/>
          <w:sz w:val="24"/>
          <w:szCs w:val="24"/>
        </w:rPr>
        <w:t>and</w:t>
      </w:r>
      <w:r>
        <w:rPr>
          <w:rFonts w:asciiTheme="minorBidi" w:hAnsiTheme="minorBidi"/>
          <w:sz w:val="24"/>
          <w:szCs w:val="24"/>
        </w:rPr>
        <w:t xml:space="preserve"> in collecting project information:</w:t>
      </w:r>
    </w:p>
    <w:p w:rsidR="00D069C5" w:rsidRPr="003C06AC" w:rsidRDefault="00D069C5" w:rsidP="00D069C5">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D069C5" w:rsidRPr="003C06AC" w:rsidRDefault="00D069C5" w:rsidP="00D069C5">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D069C5" w:rsidRPr="003C06AC" w:rsidRDefault="00D069C5" w:rsidP="00D069C5">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#12</w:t>
      </w:r>
    </w:p>
    <w:p w:rsidR="00D069C5" w:rsidRDefault="00D069C5" w:rsidP="00D069C5">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Page.5</w:t>
      </w:r>
      <w:r w:rsidRPr="003C06AC">
        <w:rPr>
          <w:rFonts w:asciiTheme="minorBidi" w:eastAsia="Calibri" w:hAnsiTheme="minorBidi" w:cs="Times New Roman"/>
          <w:sz w:val="24"/>
          <w:szCs w:val="24"/>
          <w:lang w:val="en-US"/>
        </w:rPr>
        <w:t xml:space="preserve"> </w:t>
      </w:r>
    </w:p>
    <w:p w:rsidR="00D069C5" w:rsidRPr="00D069C5" w:rsidRDefault="00D069C5" w:rsidP="00D069C5">
      <w:pPr>
        <w:spacing w:before="30" w:after="30" w:line="259" w:lineRule="auto"/>
        <w:ind w:right="850"/>
        <w:rPr>
          <w:rFonts w:asciiTheme="minorBidi" w:hAnsiTheme="minorBidi"/>
          <w:sz w:val="24"/>
          <w:szCs w:val="24"/>
        </w:rPr>
      </w:pPr>
    </w:p>
    <w:p w:rsidR="00436869" w:rsidRDefault="00436869" w:rsidP="00436869">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Providing a central place where project team members can store all project documentation.</w:t>
      </w:r>
    </w:p>
    <w:p w:rsidR="00436869" w:rsidRDefault="00436869" w:rsidP="00436869">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Allowing the use of electronic forms, where the project team members will enter information on project milestones and deliverables in a structured and standardized format.</w:t>
      </w:r>
    </w:p>
    <w:p w:rsidR="00436869" w:rsidRDefault="00436869" w:rsidP="00436869">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Providing database that will store this information and will be available for queries from different stakeholders.</w:t>
      </w:r>
    </w:p>
    <w:p w:rsidR="00436869" w:rsidRDefault="00436869" w:rsidP="00436869">
      <w:pPr>
        <w:pStyle w:val="ListParagraph"/>
        <w:numPr>
          <w:ilvl w:val="0"/>
          <w:numId w:val="30"/>
        </w:numPr>
        <w:spacing w:before="30" w:after="30" w:line="259" w:lineRule="auto"/>
        <w:ind w:right="850"/>
        <w:rPr>
          <w:rFonts w:asciiTheme="minorBidi" w:hAnsiTheme="minorBidi"/>
          <w:sz w:val="24"/>
          <w:szCs w:val="24"/>
        </w:rPr>
      </w:pPr>
      <w:r>
        <w:rPr>
          <w:rFonts w:asciiTheme="minorBidi" w:hAnsiTheme="minorBidi"/>
          <w:sz w:val="24"/>
          <w:szCs w:val="24"/>
        </w:rPr>
        <w:t>Integrating with other office software suites, and prompting team members to enter information on due actions, issues and risk items.</w:t>
      </w:r>
    </w:p>
    <w:p w:rsidR="00436869" w:rsidRDefault="00436869" w:rsidP="00436869">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Distributing information to the global stakeholders:</w:t>
      </w:r>
    </w:p>
    <w:p w:rsidR="00436869" w:rsidRDefault="00436869" w:rsidP="00436869">
      <w:pPr>
        <w:pStyle w:val="ListParagraph"/>
        <w:spacing w:before="30" w:after="30"/>
        <w:ind w:left="1500" w:right="850"/>
        <w:rPr>
          <w:rFonts w:asciiTheme="minorBidi" w:hAnsiTheme="minorBidi"/>
          <w:sz w:val="24"/>
          <w:szCs w:val="24"/>
        </w:rPr>
      </w:pPr>
      <w:r>
        <w:rPr>
          <w:rFonts w:asciiTheme="minorBidi" w:hAnsiTheme="minorBidi"/>
          <w:sz w:val="24"/>
          <w:szCs w:val="24"/>
        </w:rPr>
        <w:t xml:space="preserve">Project manager’s o project office administrator can use software packages to structure and summarize the project performance data in formats that include spreadsheets, graphics and </w:t>
      </w:r>
      <w:r>
        <w:rPr>
          <w:rFonts w:asciiTheme="minorBidi" w:hAnsiTheme="minorBidi"/>
          <w:sz w:val="24"/>
          <w:szCs w:val="24"/>
        </w:rPr>
        <w:t>color-coded</w:t>
      </w:r>
      <w:r>
        <w:rPr>
          <w:rFonts w:asciiTheme="minorBidi" w:hAnsiTheme="minorBidi"/>
          <w:sz w:val="24"/>
          <w:szCs w:val="24"/>
        </w:rPr>
        <w:t xml:space="preserve"> presentations.</w:t>
      </w:r>
    </w:p>
    <w:p w:rsidR="00436869" w:rsidRDefault="00436869" w:rsidP="00436869">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Selection of international human resources:</w:t>
      </w:r>
    </w:p>
    <w:p w:rsidR="00436869" w:rsidRPr="00D069C5" w:rsidRDefault="00436869" w:rsidP="00D069C5">
      <w:pPr>
        <w:pStyle w:val="ListParagraph"/>
        <w:spacing w:before="30" w:after="30"/>
        <w:ind w:left="1500" w:right="850"/>
        <w:rPr>
          <w:rFonts w:asciiTheme="minorBidi" w:hAnsiTheme="minorBidi"/>
          <w:sz w:val="24"/>
          <w:szCs w:val="24"/>
        </w:rPr>
      </w:pPr>
      <w:r>
        <w:rPr>
          <w:rFonts w:asciiTheme="minorBidi" w:hAnsiTheme="minorBidi"/>
          <w:sz w:val="24"/>
          <w:szCs w:val="24"/>
        </w:rPr>
        <w:t>The project managers needs to evaluate the previous experience of the team members on global projects, organizing, coaching and training to avoid clashes between different personalities and cultures, increasing the productivity and team spirit and avoiding negative conflict.</w:t>
      </w:r>
    </w:p>
    <w:p w:rsidR="002B0E73" w:rsidRPr="00436869" w:rsidRDefault="00436869" w:rsidP="00436869">
      <w:pPr>
        <w:spacing w:after="160" w:line="259" w:lineRule="auto"/>
        <w:rPr>
          <w:rFonts w:asciiTheme="minorBidi" w:hAnsiTheme="minorBidi"/>
          <w:sz w:val="24"/>
          <w:szCs w:val="24"/>
        </w:rPr>
      </w:pPr>
      <w:r>
        <w:rPr>
          <w:rFonts w:asciiTheme="minorBidi" w:hAnsiTheme="minorBidi"/>
          <w:noProof/>
          <w:sz w:val="24"/>
          <w:szCs w:val="24"/>
          <w:lang w:val="en-US"/>
        </w:rPr>
        <w:drawing>
          <wp:inline distT="0" distB="0" distL="0" distR="0" wp14:anchorId="74959539" wp14:editId="298AA1DF">
            <wp:extent cx="6000750" cy="32004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sectPr w:rsidR="002B0E73" w:rsidRPr="0043686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E6E" w:rsidRDefault="00021E6E" w:rsidP="00CB4D0A">
      <w:pPr>
        <w:spacing w:after="0" w:line="240" w:lineRule="auto"/>
      </w:pPr>
      <w:r>
        <w:separator/>
      </w:r>
    </w:p>
  </w:endnote>
  <w:endnote w:type="continuationSeparator" w:id="0">
    <w:p w:rsidR="00021E6E" w:rsidRDefault="00021E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E6E" w:rsidRDefault="00021E6E" w:rsidP="00CB4D0A">
      <w:pPr>
        <w:spacing w:after="0" w:line="240" w:lineRule="auto"/>
      </w:pPr>
      <w:r>
        <w:separator/>
      </w:r>
    </w:p>
  </w:footnote>
  <w:footnote w:type="continuationSeparator" w:id="0">
    <w:p w:rsidR="00021E6E" w:rsidRDefault="00021E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1.25pt;height:11.25pt" o:bullet="t">
        <v:imagedata r:id="rId1" o:title="msoF1C7"/>
      </v:shape>
    </w:pict>
  </w:numPicBullet>
  <w:abstractNum w:abstractNumId="0" w15:restartNumberingAfterBreak="0">
    <w:nsid w:val="000F6FC8"/>
    <w:multiLevelType w:val="hybridMultilevel"/>
    <w:tmpl w:val="345AC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0269C"/>
    <w:multiLevelType w:val="hybridMultilevel"/>
    <w:tmpl w:val="F060257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CD0A73"/>
    <w:multiLevelType w:val="hybridMultilevel"/>
    <w:tmpl w:val="98F43CD8"/>
    <w:lvl w:ilvl="0" w:tplc="04090009">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3" w15:restartNumberingAfterBreak="0">
    <w:nsid w:val="06FD472D"/>
    <w:multiLevelType w:val="hybridMultilevel"/>
    <w:tmpl w:val="B6A463A8"/>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83E5863"/>
    <w:multiLevelType w:val="hybridMultilevel"/>
    <w:tmpl w:val="498AA256"/>
    <w:lvl w:ilvl="0" w:tplc="04090005">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5" w15:restartNumberingAfterBreak="0">
    <w:nsid w:val="0DA4705C"/>
    <w:multiLevelType w:val="hybridMultilevel"/>
    <w:tmpl w:val="709EE234"/>
    <w:lvl w:ilvl="0" w:tplc="1009000B">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0DBB5EA2"/>
    <w:multiLevelType w:val="hybridMultilevel"/>
    <w:tmpl w:val="94BA1810"/>
    <w:lvl w:ilvl="0" w:tplc="850806A6">
      <w:start w:val="5"/>
      <w:numFmt w:val="bullet"/>
      <w:lvlText w:val="-"/>
      <w:lvlJc w:val="left"/>
      <w:pPr>
        <w:ind w:left="1570" w:hanging="360"/>
      </w:pPr>
      <w:rPr>
        <w:rFonts w:ascii="Arial" w:eastAsiaTheme="minorHAnsi" w:hAnsi="Arial" w:cs="Aria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7" w15:restartNumberingAfterBreak="0">
    <w:nsid w:val="0DF64D6F"/>
    <w:multiLevelType w:val="hybridMultilevel"/>
    <w:tmpl w:val="A8E259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0E19182D"/>
    <w:multiLevelType w:val="hybridMultilevel"/>
    <w:tmpl w:val="3B6ACB32"/>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9" w15:restartNumberingAfterBreak="0">
    <w:nsid w:val="113F5E1E"/>
    <w:multiLevelType w:val="hybridMultilevel"/>
    <w:tmpl w:val="DC4A99B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8EC3DF0"/>
    <w:multiLevelType w:val="hybridMultilevel"/>
    <w:tmpl w:val="E1EEFEF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8FF11BB"/>
    <w:multiLevelType w:val="hybridMultilevel"/>
    <w:tmpl w:val="C0AAE016"/>
    <w:lvl w:ilvl="0" w:tplc="850806A6">
      <w:start w:val="5"/>
      <w:numFmt w:val="bullet"/>
      <w:lvlText w:val="-"/>
      <w:lvlJc w:val="left"/>
      <w:pPr>
        <w:ind w:left="1570" w:hanging="360"/>
      </w:pPr>
      <w:rPr>
        <w:rFonts w:ascii="Arial" w:eastAsiaTheme="minorHAnsi" w:hAnsi="Arial" w:cs="Aria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2" w15:restartNumberingAfterBreak="0">
    <w:nsid w:val="1AB11BB0"/>
    <w:multiLevelType w:val="hybridMultilevel"/>
    <w:tmpl w:val="F0187CC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2D723282"/>
    <w:multiLevelType w:val="hybridMultilevel"/>
    <w:tmpl w:val="B39035BA"/>
    <w:lvl w:ilvl="0" w:tplc="04090017">
      <w:start w:val="1"/>
      <w:numFmt w:val="lowerLetter"/>
      <w:lvlText w:val="%1)"/>
      <w:lvlJc w:val="left"/>
      <w:pPr>
        <w:ind w:left="1455" w:hanging="360"/>
      </w:p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14" w15:restartNumberingAfterBreak="0">
    <w:nsid w:val="3758725B"/>
    <w:multiLevelType w:val="hybridMultilevel"/>
    <w:tmpl w:val="AF722562"/>
    <w:lvl w:ilvl="0" w:tplc="04090005">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BD73819"/>
    <w:multiLevelType w:val="hybridMultilevel"/>
    <w:tmpl w:val="D12E89DC"/>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7" w15:restartNumberingAfterBreak="0">
    <w:nsid w:val="50CA1861"/>
    <w:multiLevelType w:val="hybridMultilevel"/>
    <w:tmpl w:val="010ECF0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816056F"/>
    <w:multiLevelType w:val="hybridMultilevel"/>
    <w:tmpl w:val="44BA0D4C"/>
    <w:lvl w:ilvl="0" w:tplc="0409000D">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CB06A3E"/>
    <w:multiLevelType w:val="hybridMultilevel"/>
    <w:tmpl w:val="3A460266"/>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15:restartNumberingAfterBreak="0">
    <w:nsid w:val="6D4F3F70"/>
    <w:multiLevelType w:val="hybridMultilevel"/>
    <w:tmpl w:val="BFD26F0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73567D8D"/>
    <w:multiLevelType w:val="hybridMultilevel"/>
    <w:tmpl w:val="A78A0ADA"/>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24" w15:restartNumberingAfterBreak="0">
    <w:nsid w:val="76BA0CEE"/>
    <w:multiLevelType w:val="hybridMultilevel"/>
    <w:tmpl w:val="4E74522E"/>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15:restartNumberingAfterBreak="0">
    <w:nsid w:val="7A7F22B0"/>
    <w:multiLevelType w:val="hybridMultilevel"/>
    <w:tmpl w:val="F18E72FA"/>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7B6A626B"/>
    <w:multiLevelType w:val="hybridMultilevel"/>
    <w:tmpl w:val="61A46CB6"/>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3"/>
  </w:num>
  <w:num w:numId="5">
    <w:abstractNumId w:val="6"/>
  </w:num>
  <w:num w:numId="6">
    <w:abstractNumId w:val="8"/>
  </w:num>
  <w:num w:numId="7">
    <w:abstractNumId w:val="2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19"/>
  </w:num>
  <w:num w:numId="12">
    <w:abstractNumId w:val="5"/>
  </w:num>
  <w:num w:numId="13">
    <w:abstractNumId w:val="14"/>
  </w:num>
  <w:num w:numId="14">
    <w:abstractNumId w:val="2"/>
  </w:num>
  <w:num w:numId="15">
    <w:abstractNumId w:val="12"/>
  </w:num>
  <w:num w:numId="16">
    <w:abstractNumId w:val="21"/>
  </w:num>
  <w:num w:numId="17">
    <w:abstractNumId w:val="17"/>
  </w:num>
  <w:num w:numId="18">
    <w:abstractNumId w:val="0"/>
  </w:num>
  <w:num w:numId="19">
    <w:abstractNumId w:val="11"/>
  </w:num>
  <w:num w:numId="20">
    <w:abstractNumId w:val="7"/>
  </w:num>
  <w:num w:numId="21">
    <w:abstractNumId w:val="3"/>
  </w:num>
  <w:num w:numId="22">
    <w:abstractNumId w:val="10"/>
  </w:num>
  <w:num w:numId="23">
    <w:abstractNumId w:val="13"/>
  </w:num>
  <w:num w:numId="24">
    <w:abstractNumId w:val="25"/>
  </w:num>
  <w:num w:numId="25">
    <w:abstractNumId w:val="22"/>
  </w:num>
  <w:num w:numId="26">
    <w:abstractNumId w:val="26"/>
  </w:num>
  <w:num w:numId="27">
    <w:abstractNumId w:val="16"/>
  </w:num>
  <w:num w:numId="28">
    <w:abstractNumId w:val="24"/>
  </w:num>
  <w:num w:numId="29">
    <w:abstractNumId w:val="1"/>
  </w:num>
  <w:num w:numId="30">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21E6E"/>
    <w:rsid w:val="00033F30"/>
    <w:rsid w:val="00035CDD"/>
    <w:rsid w:val="00040083"/>
    <w:rsid w:val="00041ECA"/>
    <w:rsid w:val="00055992"/>
    <w:rsid w:val="00055D4E"/>
    <w:rsid w:val="000820E8"/>
    <w:rsid w:val="000C2EA8"/>
    <w:rsid w:val="001175EE"/>
    <w:rsid w:val="00157CF6"/>
    <w:rsid w:val="00174119"/>
    <w:rsid w:val="00182416"/>
    <w:rsid w:val="00187EB4"/>
    <w:rsid w:val="001A1632"/>
    <w:rsid w:val="001B28A6"/>
    <w:rsid w:val="001F0481"/>
    <w:rsid w:val="001F73A9"/>
    <w:rsid w:val="00200C92"/>
    <w:rsid w:val="0020451E"/>
    <w:rsid w:val="00206B9D"/>
    <w:rsid w:val="0023259C"/>
    <w:rsid w:val="002A4DDD"/>
    <w:rsid w:val="002B0BD7"/>
    <w:rsid w:val="002B0E73"/>
    <w:rsid w:val="002B573D"/>
    <w:rsid w:val="002C5CB2"/>
    <w:rsid w:val="002D13AD"/>
    <w:rsid w:val="002F5F80"/>
    <w:rsid w:val="002F779F"/>
    <w:rsid w:val="00355B79"/>
    <w:rsid w:val="00371885"/>
    <w:rsid w:val="003B3183"/>
    <w:rsid w:val="003C06AC"/>
    <w:rsid w:val="003D5AB8"/>
    <w:rsid w:val="003E2B87"/>
    <w:rsid w:val="003E7C6C"/>
    <w:rsid w:val="003F7A18"/>
    <w:rsid w:val="00402786"/>
    <w:rsid w:val="004037FF"/>
    <w:rsid w:val="00405895"/>
    <w:rsid w:val="004058DF"/>
    <w:rsid w:val="00436869"/>
    <w:rsid w:val="00443E6F"/>
    <w:rsid w:val="00454CAA"/>
    <w:rsid w:val="00460271"/>
    <w:rsid w:val="004817D8"/>
    <w:rsid w:val="00486F1A"/>
    <w:rsid w:val="00490CB9"/>
    <w:rsid w:val="004A2CE2"/>
    <w:rsid w:val="004A6E68"/>
    <w:rsid w:val="004D5C5F"/>
    <w:rsid w:val="004E3CDA"/>
    <w:rsid w:val="004F4B4D"/>
    <w:rsid w:val="0050216D"/>
    <w:rsid w:val="00503D7E"/>
    <w:rsid w:val="0050778F"/>
    <w:rsid w:val="00527C11"/>
    <w:rsid w:val="00527DE1"/>
    <w:rsid w:val="00535F31"/>
    <w:rsid w:val="005363FA"/>
    <w:rsid w:val="00544FCD"/>
    <w:rsid w:val="0055656A"/>
    <w:rsid w:val="00574D64"/>
    <w:rsid w:val="00591365"/>
    <w:rsid w:val="005B31E4"/>
    <w:rsid w:val="005E7900"/>
    <w:rsid w:val="005F7F32"/>
    <w:rsid w:val="006034F6"/>
    <w:rsid w:val="00607874"/>
    <w:rsid w:val="00607E77"/>
    <w:rsid w:val="00617BB3"/>
    <w:rsid w:val="0063363A"/>
    <w:rsid w:val="00642795"/>
    <w:rsid w:val="00643D47"/>
    <w:rsid w:val="00645CDD"/>
    <w:rsid w:val="006823A7"/>
    <w:rsid w:val="00687EE8"/>
    <w:rsid w:val="0070347F"/>
    <w:rsid w:val="0070678E"/>
    <w:rsid w:val="00734FED"/>
    <w:rsid w:val="0075603E"/>
    <w:rsid w:val="007C2C6A"/>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117B"/>
    <w:rsid w:val="009E41F4"/>
    <w:rsid w:val="00A14B66"/>
    <w:rsid w:val="00A306EB"/>
    <w:rsid w:val="00A65CF7"/>
    <w:rsid w:val="00A67534"/>
    <w:rsid w:val="00A81AB4"/>
    <w:rsid w:val="00A851DA"/>
    <w:rsid w:val="00A97E78"/>
    <w:rsid w:val="00AC7D5B"/>
    <w:rsid w:val="00AE1481"/>
    <w:rsid w:val="00AE77C7"/>
    <w:rsid w:val="00B0075B"/>
    <w:rsid w:val="00B0415E"/>
    <w:rsid w:val="00B04678"/>
    <w:rsid w:val="00B5340D"/>
    <w:rsid w:val="00BA2ED2"/>
    <w:rsid w:val="00BC46DF"/>
    <w:rsid w:val="00BE0C52"/>
    <w:rsid w:val="00BF09DB"/>
    <w:rsid w:val="00C03577"/>
    <w:rsid w:val="00C12E47"/>
    <w:rsid w:val="00C53029"/>
    <w:rsid w:val="00C65FEA"/>
    <w:rsid w:val="00CA0AC2"/>
    <w:rsid w:val="00CB4D0A"/>
    <w:rsid w:val="00CC2FB3"/>
    <w:rsid w:val="00CC575A"/>
    <w:rsid w:val="00CD36F0"/>
    <w:rsid w:val="00CF123B"/>
    <w:rsid w:val="00D039AC"/>
    <w:rsid w:val="00D069C5"/>
    <w:rsid w:val="00D10A0C"/>
    <w:rsid w:val="00D12857"/>
    <w:rsid w:val="00D427DE"/>
    <w:rsid w:val="00D543A9"/>
    <w:rsid w:val="00D5587D"/>
    <w:rsid w:val="00D64BC3"/>
    <w:rsid w:val="00D707CC"/>
    <w:rsid w:val="00D72377"/>
    <w:rsid w:val="00D77E91"/>
    <w:rsid w:val="00D821FE"/>
    <w:rsid w:val="00DB0793"/>
    <w:rsid w:val="00E00821"/>
    <w:rsid w:val="00E04DB4"/>
    <w:rsid w:val="00E30167"/>
    <w:rsid w:val="00E30679"/>
    <w:rsid w:val="00E4597D"/>
    <w:rsid w:val="00E51093"/>
    <w:rsid w:val="00E54832"/>
    <w:rsid w:val="00E56A90"/>
    <w:rsid w:val="00E621F8"/>
    <w:rsid w:val="00E641CC"/>
    <w:rsid w:val="00EA30AB"/>
    <w:rsid w:val="00EB2E91"/>
    <w:rsid w:val="00EB3925"/>
    <w:rsid w:val="00F02148"/>
    <w:rsid w:val="00F164D0"/>
    <w:rsid w:val="00F276E2"/>
    <w:rsid w:val="00F56BD6"/>
    <w:rsid w:val="00F6332A"/>
    <w:rsid w:val="00F73B1F"/>
    <w:rsid w:val="00F96EB3"/>
    <w:rsid w:val="00FB6067"/>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A2ED2"/>
    <w:pPr>
      <w:spacing w:after="160" w:line="240" w:lineRule="auto"/>
    </w:pPr>
    <w:rPr>
      <w:sz w:val="20"/>
      <w:szCs w:val="20"/>
      <w:lang w:val="en-CA"/>
    </w:rPr>
  </w:style>
  <w:style w:type="character" w:customStyle="1" w:styleId="CommentTextChar">
    <w:name w:val="Comment Text Char"/>
    <w:basedOn w:val="DefaultParagraphFont"/>
    <w:link w:val="CommentText"/>
    <w:uiPriority w:val="99"/>
    <w:semiHidden/>
    <w:rsid w:val="00BA2ED2"/>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69154">
      <w:bodyDiv w:val="1"/>
      <w:marLeft w:val="0"/>
      <w:marRight w:val="0"/>
      <w:marTop w:val="0"/>
      <w:marBottom w:val="0"/>
      <w:divBdr>
        <w:top w:val="none" w:sz="0" w:space="0" w:color="auto"/>
        <w:left w:val="none" w:sz="0" w:space="0" w:color="auto"/>
        <w:bottom w:val="none" w:sz="0" w:space="0" w:color="auto"/>
        <w:right w:val="none" w:sz="0" w:space="0" w:color="auto"/>
      </w:divBdr>
    </w:div>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F85991-204F-40C8-9FCE-AD5FCD5A0DA4}" type="doc">
      <dgm:prSet loTypeId="urn:microsoft.com/office/officeart/2008/layout/RadialCluster" loCatId="cycle" qsTypeId="urn:microsoft.com/office/officeart/2005/8/quickstyle/simple1" qsCatId="simple" csTypeId="urn:microsoft.com/office/officeart/2005/8/colors/colorful3" csCatId="colorful" phldr="1"/>
      <dgm:spPr/>
      <dgm:t>
        <a:bodyPr/>
        <a:lstStyle/>
        <a:p>
          <a:endParaRPr lang="en-US"/>
        </a:p>
      </dgm:t>
    </dgm:pt>
    <dgm:pt modelId="{B81531E2-5A53-472D-ACA4-3C9A71D5A3AD}">
      <dgm:prSet phldrT="[Text]"/>
      <dgm:spPr/>
      <dgm:t>
        <a:bodyPr/>
        <a:lstStyle/>
        <a:p>
          <a:r>
            <a:rPr lang="en-CA"/>
            <a:t>Global Communication Techniques </a:t>
          </a:r>
          <a:endParaRPr lang="en-US"/>
        </a:p>
      </dgm:t>
    </dgm:pt>
    <dgm:pt modelId="{31EB784B-2D15-4C51-A9B8-4B87E49592E3}" type="parTrans" cxnId="{56F33698-FF54-4349-B4D7-C8A3C62F553B}">
      <dgm:prSet/>
      <dgm:spPr/>
      <dgm:t>
        <a:bodyPr/>
        <a:lstStyle/>
        <a:p>
          <a:endParaRPr lang="en-US"/>
        </a:p>
      </dgm:t>
    </dgm:pt>
    <dgm:pt modelId="{AC1B39BD-6B62-4050-BB5A-9ADC36E1EBE7}" type="sibTrans" cxnId="{56F33698-FF54-4349-B4D7-C8A3C62F553B}">
      <dgm:prSet/>
      <dgm:spPr/>
      <dgm:t>
        <a:bodyPr/>
        <a:lstStyle/>
        <a:p>
          <a:endParaRPr lang="en-US"/>
        </a:p>
      </dgm:t>
    </dgm:pt>
    <dgm:pt modelId="{33F0E95C-80F8-4169-9E50-34DC0687EE86}">
      <dgm:prSet phldrT="[Text]"/>
      <dgm:spPr/>
      <dgm:t>
        <a:bodyPr/>
        <a:lstStyle/>
        <a:p>
          <a:r>
            <a:rPr lang="en-CA"/>
            <a:t>Collecting information from the global team members</a:t>
          </a:r>
          <a:endParaRPr lang="en-US"/>
        </a:p>
      </dgm:t>
    </dgm:pt>
    <dgm:pt modelId="{9F86BF1A-AE46-41AC-8F9B-07CAD319AB1B}" type="parTrans" cxnId="{5F1EAB0B-0866-4857-A5AF-05DEFC1EFA37}">
      <dgm:prSet/>
      <dgm:spPr/>
      <dgm:t>
        <a:bodyPr/>
        <a:lstStyle/>
        <a:p>
          <a:endParaRPr lang="en-US"/>
        </a:p>
      </dgm:t>
    </dgm:pt>
    <dgm:pt modelId="{7FF85CE6-091F-4354-9147-4BE5759B4FEC}" type="sibTrans" cxnId="{5F1EAB0B-0866-4857-A5AF-05DEFC1EFA37}">
      <dgm:prSet/>
      <dgm:spPr/>
      <dgm:t>
        <a:bodyPr/>
        <a:lstStyle/>
        <a:p>
          <a:endParaRPr lang="en-US"/>
        </a:p>
      </dgm:t>
    </dgm:pt>
    <dgm:pt modelId="{BE8AEE55-F865-4575-A861-144FFA1CFF59}">
      <dgm:prSet phldrT="[Text]"/>
      <dgm:spPr/>
      <dgm:t>
        <a:bodyPr/>
        <a:lstStyle/>
        <a:p>
          <a:r>
            <a:rPr lang="en-CA"/>
            <a:t>Distributing information to the global stakeholders</a:t>
          </a:r>
          <a:endParaRPr lang="en-US"/>
        </a:p>
      </dgm:t>
    </dgm:pt>
    <dgm:pt modelId="{50B8D345-84AE-4B3C-80FA-0ABDDB04378F}" type="parTrans" cxnId="{20C0A94B-9C41-4089-B315-0850BFB05B29}">
      <dgm:prSet/>
      <dgm:spPr/>
      <dgm:t>
        <a:bodyPr/>
        <a:lstStyle/>
        <a:p>
          <a:endParaRPr lang="en-US"/>
        </a:p>
      </dgm:t>
    </dgm:pt>
    <dgm:pt modelId="{874F5CAA-FB5B-4B97-A4A9-186AA675D175}" type="sibTrans" cxnId="{20C0A94B-9C41-4089-B315-0850BFB05B29}">
      <dgm:prSet/>
      <dgm:spPr/>
      <dgm:t>
        <a:bodyPr/>
        <a:lstStyle/>
        <a:p>
          <a:endParaRPr lang="en-US"/>
        </a:p>
      </dgm:t>
    </dgm:pt>
    <dgm:pt modelId="{DDA8C87B-3D67-4DD5-A771-2F2D3B4861ED}">
      <dgm:prSet phldrT="[Text]"/>
      <dgm:spPr/>
      <dgm:t>
        <a:bodyPr/>
        <a:lstStyle/>
        <a:p>
          <a:r>
            <a:rPr lang="en-CA"/>
            <a:t>Selection of international human resources</a:t>
          </a:r>
          <a:endParaRPr lang="en-US"/>
        </a:p>
      </dgm:t>
    </dgm:pt>
    <dgm:pt modelId="{6F97C2BC-AB20-4706-A0B5-6BFD33C5ECB8}" type="parTrans" cxnId="{F44CE053-5262-4F14-A03C-CE5554B02E98}">
      <dgm:prSet/>
      <dgm:spPr/>
      <dgm:t>
        <a:bodyPr/>
        <a:lstStyle/>
        <a:p>
          <a:endParaRPr lang="en-US"/>
        </a:p>
      </dgm:t>
    </dgm:pt>
    <dgm:pt modelId="{C679EC88-5C7A-445F-83FE-D4D1CE5ABB52}" type="sibTrans" cxnId="{F44CE053-5262-4F14-A03C-CE5554B02E98}">
      <dgm:prSet/>
      <dgm:spPr/>
      <dgm:t>
        <a:bodyPr/>
        <a:lstStyle/>
        <a:p>
          <a:endParaRPr lang="en-US"/>
        </a:p>
      </dgm:t>
    </dgm:pt>
    <dgm:pt modelId="{3AA4F01D-34FA-482A-8FB8-D92571AE4FF6}" type="pres">
      <dgm:prSet presAssocID="{6AF85991-204F-40C8-9FCE-AD5FCD5A0DA4}" presName="Name0" presStyleCnt="0">
        <dgm:presLayoutVars>
          <dgm:chMax val="1"/>
          <dgm:chPref val="1"/>
          <dgm:dir/>
          <dgm:animOne val="branch"/>
          <dgm:animLvl val="lvl"/>
        </dgm:presLayoutVars>
      </dgm:prSet>
      <dgm:spPr/>
    </dgm:pt>
    <dgm:pt modelId="{2321C4E1-436F-453A-8076-18A882141F66}" type="pres">
      <dgm:prSet presAssocID="{B81531E2-5A53-472D-ACA4-3C9A71D5A3AD}" presName="singleCycle" presStyleCnt="0"/>
      <dgm:spPr/>
    </dgm:pt>
    <dgm:pt modelId="{B5B49254-33FE-4CAD-AA4B-10B6A2487A4B}" type="pres">
      <dgm:prSet presAssocID="{B81531E2-5A53-472D-ACA4-3C9A71D5A3AD}" presName="singleCenter" presStyleLbl="node1" presStyleIdx="0" presStyleCnt="4">
        <dgm:presLayoutVars>
          <dgm:chMax val="7"/>
          <dgm:chPref val="7"/>
        </dgm:presLayoutVars>
      </dgm:prSet>
      <dgm:spPr/>
      <dgm:t>
        <a:bodyPr/>
        <a:lstStyle/>
        <a:p>
          <a:endParaRPr lang="en-US"/>
        </a:p>
      </dgm:t>
    </dgm:pt>
    <dgm:pt modelId="{492C6054-21A9-4F86-8858-07B2C347D941}" type="pres">
      <dgm:prSet presAssocID="{9F86BF1A-AE46-41AC-8F9B-07CAD319AB1B}" presName="Name56" presStyleLbl="parChTrans1D2" presStyleIdx="0" presStyleCnt="3"/>
      <dgm:spPr/>
    </dgm:pt>
    <dgm:pt modelId="{1A788C88-C585-432C-A432-5FA58DEAB38A}" type="pres">
      <dgm:prSet presAssocID="{33F0E95C-80F8-4169-9E50-34DC0687EE86}" presName="text0" presStyleLbl="node1" presStyleIdx="1" presStyleCnt="4">
        <dgm:presLayoutVars>
          <dgm:bulletEnabled val="1"/>
        </dgm:presLayoutVars>
      </dgm:prSet>
      <dgm:spPr/>
      <dgm:t>
        <a:bodyPr/>
        <a:lstStyle/>
        <a:p>
          <a:endParaRPr lang="en-US"/>
        </a:p>
      </dgm:t>
    </dgm:pt>
    <dgm:pt modelId="{C47DE76B-9D04-4B39-A6BE-BBE265C20F14}" type="pres">
      <dgm:prSet presAssocID="{50B8D345-84AE-4B3C-80FA-0ABDDB04378F}" presName="Name56" presStyleLbl="parChTrans1D2" presStyleIdx="1" presStyleCnt="3"/>
      <dgm:spPr/>
    </dgm:pt>
    <dgm:pt modelId="{B67217D6-64D2-4E5E-BE24-666383085DF3}" type="pres">
      <dgm:prSet presAssocID="{BE8AEE55-F865-4575-A861-144FFA1CFF59}" presName="text0" presStyleLbl="node1" presStyleIdx="2" presStyleCnt="4">
        <dgm:presLayoutVars>
          <dgm:bulletEnabled val="1"/>
        </dgm:presLayoutVars>
      </dgm:prSet>
      <dgm:spPr/>
      <dgm:t>
        <a:bodyPr/>
        <a:lstStyle/>
        <a:p>
          <a:endParaRPr lang="en-US"/>
        </a:p>
      </dgm:t>
    </dgm:pt>
    <dgm:pt modelId="{69F0379F-491A-4DB7-8BD5-2A1C49CEFFDF}" type="pres">
      <dgm:prSet presAssocID="{6F97C2BC-AB20-4706-A0B5-6BFD33C5ECB8}" presName="Name56" presStyleLbl="parChTrans1D2" presStyleIdx="2" presStyleCnt="3"/>
      <dgm:spPr/>
    </dgm:pt>
    <dgm:pt modelId="{4056885C-C3B1-4DE8-A322-54002CF9DA44}" type="pres">
      <dgm:prSet presAssocID="{DDA8C87B-3D67-4DD5-A771-2F2D3B4861ED}" presName="text0" presStyleLbl="node1" presStyleIdx="3" presStyleCnt="4">
        <dgm:presLayoutVars>
          <dgm:bulletEnabled val="1"/>
        </dgm:presLayoutVars>
      </dgm:prSet>
      <dgm:spPr/>
      <dgm:t>
        <a:bodyPr/>
        <a:lstStyle/>
        <a:p>
          <a:endParaRPr lang="en-US"/>
        </a:p>
      </dgm:t>
    </dgm:pt>
  </dgm:ptLst>
  <dgm:cxnLst>
    <dgm:cxn modelId="{F44CE053-5262-4F14-A03C-CE5554B02E98}" srcId="{B81531E2-5A53-472D-ACA4-3C9A71D5A3AD}" destId="{DDA8C87B-3D67-4DD5-A771-2F2D3B4861ED}" srcOrd="2" destOrd="0" parTransId="{6F97C2BC-AB20-4706-A0B5-6BFD33C5ECB8}" sibTransId="{C679EC88-5C7A-445F-83FE-D4D1CE5ABB52}"/>
    <dgm:cxn modelId="{20C0A94B-9C41-4089-B315-0850BFB05B29}" srcId="{B81531E2-5A53-472D-ACA4-3C9A71D5A3AD}" destId="{BE8AEE55-F865-4575-A861-144FFA1CFF59}" srcOrd="1" destOrd="0" parTransId="{50B8D345-84AE-4B3C-80FA-0ABDDB04378F}" sibTransId="{874F5CAA-FB5B-4B97-A4A9-186AA675D175}"/>
    <dgm:cxn modelId="{6F50C940-6BBC-4C4D-B4DC-CE914E593448}" type="presOf" srcId="{6AF85991-204F-40C8-9FCE-AD5FCD5A0DA4}" destId="{3AA4F01D-34FA-482A-8FB8-D92571AE4FF6}" srcOrd="0" destOrd="0" presId="urn:microsoft.com/office/officeart/2008/layout/RadialCluster"/>
    <dgm:cxn modelId="{5F1EAB0B-0866-4857-A5AF-05DEFC1EFA37}" srcId="{B81531E2-5A53-472D-ACA4-3C9A71D5A3AD}" destId="{33F0E95C-80F8-4169-9E50-34DC0687EE86}" srcOrd="0" destOrd="0" parTransId="{9F86BF1A-AE46-41AC-8F9B-07CAD319AB1B}" sibTransId="{7FF85CE6-091F-4354-9147-4BE5759B4FEC}"/>
    <dgm:cxn modelId="{E4A41B9D-7E6E-4F0F-B3A5-BA0C0996FC61}" type="presOf" srcId="{B81531E2-5A53-472D-ACA4-3C9A71D5A3AD}" destId="{B5B49254-33FE-4CAD-AA4B-10B6A2487A4B}" srcOrd="0" destOrd="0" presId="urn:microsoft.com/office/officeart/2008/layout/RadialCluster"/>
    <dgm:cxn modelId="{62A248F8-FC6E-4A7B-BC29-A8AE2C915E43}" type="presOf" srcId="{DDA8C87B-3D67-4DD5-A771-2F2D3B4861ED}" destId="{4056885C-C3B1-4DE8-A322-54002CF9DA44}" srcOrd="0" destOrd="0" presId="urn:microsoft.com/office/officeart/2008/layout/RadialCluster"/>
    <dgm:cxn modelId="{19D2B905-A12F-4AC0-A5A3-A3DA0D12554B}" type="presOf" srcId="{BE8AEE55-F865-4575-A861-144FFA1CFF59}" destId="{B67217D6-64D2-4E5E-BE24-666383085DF3}" srcOrd="0" destOrd="0" presId="urn:microsoft.com/office/officeart/2008/layout/RadialCluster"/>
    <dgm:cxn modelId="{369F8E17-51C0-4980-A666-070367A98491}" type="presOf" srcId="{6F97C2BC-AB20-4706-A0B5-6BFD33C5ECB8}" destId="{69F0379F-491A-4DB7-8BD5-2A1C49CEFFDF}" srcOrd="0" destOrd="0" presId="urn:microsoft.com/office/officeart/2008/layout/RadialCluster"/>
    <dgm:cxn modelId="{B45326A1-DA87-4351-AD7F-AE646DEA0946}" type="presOf" srcId="{9F86BF1A-AE46-41AC-8F9B-07CAD319AB1B}" destId="{492C6054-21A9-4F86-8858-07B2C347D941}" srcOrd="0" destOrd="0" presId="urn:microsoft.com/office/officeart/2008/layout/RadialCluster"/>
    <dgm:cxn modelId="{56F33698-FF54-4349-B4D7-C8A3C62F553B}" srcId="{6AF85991-204F-40C8-9FCE-AD5FCD5A0DA4}" destId="{B81531E2-5A53-472D-ACA4-3C9A71D5A3AD}" srcOrd="0" destOrd="0" parTransId="{31EB784B-2D15-4C51-A9B8-4B87E49592E3}" sibTransId="{AC1B39BD-6B62-4050-BB5A-9ADC36E1EBE7}"/>
    <dgm:cxn modelId="{0394C7BC-E733-4BD5-88AB-534E7C5B33E6}" type="presOf" srcId="{33F0E95C-80F8-4169-9E50-34DC0687EE86}" destId="{1A788C88-C585-432C-A432-5FA58DEAB38A}" srcOrd="0" destOrd="0" presId="urn:microsoft.com/office/officeart/2008/layout/RadialCluster"/>
    <dgm:cxn modelId="{9EC4F8A7-6BBF-407A-8E32-B942578C07B6}" type="presOf" srcId="{50B8D345-84AE-4B3C-80FA-0ABDDB04378F}" destId="{C47DE76B-9D04-4B39-A6BE-BBE265C20F14}" srcOrd="0" destOrd="0" presId="urn:microsoft.com/office/officeart/2008/layout/RadialCluster"/>
    <dgm:cxn modelId="{56CFA6B0-87B7-4D38-9635-DC08FA550573}" type="presParOf" srcId="{3AA4F01D-34FA-482A-8FB8-D92571AE4FF6}" destId="{2321C4E1-436F-453A-8076-18A882141F66}" srcOrd="0" destOrd="0" presId="urn:microsoft.com/office/officeart/2008/layout/RadialCluster"/>
    <dgm:cxn modelId="{1B781424-435D-4CA1-9884-741D55874DA1}" type="presParOf" srcId="{2321C4E1-436F-453A-8076-18A882141F66}" destId="{B5B49254-33FE-4CAD-AA4B-10B6A2487A4B}" srcOrd="0" destOrd="0" presId="urn:microsoft.com/office/officeart/2008/layout/RadialCluster"/>
    <dgm:cxn modelId="{513A567A-2410-4D53-8CF4-D04A0A02E6E7}" type="presParOf" srcId="{2321C4E1-436F-453A-8076-18A882141F66}" destId="{492C6054-21A9-4F86-8858-07B2C347D941}" srcOrd="1" destOrd="0" presId="urn:microsoft.com/office/officeart/2008/layout/RadialCluster"/>
    <dgm:cxn modelId="{F4550C70-5235-4F5E-89E8-4B96EFA66BAE}" type="presParOf" srcId="{2321C4E1-436F-453A-8076-18A882141F66}" destId="{1A788C88-C585-432C-A432-5FA58DEAB38A}" srcOrd="2" destOrd="0" presId="urn:microsoft.com/office/officeart/2008/layout/RadialCluster"/>
    <dgm:cxn modelId="{B4E99BD0-1C2E-441A-A1F4-583486560B75}" type="presParOf" srcId="{2321C4E1-436F-453A-8076-18A882141F66}" destId="{C47DE76B-9D04-4B39-A6BE-BBE265C20F14}" srcOrd="3" destOrd="0" presId="urn:microsoft.com/office/officeart/2008/layout/RadialCluster"/>
    <dgm:cxn modelId="{723F4601-B4CC-4EAF-914E-78A42E19172D}" type="presParOf" srcId="{2321C4E1-436F-453A-8076-18A882141F66}" destId="{B67217D6-64D2-4E5E-BE24-666383085DF3}" srcOrd="4" destOrd="0" presId="urn:microsoft.com/office/officeart/2008/layout/RadialCluster"/>
    <dgm:cxn modelId="{E61FC5A8-C52E-4B5B-A47C-8655455CE70B}" type="presParOf" srcId="{2321C4E1-436F-453A-8076-18A882141F66}" destId="{69F0379F-491A-4DB7-8BD5-2A1C49CEFFDF}" srcOrd="5" destOrd="0" presId="urn:microsoft.com/office/officeart/2008/layout/RadialCluster"/>
    <dgm:cxn modelId="{CA3FA92C-C0F2-4006-A2D1-84889929DC27}" type="presParOf" srcId="{2321C4E1-436F-453A-8076-18A882141F66}" destId="{4056885C-C3B1-4DE8-A322-54002CF9DA44}" srcOrd="6" destOrd="0" presId="urn:microsoft.com/office/officeart/2008/layout/Radial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B49254-33FE-4CAD-AA4B-10B6A2487A4B}">
      <dsp:nvSpPr>
        <dsp:cNvPr id="0" name=""/>
        <dsp:cNvSpPr/>
      </dsp:nvSpPr>
      <dsp:spPr>
        <a:xfrm>
          <a:off x="2520314" y="1488936"/>
          <a:ext cx="960120" cy="96012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n-CA" sz="900" kern="1200"/>
            <a:t>Global Communication Techniques </a:t>
          </a:r>
          <a:endParaRPr lang="en-US" sz="900" kern="1200"/>
        </a:p>
      </dsp:txBody>
      <dsp:txXfrm>
        <a:off x="2567183" y="1535805"/>
        <a:ext cx="866382" cy="866382"/>
      </dsp:txXfrm>
    </dsp:sp>
    <dsp:sp modelId="{492C6054-21A9-4F86-8858-07B2C347D941}">
      <dsp:nvSpPr>
        <dsp:cNvPr id="0" name=""/>
        <dsp:cNvSpPr/>
      </dsp:nvSpPr>
      <dsp:spPr>
        <a:xfrm rot="16200000">
          <a:off x="2663632" y="1152194"/>
          <a:ext cx="673484" cy="0"/>
        </a:xfrm>
        <a:custGeom>
          <a:avLst/>
          <a:gdLst/>
          <a:ahLst/>
          <a:cxnLst/>
          <a:rect l="0" t="0" r="0" b="0"/>
          <a:pathLst>
            <a:path>
              <a:moveTo>
                <a:pt x="0" y="0"/>
              </a:moveTo>
              <a:lnTo>
                <a:pt x="673484"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788C88-C585-432C-A432-5FA58DEAB38A}">
      <dsp:nvSpPr>
        <dsp:cNvPr id="0" name=""/>
        <dsp:cNvSpPr/>
      </dsp:nvSpPr>
      <dsp:spPr>
        <a:xfrm>
          <a:off x="2678734" y="172171"/>
          <a:ext cx="643280" cy="643280"/>
        </a:xfrm>
        <a:prstGeom prst="roundRect">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311150">
            <a:lnSpc>
              <a:spcPct val="90000"/>
            </a:lnSpc>
            <a:spcBef>
              <a:spcPct val="0"/>
            </a:spcBef>
            <a:spcAft>
              <a:spcPct val="35000"/>
            </a:spcAft>
          </a:pPr>
          <a:r>
            <a:rPr lang="en-CA" sz="700" kern="1200"/>
            <a:t>Collecting information from the global team members</a:t>
          </a:r>
          <a:endParaRPr lang="en-US" sz="700" kern="1200"/>
        </a:p>
      </dsp:txBody>
      <dsp:txXfrm>
        <a:off x="2710136" y="203573"/>
        <a:ext cx="580476" cy="580476"/>
      </dsp:txXfrm>
    </dsp:sp>
    <dsp:sp modelId="{C47DE76B-9D04-4B39-A6BE-BBE265C20F14}">
      <dsp:nvSpPr>
        <dsp:cNvPr id="0" name=""/>
        <dsp:cNvSpPr/>
      </dsp:nvSpPr>
      <dsp:spPr>
        <a:xfrm rot="1800000">
          <a:off x="3443628" y="2383524"/>
          <a:ext cx="549460" cy="0"/>
        </a:xfrm>
        <a:custGeom>
          <a:avLst/>
          <a:gdLst/>
          <a:ahLst/>
          <a:cxnLst/>
          <a:rect l="0" t="0" r="0" b="0"/>
          <a:pathLst>
            <a:path>
              <a:moveTo>
                <a:pt x="0" y="0"/>
              </a:moveTo>
              <a:lnTo>
                <a:pt x="549460"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217D6-64D2-4E5E-BE24-666383085DF3}">
      <dsp:nvSpPr>
        <dsp:cNvPr id="0" name=""/>
        <dsp:cNvSpPr/>
      </dsp:nvSpPr>
      <dsp:spPr>
        <a:xfrm>
          <a:off x="3956281" y="2384948"/>
          <a:ext cx="643280" cy="643280"/>
        </a:xfrm>
        <a:prstGeom prst="roundRect">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CA" sz="800" kern="1200"/>
            <a:t>Distributing information to the global stakeholders</a:t>
          </a:r>
          <a:endParaRPr lang="en-US" sz="800" kern="1200"/>
        </a:p>
      </dsp:txBody>
      <dsp:txXfrm>
        <a:off x="3987683" y="2416350"/>
        <a:ext cx="580476" cy="580476"/>
      </dsp:txXfrm>
    </dsp:sp>
    <dsp:sp modelId="{69F0379F-491A-4DB7-8BD5-2A1C49CEFFDF}">
      <dsp:nvSpPr>
        <dsp:cNvPr id="0" name=""/>
        <dsp:cNvSpPr/>
      </dsp:nvSpPr>
      <dsp:spPr>
        <a:xfrm rot="9000000">
          <a:off x="2007661" y="2383524"/>
          <a:ext cx="549460" cy="0"/>
        </a:xfrm>
        <a:custGeom>
          <a:avLst/>
          <a:gdLst/>
          <a:ahLst/>
          <a:cxnLst/>
          <a:rect l="0" t="0" r="0" b="0"/>
          <a:pathLst>
            <a:path>
              <a:moveTo>
                <a:pt x="0" y="0"/>
              </a:moveTo>
              <a:lnTo>
                <a:pt x="549460"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56885C-C3B1-4DE8-A322-54002CF9DA44}">
      <dsp:nvSpPr>
        <dsp:cNvPr id="0" name=""/>
        <dsp:cNvSpPr/>
      </dsp:nvSpPr>
      <dsp:spPr>
        <a:xfrm>
          <a:off x="1401187" y="2384948"/>
          <a:ext cx="643280" cy="643280"/>
        </a:xfrm>
        <a:prstGeom prst="round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CA" sz="800" kern="1200"/>
            <a:t>Selection of international human resources</a:t>
          </a:r>
          <a:endParaRPr lang="en-US" sz="800" kern="1200"/>
        </a:p>
      </dsp:txBody>
      <dsp:txXfrm>
        <a:off x="1432589" y="2416350"/>
        <a:ext cx="580476" cy="580476"/>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3B2CE-B819-42B3-9D8D-AD970972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5</cp:revision>
  <dcterms:created xsi:type="dcterms:W3CDTF">2016-10-14T16:28:00Z</dcterms:created>
  <dcterms:modified xsi:type="dcterms:W3CDTF">2016-10-14T16:49:00Z</dcterms:modified>
</cp:coreProperties>
</file>