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5D6DA7" w:rsidRDefault="00607874" w:rsidP="00A851DA">
      <w:pPr>
        <w:pStyle w:val="Default"/>
        <w:rPr>
          <w:rFonts w:asciiTheme="minorHAnsi" w:hAnsiTheme="minorHAnsi"/>
          <w:color w:val="auto"/>
        </w:rPr>
      </w:pPr>
      <w:r w:rsidRPr="005D6DA7">
        <w:rPr>
          <w:rFonts w:asciiTheme="minorHAnsi" w:hAnsiTheme="minorHAnsi"/>
          <w:noProof/>
          <w:color w:val="auto"/>
          <w:lang w:val="en-GB" w:eastAsia="en-GB"/>
        </w:rPr>
        <w:drawing>
          <wp:anchor distT="0" distB="0" distL="114300" distR="114300" simplePos="0" relativeHeight="251658240" behindDoc="0" locked="0" layoutInCell="1" allowOverlap="1" wp14:anchorId="435053B0" wp14:editId="7BA754A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D6DA7">
        <w:rPr>
          <w:rFonts w:asciiTheme="minorHAnsi" w:hAnsiTheme="minorHAnsi"/>
          <w:color w:val="auto"/>
        </w:rPr>
        <w:t xml:space="preserve">                                                             </w:t>
      </w:r>
      <w:r w:rsidR="00405895" w:rsidRPr="005D6DA7">
        <w:rPr>
          <w:rFonts w:asciiTheme="minorHAnsi" w:hAnsiTheme="minorHAnsi"/>
          <w:color w:val="auto"/>
        </w:rPr>
        <w:t xml:space="preserve">     </w:t>
      </w:r>
    </w:p>
    <w:p w:rsidR="00607874" w:rsidRPr="005D6DA7" w:rsidRDefault="002511F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5D6DA7" w:rsidRDefault="00607874" w:rsidP="00A851DA">
      <w:pPr>
        <w:rPr>
          <w:lang w:val="en-US"/>
        </w:rPr>
      </w:pPr>
    </w:p>
    <w:p w:rsidR="00607874" w:rsidRPr="005D6DA7" w:rsidRDefault="00607874" w:rsidP="00A851DA">
      <w:pPr>
        <w:rPr>
          <w:lang w:val="en-US"/>
        </w:rPr>
      </w:pPr>
    </w:p>
    <w:p w:rsidR="00607874" w:rsidRPr="005D6DA7"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CB2A1B" w:rsidP="00CB2A1B">
            <w:pPr>
              <w:pStyle w:val="Default"/>
              <w:rPr>
                <w:rFonts w:asciiTheme="minorBidi" w:eastAsiaTheme="minorHAnsi" w:hAnsiTheme="minorBidi" w:cstheme="minorBidi"/>
                <w:color w:val="auto"/>
              </w:rPr>
            </w:pPr>
            <w:r w:rsidRPr="005D6DA7">
              <w:rPr>
                <w:rFonts w:asciiTheme="minorBidi" w:eastAsiaTheme="minorHAnsi" w:hAnsiTheme="minorBidi" w:cstheme="minorBidi"/>
                <w:color w:val="auto"/>
              </w:rPr>
              <w:t xml:space="preserve">Ashraf Kamal </w:t>
            </w:r>
            <w:proofErr w:type="spellStart"/>
            <w:r w:rsidRPr="005D6DA7">
              <w:rPr>
                <w:rFonts w:asciiTheme="minorBidi" w:eastAsiaTheme="minorHAnsi" w:hAnsiTheme="minorBidi" w:cstheme="minorBidi"/>
                <w:color w:val="auto"/>
              </w:rPr>
              <w:t>Hamed</w:t>
            </w:r>
            <w:proofErr w:type="spellEnd"/>
            <w:r w:rsidRPr="005D6DA7">
              <w:rPr>
                <w:rFonts w:asciiTheme="minorBidi" w:eastAsiaTheme="minorHAnsi" w:hAnsiTheme="minorBidi" w:cstheme="minorBidi"/>
                <w:color w:val="auto"/>
              </w:rPr>
              <w:t xml:space="preserve"> Bashir</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D6DA7" w:rsidRDefault="00CB2A1B" w:rsidP="00CB2A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heme="minorBidi" w:eastAsia="Times New Roman" w:hAnsiTheme="minorBidi"/>
                <w:sz w:val="24"/>
                <w:szCs w:val="24"/>
              </w:rPr>
            </w:pPr>
            <w:r w:rsidRPr="005D6DA7">
              <w:rPr>
                <w:rFonts w:asciiTheme="minorBidi" w:eastAsia="Times New Roman" w:hAnsiTheme="minorBidi"/>
                <w:sz w:val="24"/>
                <w:szCs w:val="24"/>
              </w:rPr>
              <w:t>1452</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CB2A1B" w:rsidP="00CB2A1B">
            <w:pPr>
              <w:rPr>
                <w:rFonts w:asciiTheme="minorBidi" w:hAnsiTheme="minorBidi"/>
                <w:sz w:val="24"/>
                <w:szCs w:val="24"/>
              </w:rPr>
            </w:pPr>
            <w:r w:rsidRPr="005D6DA7">
              <w:rPr>
                <w:rFonts w:asciiTheme="minorBidi" w:hAnsiTheme="minorBidi"/>
                <w:sz w:val="24"/>
                <w:szCs w:val="24"/>
              </w:rPr>
              <w:t>Diploma in Forensic Accounting</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541806" w:rsidP="0056096B">
            <w:pPr>
              <w:rPr>
                <w:rFonts w:asciiTheme="minorBidi" w:hAnsiTheme="minorBidi"/>
                <w:sz w:val="24"/>
                <w:szCs w:val="24"/>
              </w:rPr>
            </w:pPr>
            <w:r w:rsidRPr="005D6DA7">
              <w:rPr>
                <w:rFonts w:asciiTheme="minorBidi" w:hAnsiTheme="minorBidi"/>
                <w:sz w:val="24"/>
                <w:szCs w:val="24"/>
              </w:rPr>
              <w:t>0</w:t>
            </w:r>
            <w:r w:rsidR="0056096B">
              <w:rPr>
                <w:rFonts w:asciiTheme="minorBidi" w:hAnsiTheme="minorBidi"/>
                <w:sz w:val="24"/>
                <w:szCs w:val="24"/>
              </w:rPr>
              <w:t>5</w:t>
            </w:r>
          </w:p>
        </w:tc>
      </w:tr>
    </w:tbl>
    <w:p w:rsidR="00CC2FB3" w:rsidRPr="005D6DA7" w:rsidRDefault="00CC2FB3" w:rsidP="00A851DA">
      <w:pPr>
        <w:rPr>
          <w:b/>
          <w:lang w:val="en-US"/>
        </w:rPr>
      </w:pPr>
    </w:p>
    <w:p w:rsidR="00443E6F" w:rsidRPr="005D6DA7" w:rsidRDefault="00527C11" w:rsidP="00A851DA">
      <w:pPr>
        <w:rPr>
          <w:b/>
          <w:sz w:val="28"/>
          <w:lang w:val="en-US"/>
        </w:rPr>
      </w:pPr>
      <w:r w:rsidRPr="005D6DA7">
        <w:rPr>
          <w:b/>
          <w:sz w:val="28"/>
          <w:lang w:val="en-US"/>
        </w:rPr>
        <w:t>Marking Criteria:</w:t>
      </w:r>
    </w:p>
    <w:p w:rsidR="00443E6F" w:rsidRPr="005D6DA7" w:rsidRDefault="00527C11" w:rsidP="00A851DA">
      <w:pPr>
        <w:rPr>
          <w:lang w:val="en-US"/>
        </w:rPr>
      </w:pPr>
      <w:r w:rsidRPr="005D6DA7">
        <w:rPr>
          <w:b/>
          <w:lang w:val="en-US"/>
        </w:rPr>
        <w:t xml:space="preserve"> </w:t>
      </w:r>
      <w:r w:rsidRPr="005D6DA7">
        <w:rPr>
          <w:lang w:val="en-US"/>
        </w:rPr>
        <w:t>We expect the learner</w:t>
      </w:r>
      <w:r w:rsidR="00443E6F" w:rsidRPr="005D6DA7">
        <w:rPr>
          <w:lang w:val="en-US"/>
        </w:rPr>
        <w:t>s</w:t>
      </w:r>
      <w:r w:rsidRPr="005D6DA7">
        <w:rPr>
          <w:lang w:val="en-US"/>
        </w:rPr>
        <w:t xml:space="preserve"> to write minimum one well expressed point in</w:t>
      </w:r>
      <w:r w:rsidR="00443E6F" w:rsidRPr="005D6DA7">
        <w:rPr>
          <w:lang w:val="en-US"/>
        </w:rPr>
        <w:t xml:space="preserve"> </w:t>
      </w:r>
      <w:r w:rsidRPr="005D6DA7">
        <w:rPr>
          <w:lang w:val="en-US"/>
        </w:rPr>
        <w:t>three lines</w:t>
      </w:r>
      <w:r w:rsidR="00443E6F" w:rsidRPr="005D6DA7">
        <w:rPr>
          <w:lang w:val="en-US"/>
        </w:rPr>
        <w:t xml:space="preserve"> against each allocated mark. This means one need</w:t>
      </w:r>
      <w:r w:rsidR="009E41F4" w:rsidRPr="005D6DA7">
        <w:rPr>
          <w:lang w:val="en-US"/>
        </w:rPr>
        <w:t>s</w:t>
      </w:r>
      <w:r w:rsidR="00443E6F" w:rsidRPr="005D6DA7">
        <w:rPr>
          <w:lang w:val="en-US"/>
        </w:rPr>
        <w:t xml:space="preserve"> to write 15 lines with </w:t>
      </w:r>
      <w:r w:rsidR="00402786" w:rsidRPr="005D6DA7">
        <w:rPr>
          <w:lang w:val="en-US"/>
        </w:rPr>
        <w:t>5 well expressed</w:t>
      </w:r>
      <w:r w:rsidR="00443E6F" w:rsidRPr="005D6DA7">
        <w:rPr>
          <w:lang w:val="en-US"/>
        </w:rPr>
        <w:t xml:space="preserve"> points to get high grades for a 5 marks question.</w:t>
      </w:r>
    </w:p>
    <w:p w:rsidR="00527C11" w:rsidRPr="005D6DA7" w:rsidRDefault="00687EE8" w:rsidP="00A851DA">
      <w:pPr>
        <w:rPr>
          <w:lang w:val="en-US"/>
        </w:rPr>
      </w:pPr>
      <w:r w:rsidRPr="005D6DA7">
        <w:rPr>
          <w:lang w:val="en-US"/>
        </w:rPr>
        <w:t xml:space="preserve">For high grades use </w:t>
      </w:r>
      <w:r w:rsidR="00527C11" w:rsidRPr="005D6DA7">
        <w:rPr>
          <w:lang w:val="en-US"/>
        </w:rPr>
        <w:t xml:space="preserve">examples and illustrations </w:t>
      </w:r>
      <w:r w:rsidR="00443E6F" w:rsidRPr="005D6DA7">
        <w:rPr>
          <w:lang w:val="en-US"/>
        </w:rPr>
        <w:t>where appropriate</w:t>
      </w:r>
      <w:r w:rsidRPr="005D6DA7">
        <w:rPr>
          <w:lang w:val="en-US"/>
        </w:rPr>
        <w:t>.</w:t>
      </w:r>
      <w:r w:rsidR="00443E6F" w:rsidRPr="005D6DA7">
        <w:rPr>
          <w:lang w:val="en-US"/>
        </w:rPr>
        <w:t xml:space="preserve"> </w:t>
      </w:r>
    </w:p>
    <w:tbl>
      <w:tblPr>
        <w:tblStyle w:val="TableGrid"/>
        <w:tblW w:w="0" w:type="auto"/>
        <w:tblLayout w:type="fixed"/>
        <w:tblLook w:val="04A0" w:firstRow="1" w:lastRow="0" w:firstColumn="1" w:lastColumn="0" w:noHBand="0" w:noVBand="1"/>
      </w:tblPr>
      <w:tblGrid>
        <w:gridCol w:w="9242"/>
      </w:tblGrid>
      <w:tr w:rsidR="00CC2FB3" w:rsidRPr="005D6DA7" w:rsidTr="00463386">
        <w:tc>
          <w:tcPr>
            <w:tcW w:w="9242" w:type="dxa"/>
          </w:tcPr>
          <w:p w:rsidR="0056096B" w:rsidRPr="0056096B" w:rsidRDefault="0056096B" w:rsidP="0056096B">
            <w:pPr>
              <w:autoSpaceDE w:val="0"/>
              <w:autoSpaceDN w:val="0"/>
              <w:adjustRightInd w:val="0"/>
              <w:jc w:val="both"/>
              <w:rPr>
                <w:rFonts w:asciiTheme="minorBidi" w:hAnsiTheme="minorBidi"/>
                <w:lang w:val="en-GB"/>
              </w:rPr>
            </w:pP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 xml:space="preserve">i. Investigations of financial crimes may be divided into two general categories: reactive and proactive. </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Reactive investigations occur as the result of victim/citizen-initiated actions, they are investigations result from external notification that a crime has occurred, in this investigation approach, investigator ‘’reacts’’ only after the crime has been committed.</w:t>
            </w:r>
          </w:p>
          <w:p w:rsidR="000E4129" w:rsidRPr="001A5967" w:rsidRDefault="000E4129" w:rsidP="008944B2">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Proactive investigations occur as the result of investigator initiated action ‘‘not</w:t>
            </w:r>
            <w:r w:rsidR="008944B2">
              <w:rPr>
                <w:rFonts w:asciiTheme="minorBidi" w:hAnsiTheme="minorBidi"/>
                <w:sz w:val="24"/>
                <w:szCs w:val="24"/>
                <w:lang w:val="en-GB"/>
              </w:rPr>
              <w:t xml:space="preserve"> basically as result of</w:t>
            </w:r>
            <w:r w:rsidRPr="001A5967">
              <w:rPr>
                <w:rFonts w:asciiTheme="minorBidi" w:hAnsiTheme="minorBidi"/>
                <w:sz w:val="24"/>
                <w:szCs w:val="24"/>
                <w:lang w:val="en-GB"/>
              </w:rPr>
              <w:t xml:space="preserve"> a victim/ citizen initiation’’, the investigator discovers the financial crime in progress independent of a victim report, it is ‘’internally’’ generated notification, result from the investigation process.</w:t>
            </w:r>
          </w:p>
          <w:p w:rsidR="000E4129"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‘‘Investigations of financial crimes may be divided into two general categories: reactive and proactive. Traditionally, reactive investigations occur as the result of victim/citizen-initiated actions.’’</w:t>
            </w:r>
          </w:p>
          <w:p w:rsidR="002511FF" w:rsidRPr="002511FF" w:rsidRDefault="002511FF" w:rsidP="000E4129">
            <w:pPr>
              <w:autoSpaceDE w:val="0"/>
              <w:autoSpaceDN w:val="0"/>
              <w:adjustRightInd w:val="0"/>
              <w:spacing w:line="360" w:lineRule="auto"/>
              <w:jc w:val="both"/>
              <w:rPr>
                <w:rFonts w:asciiTheme="minorBidi" w:hAnsiTheme="minorBidi"/>
                <w:i/>
                <w:iCs/>
                <w:sz w:val="24"/>
                <w:szCs w:val="24"/>
                <w:lang w:val="en-GB"/>
              </w:rPr>
            </w:pPr>
            <w:r>
              <w:rPr>
                <w:rFonts w:asciiTheme="minorBidi" w:hAnsiTheme="minorBidi"/>
                <w:i/>
                <w:iCs/>
                <w:sz w:val="24"/>
                <w:szCs w:val="24"/>
              </w:rPr>
              <w:t>‘’</w:t>
            </w:r>
            <w:r w:rsidRPr="002511FF">
              <w:rPr>
                <w:rFonts w:asciiTheme="minorBidi" w:hAnsiTheme="minorBidi"/>
                <w:i/>
                <w:iCs/>
                <w:sz w:val="24"/>
                <w:szCs w:val="24"/>
              </w:rPr>
              <w:t>Forensic Accounting and Fraud Investigation for Non-Experts</w:t>
            </w:r>
            <w:r>
              <w:rPr>
                <w:rFonts w:asciiTheme="minorBidi" w:hAnsiTheme="minorBidi"/>
                <w:i/>
                <w:iCs/>
                <w:sz w:val="24"/>
                <w:szCs w:val="24"/>
              </w:rPr>
              <w:t>’’</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 xml:space="preserve">ii. Solvability factors refer to those characteristics of a case that indicate how successful the investigation is likely to be. Identifying and discarding unsolvable </w:t>
            </w:r>
            <w:r w:rsidRPr="001A5967">
              <w:rPr>
                <w:rFonts w:asciiTheme="minorBidi" w:hAnsiTheme="minorBidi"/>
                <w:sz w:val="24"/>
                <w:szCs w:val="24"/>
                <w:lang w:val="en-GB"/>
              </w:rPr>
              <w:lastRenderedPageBreak/>
              <w:t>cases leaves more time and resources for those cases that have a higher probability of being investigated successfully. Solvability factors can be classified as weighted or un-weighted.</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 xml:space="preserve">While weighted systems recognize that not all factors are as important in determining solvability, un-weighted factors do not assign any particular importance to individual factors. In other words, each factor is as relatively important as the next. </w:t>
            </w:r>
          </w:p>
          <w:p w:rsidR="000E4129"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‘‘Solvability factors are those characteristics of an incident that help to predict how successful an investigation will be. Unfortunately, not all cases are solvable. Whether in the private or public sector it is necessary to help identify those unsolvable cases as soon as possible. After the unsolvable cases have been identified they can be discarded, allowing more time for investigating cases with a higher probability of solution. Generally, there are two types of solvability factors, weighted and un-weighted.’’</w:t>
            </w:r>
          </w:p>
          <w:p w:rsidR="002511FF" w:rsidRPr="002511FF" w:rsidRDefault="002511FF" w:rsidP="002511FF">
            <w:pPr>
              <w:autoSpaceDE w:val="0"/>
              <w:autoSpaceDN w:val="0"/>
              <w:adjustRightInd w:val="0"/>
              <w:spacing w:line="360" w:lineRule="auto"/>
              <w:jc w:val="both"/>
              <w:rPr>
                <w:rFonts w:asciiTheme="minorBidi" w:hAnsiTheme="minorBidi"/>
                <w:i/>
                <w:iCs/>
                <w:sz w:val="24"/>
                <w:szCs w:val="24"/>
                <w:lang w:val="en-GB"/>
              </w:rPr>
            </w:pPr>
            <w:r>
              <w:rPr>
                <w:rFonts w:asciiTheme="minorBidi" w:hAnsiTheme="minorBidi"/>
                <w:i/>
                <w:iCs/>
                <w:sz w:val="24"/>
                <w:szCs w:val="24"/>
              </w:rPr>
              <w:t>‘’</w:t>
            </w:r>
            <w:r w:rsidRPr="002511FF">
              <w:rPr>
                <w:rFonts w:asciiTheme="minorBidi" w:hAnsiTheme="minorBidi"/>
                <w:i/>
                <w:iCs/>
                <w:sz w:val="24"/>
                <w:szCs w:val="24"/>
              </w:rPr>
              <w:t>Forensic Accounting and Fraud Investigation for Non-Experts</w:t>
            </w:r>
            <w:r>
              <w:rPr>
                <w:rFonts w:asciiTheme="minorBidi" w:hAnsiTheme="minorBidi"/>
                <w:i/>
                <w:iCs/>
                <w:sz w:val="24"/>
                <w:szCs w:val="24"/>
              </w:rPr>
              <w:t>’’</w:t>
            </w:r>
          </w:p>
          <w:p w:rsidR="000E4129" w:rsidRPr="001A5967" w:rsidRDefault="000E4129" w:rsidP="000E4129">
            <w:pPr>
              <w:autoSpaceDE w:val="0"/>
              <w:autoSpaceDN w:val="0"/>
              <w:adjustRightInd w:val="0"/>
              <w:spacing w:line="360" w:lineRule="auto"/>
              <w:jc w:val="both"/>
              <w:rPr>
                <w:rFonts w:asciiTheme="minorBidi" w:hAnsiTheme="minorBidi"/>
                <w:b/>
                <w:sz w:val="24"/>
                <w:szCs w:val="24"/>
                <w:lang w:val="en-GB"/>
              </w:rPr>
            </w:pP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iii. Goals provide a solid foundation for the investigation to progress. Therefore, if these goals are ill defined, poorly designed, or unrealistic, the entire investigation is likely to be conducted in a haphazard manner and the investigative plan may not be executed properly.</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Developing a plan is the second task after defining the goals. It is almost impossible to conduct a financial investigation successfully without having a sound plan.</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Financial crime investigations usually require a heavy load of information. Investigators may be buried under volumes of financial information if they do not have a sound plan to manage it. The plan must be strong but sufficiently flexible to accommodate changes during the course of the investigation. It is possible to manage the flow of information and control the volume of evidence with an efficient plan.</w:t>
            </w:r>
          </w:p>
          <w:p w:rsidR="000E4129" w:rsidRPr="001A5967" w:rsidRDefault="000E4129" w:rsidP="000E4129">
            <w:pPr>
              <w:autoSpaceDE w:val="0"/>
              <w:autoSpaceDN w:val="0"/>
              <w:adjustRightInd w:val="0"/>
              <w:spacing w:line="360" w:lineRule="auto"/>
              <w:jc w:val="both"/>
              <w:rPr>
                <w:rFonts w:asciiTheme="minorBidi" w:hAnsiTheme="minorBidi"/>
                <w:b/>
                <w:sz w:val="24"/>
                <w:szCs w:val="24"/>
                <w:lang w:val="en-GB"/>
              </w:rPr>
            </w:pP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iv. A good investigative plan has three major goals: to maintain focus, control growth, and promote adaptability.</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1- Focus: An investigative plan should be focused and consistent with the goals of the investigation. This implies that warning signs and leads are not overlooked, and that there is no duplication of tasks.</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lastRenderedPageBreak/>
              <w:t>2 - Control: Financial crime investigations tend to get out of hand and multiply in terms of the information under consideration; therefore, it is very important to maintain control of the investigation. A carefully conceived plan helps manage investigations, and even though the flood of evidence and information is inevitable, a strong plan makes it less destructive for the investigation as a whole.</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3 - Adaptability:  Financial investigations are ever evolving. They always grow, and sometimes even shrink, but they are constantly changing. Therefore, a good plan must be accommodating and flexible enough to adapt to these changes; otherwise, even a slight change will render the plan useless. The investigator will then have to hurriedly re-evaluate the plan, formulate a new one, or work with a temporary plan, which is never advisable. Changes in the circumstances surrounding the environment do not have to translate into changes to the whole plan, which is why the original plan must be adaptable.</w:t>
            </w:r>
          </w:p>
          <w:p w:rsidR="000E4129" w:rsidRDefault="000E4129" w:rsidP="000E4129">
            <w:pPr>
              <w:autoSpaceDE w:val="0"/>
              <w:autoSpaceDN w:val="0"/>
              <w:adjustRightInd w:val="0"/>
              <w:spacing w:line="360" w:lineRule="auto"/>
              <w:jc w:val="both"/>
              <w:rPr>
                <w:rFonts w:asciiTheme="minorBidi" w:hAnsiTheme="minorBidi"/>
                <w:b/>
                <w:sz w:val="24"/>
                <w:szCs w:val="24"/>
                <w:lang w:val="en-GB"/>
              </w:rPr>
            </w:pPr>
          </w:p>
          <w:p w:rsidR="00C0589C" w:rsidRPr="008944B2" w:rsidRDefault="00C0589C" w:rsidP="00C0589C">
            <w:pPr>
              <w:autoSpaceDE w:val="0"/>
              <w:autoSpaceDN w:val="0"/>
              <w:adjustRightInd w:val="0"/>
              <w:spacing w:line="360" w:lineRule="auto"/>
              <w:rPr>
                <w:rFonts w:asciiTheme="minorBidi" w:hAnsiTheme="minorBidi"/>
                <w:sz w:val="24"/>
                <w:szCs w:val="24"/>
                <w:lang w:val="en-GB"/>
              </w:rPr>
            </w:pPr>
            <w:r w:rsidRPr="008944B2">
              <w:rPr>
                <w:rFonts w:asciiTheme="minorBidi" w:hAnsiTheme="minorBidi"/>
                <w:sz w:val="24"/>
                <w:szCs w:val="24"/>
                <w:lang w:val="en-GB"/>
              </w:rPr>
              <w:t>v. Stages involved in planning an investigative plan could be describes as follow:</w:t>
            </w:r>
          </w:p>
          <w:p w:rsidR="00C0589C" w:rsidRPr="001A5967" w:rsidRDefault="00C0589C" w:rsidP="00C0589C">
            <w:pPr>
              <w:autoSpaceDE w:val="0"/>
              <w:autoSpaceDN w:val="0"/>
              <w:adjustRightInd w:val="0"/>
              <w:spacing w:line="360" w:lineRule="auto"/>
              <w:jc w:val="both"/>
              <w:rPr>
                <w:rFonts w:asciiTheme="minorBidi" w:hAnsiTheme="minorBidi"/>
                <w:color w:val="000000"/>
                <w:sz w:val="24"/>
                <w:szCs w:val="24"/>
                <w:lang w:val="en-GB"/>
              </w:rPr>
            </w:pPr>
            <w:r>
              <w:rPr>
                <w:rFonts w:asciiTheme="minorBidi" w:hAnsiTheme="minorBidi"/>
                <w:sz w:val="24"/>
                <w:szCs w:val="24"/>
                <w:lang w:val="en-GB"/>
              </w:rPr>
              <w:t xml:space="preserve">* </w:t>
            </w:r>
            <w:r w:rsidRPr="008944B2">
              <w:rPr>
                <w:rFonts w:asciiTheme="minorBidi" w:hAnsiTheme="minorBidi"/>
                <w:sz w:val="24"/>
                <w:szCs w:val="24"/>
                <w:lang w:val="en-GB"/>
              </w:rPr>
              <w:t>Financial Planning Stage: Investigators should be fiscally responsible and conserve their resources through preplanning because money is always scarce regardless of whether the investigator</w:t>
            </w:r>
            <w:r w:rsidRPr="001A5967">
              <w:rPr>
                <w:rFonts w:asciiTheme="minorBidi" w:hAnsiTheme="minorBidi"/>
                <w:color w:val="000000"/>
                <w:sz w:val="24"/>
                <w:szCs w:val="24"/>
                <w:lang w:val="en-GB"/>
              </w:rPr>
              <w:t xml:space="preserve"> is working for a private client or for the district attorney’s office. Therefore, compromises have to be made in order to minimize costs. The investigators need to identify potentially expensive issues beforehand in order to consider the alternatives while there is still time. Making important fiscal decisions under pressure is likely to involve spending more than necessary.</w:t>
            </w:r>
          </w:p>
          <w:p w:rsidR="000E4129" w:rsidRPr="001A5967" w:rsidRDefault="00C0589C" w:rsidP="000E4129">
            <w:pPr>
              <w:autoSpaceDE w:val="0"/>
              <w:autoSpaceDN w:val="0"/>
              <w:adjustRightInd w:val="0"/>
              <w:spacing w:line="360" w:lineRule="auto"/>
              <w:jc w:val="both"/>
              <w:rPr>
                <w:rFonts w:asciiTheme="minorBidi" w:hAnsiTheme="minorBidi"/>
                <w:color w:val="000000"/>
                <w:sz w:val="24"/>
                <w:szCs w:val="24"/>
                <w:lang w:val="en-GB"/>
              </w:rPr>
            </w:pPr>
            <w:r>
              <w:rPr>
                <w:rFonts w:asciiTheme="minorBidi" w:hAnsiTheme="minorBidi"/>
                <w:color w:val="000000"/>
                <w:sz w:val="24"/>
                <w:szCs w:val="24"/>
                <w:lang w:val="en-GB"/>
              </w:rPr>
              <w:t xml:space="preserve">* </w:t>
            </w:r>
            <w:r w:rsidR="000E4129" w:rsidRPr="001A5967">
              <w:rPr>
                <w:rFonts w:asciiTheme="minorBidi" w:hAnsiTheme="minorBidi"/>
                <w:color w:val="000000"/>
                <w:sz w:val="24"/>
                <w:szCs w:val="24"/>
                <w:lang w:val="en-GB"/>
              </w:rPr>
              <w:t xml:space="preserve">Personnel Planning Stage: After determining the scope and direction of the investigation, the next step is to predict the number of personnel that will be needed to conduct the investigation efficiently. It is desirable to pre-plan for staffing requirements, especially in long and complex cases. Obtaining help from experts is one way of identifying important personnel positions. Sometimes, certain financial transactions and situations are beyond the ability of the investigator to fully comprehend; therefore, outside help can be important in these cases. Experts and consultants in the areas of accounting, securities and stocks, corporate governance and international financial transactions may be helpful to the investigation. In today’s high-tech age it is very common to face technological problems, especially those concerning computer-based information; therefore, an expert in the field of </w:t>
            </w:r>
            <w:r w:rsidR="000E4129" w:rsidRPr="001A5967">
              <w:rPr>
                <w:rFonts w:asciiTheme="minorBidi" w:hAnsiTheme="minorBidi"/>
                <w:color w:val="000000"/>
                <w:sz w:val="24"/>
                <w:szCs w:val="24"/>
                <w:lang w:val="en-GB"/>
              </w:rPr>
              <w:lastRenderedPageBreak/>
              <w:t>technology would be useful. It is simply unreasonable and impractical to expect a financial investigator to be able to handle all kinds of scenarios. Sometimes these scenarios are beyond the scope of the investigator’s expertise, which is why it is so important to invest in a diverse pool of experts. These resources will benefit the investigation when it encounters issues as varied as computer security, cryptography, proprietary software, etc.</w:t>
            </w:r>
          </w:p>
          <w:p w:rsidR="000E4129" w:rsidRPr="001A5967" w:rsidRDefault="00C0589C" w:rsidP="000E4129">
            <w:pPr>
              <w:autoSpaceDE w:val="0"/>
              <w:autoSpaceDN w:val="0"/>
              <w:adjustRightInd w:val="0"/>
              <w:spacing w:line="360" w:lineRule="auto"/>
              <w:jc w:val="both"/>
              <w:rPr>
                <w:rFonts w:asciiTheme="minorBidi" w:hAnsiTheme="minorBidi"/>
                <w:color w:val="000000"/>
                <w:sz w:val="24"/>
                <w:szCs w:val="24"/>
                <w:lang w:val="en-GB"/>
              </w:rPr>
            </w:pPr>
            <w:r>
              <w:rPr>
                <w:rFonts w:asciiTheme="minorBidi" w:hAnsiTheme="minorBidi"/>
                <w:color w:val="000000"/>
                <w:sz w:val="24"/>
                <w:szCs w:val="24"/>
                <w:lang w:val="en-GB"/>
              </w:rPr>
              <w:t xml:space="preserve">* </w:t>
            </w:r>
            <w:r w:rsidR="000E4129" w:rsidRPr="001A5967">
              <w:rPr>
                <w:rFonts w:asciiTheme="minorBidi" w:hAnsiTheme="minorBidi"/>
                <w:color w:val="000000"/>
                <w:sz w:val="24"/>
                <w:szCs w:val="24"/>
                <w:lang w:val="en-GB"/>
              </w:rPr>
              <w:t>Technology Planning Stage: Investing in the latest technology is a necessity, especially as the world is undergoing a digital revolution and everything is becoming more computerized. Such investments, either temporary or permanent, must be carefully planned.</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Short-term or temporary investments would include rental equipment, such as a high-tech surveillance camera to monitor the suspect’s activities. Long-term investments would include purchasing the latest computer software or upgrading the equipment.</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While technological investments are usually pre-planned and evaluated with a cost-benefit analysis, short-term investments tend to be unpredictable.</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Anticipating the technological requirements of a case means planning the expenditure on technology and evening out its impact on the overall budget of the investigation. Technological incompatibility, however small, can seriously hamper an investigation. Differences between computer operating systems of the investigator and the suspect, video encoding systems, electronic communication equipment, etc. may stop a simple investigation in its tracks. Although planning may not eliminate the possibility of technological incompatibility, it will definitely go a long way towards mitigating the impact of such a situation.</w:t>
            </w:r>
          </w:p>
          <w:p w:rsidR="000E4129"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sz w:val="24"/>
                <w:szCs w:val="24"/>
                <w:lang w:val="en-GB"/>
              </w:rPr>
              <w:t>Finally, ‘</w:t>
            </w:r>
            <w:r w:rsidRPr="001A5967">
              <w:rPr>
                <w:rFonts w:asciiTheme="minorBidi" w:hAnsiTheme="minorBidi"/>
                <w:color w:val="000000"/>
                <w:sz w:val="24"/>
                <w:szCs w:val="24"/>
                <w:lang w:val="en-GB"/>
              </w:rPr>
              <w:t>’Murphy’s Law does exist. Although careful planning is essential to the successful completion of a complex investigation, some investigations defy all attempts to map out their destiny. Murphy’s Law is as active in the investigative realm as it is in everyday life and will invariably insinuate itself into your investigation.’’</w:t>
            </w:r>
          </w:p>
          <w:p w:rsidR="002511FF" w:rsidRPr="002511FF" w:rsidRDefault="002511FF" w:rsidP="002511FF">
            <w:pPr>
              <w:autoSpaceDE w:val="0"/>
              <w:autoSpaceDN w:val="0"/>
              <w:adjustRightInd w:val="0"/>
              <w:spacing w:line="360" w:lineRule="auto"/>
              <w:jc w:val="both"/>
              <w:rPr>
                <w:rFonts w:asciiTheme="minorBidi" w:hAnsiTheme="minorBidi"/>
                <w:i/>
                <w:iCs/>
                <w:sz w:val="24"/>
                <w:szCs w:val="24"/>
                <w:lang w:val="en-GB"/>
              </w:rPr>
            </w:pPr>
            <w:r>
              <w:rPr>
                <w:rFonts w:asciiTheme="minorBidi" w:hAnsiTheme="minorBidi"/>
                <w:i/>
                <w:iCs/>
                <w:sz w:val="24"/>
                <w:szCs w:val="24"/>
              </w:rPr>
              <w:t>‘’</w:t>
            </w:r>
            <w:r w:rsidRPr="002511FF">
              <w:rPr>
                <w:rFonts w:asciiTheme="minorBidi" w:hAnsiTheme="minorBidi"/>
                <w:i/>
                <w:iCs/>
                <w:sz w:val="24"/>
                <w:szCs w:val="24"/>
              </w:rPr>
              <w:t>Forensic Accounting and Fraud Investigation for Non-Experts</w:t>
            </w:r>
            <w:r>
              <w:rPr>
                <w:rFonts w:asciiTheme="minorBidi" w:hAnsiTheme="minorBidi"/>
                <w:i/>
                <w:iCs/>
                <w:sz w:val="24"/>
                <w:szCs w:val="24"/>
              </w:rPr>
              <w:t>’’</w:t>
            </w:r>
          </w:p>
          <w:p w:rsidR="000E4129" w:rsidRPr="001A5967" w:rsidRDefault="000E4129" w:rsidP="000E4129">
            <w:pPr>
              <w:autoSpaceDE w:val="0"/>
              <w:autoSpaceDN w:val="0"/>
              <w:adjustRightInd w:val="0"/>
              <w:spacing w:line="360" w:lineRule="auto"/>
              <w:jc w:val="both"/>
              <w:rPr>
                <w:rFonts w:asciiTheme="minorBidi" w:hAnsiTheme="minorBidi"/>
                <w:b/>
                <w:sz w:val="24"/>
                <w:szCs w:val="24"/>
                <w:lang w:val="en-GB"/>
              </w:rPr>
            </w:pPr>
          </w:p>
          <w:p w:rsidR="000E4129"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xml:space="preserve">vi. Intelligence-gathering can be categorized into surveillance, database searches, and trash collection. It is up to the investigator to add more techniques and tools, as </w:t>
            </w:r>
            <w:r w:rsidRPr="001A5967">
              <w:rPr>
                <w:rFonts w:asciiTheme="minorBidi" w:hAnsiTheme="minorBidi"/>
                <w:color w:val="000000"/>
                <w:sz w:val="24"/>
                <w:szCs w:val="24"/>
                <w:lang w:val="en-GB"/>
              </w:rPr>
              <w:lastRenderedPageBreak/>
              <w:t>the following three categories are only the starting point</w:t>
            </w:r>
            <w:r>
              <w:rPr>
                <w:rFonts w:asciiTheme="minorBidi" w:hAnsiTheme="minorBidi"/>
                <w:color w:val="000000"/>
                <w:sz w:val="24"/>
                <w:szCs w:val="24"/>
                <w:lang w:val="en-GB"/>
              </w:rPr>
              <w:t>, See Fig 5.3</w:t>
            </w:r>
          </w:p>
          <w:p w:rsidR="000E4129" w:rsidRPr="001A5967" w:rsidRDefault="007D4C80" w:rsidP="000E4129">
            <w:pPr>
              <w:autoSpaceDE w:val="0"/>
              <w:autoSpaceDN w:val="0"/>
              <w:adjustRightInd w:val="0"/>
              <w:spacing w:line="360" w:lineRule="auto"/>
              <w:jc w:val="center"/>
              <w:rPr>
                <w:rFonts w:asciiTheme="minorBidi" w:hAnsiTheme="minorBidi"/>
                <w:color w:val="000000"/>
                <w:sz w:val="24"/>
                <w:szCs w:val="24"/>
                <w:lang w:val="en-GB"/>
              </w:rPr>
            </w:pPr>
            <w:r>
              <w:rPr>
                <w:lang w:val="en-GB"/>
              </w:rPr>
              <w:object w:dxaOrig="9735" w:dyaOrig="58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4pt;height:246.05pt" o:ole="">
                  <v:imagedata r:id="rId10" o:title=""/>
                </v:shape>
                <o:OLEObject Type="Embed" ProgID="PBrush" ShapeID="_x0000_i1025" DrawAspect="Content" ObjectID="_1512234972" r:id="rId11"/>
              </w:objec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A) Surveillance: Surveillance of the suspect’s or victim’s actions may provide valuable information and uncover facts related to the following:</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Valuable assets (boats, cars, etc.) owned by the suspect or people close to the suspect.</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Banks and financial institutions.</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Homes, buildings and other real estate in the possession of the people relevant to the case.</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Although these things are visible to everyone, they may not have traceable documentation; therefore, finding out about them early on in the investigation may help investigators in future negotiations.</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xml:space="preserve">Surveillance may also identify key acquaintances </w:t>
            </w:r>
            <w:proofErr w:type="gramStart"/>
            <w:r w:rsidRPr="001A5967">
              <w:rPr>
                <w:rFonts w:asciiTheme="minorBidi" w:hAnsiTheme="minorBidi"/>
                <w:color w:val="000000"/>
                <w:sz w:val="24"/>
                <w:szCs w:val="24"/>
                <w:lang w:val="en-GB"/>
              </w:rPr>
              <w:t>who</w:t>
            </w:r>
            <w:proofErr w:type="gramEnd"/>
            <w:r w:rsidRPr="001A5967">
              <w:rPr>
                <w:rFonts w:asciiTheme="minorBidi" w:hAnsiTheme="minorBidi"/>
                <w:color w:val="000000"/>
                <w:sz w:val="24"/>
                <w:szCs w:val="24"/>
                <w:lang w:val="en-GB"/>
              </w:rPr>
              <w:t xml:space="preserve"> might be summoned for interviews and questioning.</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B) Database Searches: Data have a number of uses, ranging from tracking people to predicting their buying preferences.</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xml:space="preserve">Databases contain a vast amount of information without which the economy would be paralyzed. Every transaction that takes place in a market economy is stored as data somewhere. These transactions include using a debit card, having a driver’s license renewed, paying for goods or services with credit card, etc. Therefore, it is crucial that investigators access databases, </w:t>
            </w:r>
            <w:proofErr w:type="spellStart"/>
            <w:r w:rsidRPr="001A5967">
              <w:rPr>
                <w:rFonts w:asciiTheme="minorBidi" w:hAnsiTheme="minorBidi"/>
                <w:color w:val="000000"/>
                <w:sz w:val="24"/>
                <w:szCs w:val="24"/>
                <w:lang w:val="en-GB"/>
              </w:rPr>
              <w:t>analyze</w:t>
            </w:r>
            <w:proofErr w:type="spellEnd"/>
            <w:r w:rsidRPr="001A5967">
              <w:rPr>
                <w:rFonts w:asciiTheme="minorBidi" w:hAnsiTheme="minorBidi"/>
                <w:color w:val="000000"/>
                <w:sz w:val="24"/>
                <w:szCs w:val="24"/>
                <w:lang w:val="en-GB"/>
              </w:rPr>
              <w:t xml:space="preserve"> the information stored in them, and piece this information together in order to gain a clear picture of their target. </w:t>
            </w:r>
            <w:r w:rsidRPr="001A5967">
              <w:rPr>
                <w:rFonts w:asciiTheme="minorBidi" w:hAnsiTheme="minorBidi"/>
                <w:color w:val="000000"/>
                <w:sz w:val="24"/>
                <w:szCs w:val="24"/>
                <w:lang w:val="en-GB"/>
              </w:rPr>
              <w:lastRenderedPageBreak/>
              <w:t>Databases are divided into two categories: public and private.</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Private databases: These are databases to which access is restricted. They may include both government and commercial sources. An example of a private database is a credit-reporting service such as Experian. Public databases: These are less speedy but also less costly than private databases. Nowadays, more and more information is being made public as many government departments are making their databases available on the Internet free of charge. For example, property and tax assessment records can be accessed easily through the county clerk’s office.</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C) Trash Collection: This job can be unpleasant and degrading as it literally means searching through someone’s trash in search of information; most people will avoid it as far as possible. It is, however, a very effective information-gathering tool because people are usually careless about discarding receipts, documents, personal items, etc. Even though these things may not at first appear meaningful, they may make a lot more sense in combination with other evidence and information.</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xml:space="preserve">Although the courts are generally protective of an individual’s right to personal freedom and privacy, they still assume that this right does not extend to items that have been discarded. </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The investigator may not be held liable for intruding on someone’s privacy simply by searching through the trash, but he/she must still carry out this task with caution and avoid recklessness. The investigator must recognize the importance of where the trash has been placed before he/she starts to search through it. For example, if it is sitting behind a fence, in the garage or even in the driveway, the investigator may be held liable for intrusion because he/she has trespassed on someone’s property. If the trash is left on the street for the trash collector to pick up, then according to the Supreme Court the individual does not have the right to prevent anyone from looking through it. The investigator should bear these distinctions in mind before collecting the suspect’s trash.</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xml:space="preserve">Collecting trash and searching for information in it have long been valuable sources of evidence for journalists, police and investigators. Sometimes garbage may contain the one missing piece of evidence that is required to complete the whole picture. People usually leave traces of where they have been, what they have been doing, their purchases, evidence of the frauds they have conducted, etc. in their trashcans, which is why trash-collecting is considered a category of intelligence-gathering. </w:t>
            </w:r>
          </w:p>
          <w:p w:rsidR="000E4129" w:rsidRPr="001A5967" w:rsidRDefault="000E4129" w:rsidP="000E4129">
            <w:pPr>
              <w:autoSpaceDE w:val="0"/>
              <w:autoSpaceDN w:val="0"/>
              <w:adjustRightInd w:val="0"/>
              <w:spacing w:line="360" w:lineRule="auto"/>
              <w:jc w:val="both"/>
              <w:rPr>
                <w:rFonts w:asciiTheme="minorBidi" w:hAnsiTheme="minorBidi"/>
                <w:b/>
                <w:sz w:val="24"/>
                <w:szCs w:val="24"/>
                <w:lang w:val="en-GB"/>
              </w:rPr>
            </w:pP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sz w:val="24"/>
                <w:szCs w:val="24"/>
                <w:lang w:val="en-GB"/>
              </w:rPr>
              <w:t>a.</w:t>
            </w:r>
            <w:r w:rsidRPr="001A5967">
              <w:rPr>
                <w:rFonts w:asciiTheme="minorBidi" w:hAnsiTheme="minorBidi"/>
                <w:b/>
                <w:bCs/>
                <w:i/>
                <w:iCs/>
                <w:color w:val="5B9CD6"/>
                <w:sz w:val="24"/>
                <w:szCs w:val="24"/>
                <w:lang w:val="en-GB"/>
              </w:rPr>
              <w:t xml:space="preserve"> </w:t>
            </w:r>
            <w:r w:rsidRPr="001A5967">
              <w:rPr>
                <w:rFonts w:asciiTheme="minorBidi" w:hAnsiTheme="minorBidi"/>
                <w:color w:val="000000"/>
                <w:sz w:val="24"/>
                <w:szCs w:val="24"/>
                <w:lang w:val="en-GB"/>
              </w:rPr>
              <w:t>Private databases:</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xml:space="preserve"> - Access is restricted to such types of databases.</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xml:space="preserve">- Can store a variety of crucial information such as data related to real estate, telephone listings… etc. </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May include both government and commercial sources.</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Individuals might have access to private databases in exchange for a fee.</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Some information can only be accessed by law enforcement personnel for legitimate purposes.</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An example of a private database is a credit-reporting service such as Experian.</w:t>
            </w:r>
          </w:p>
          <w:p w:rsidR="000E4129" w:rsidRPr="001A5967" w:rsidRDefault="000E4129" w:rsidP="000E4129">
            <w:pPr>
              <w:autoSpaceDE w:val="0"/>
              <w:autoSpaceDN w:val="0"/>
              <w:adjustRightInd w:val="0"/>
              <w:spacing w:line="360" w:lineRule="auto"/>
              <w:jc w:val="both"/>
              <w:rPr>
                <w:rFonts w:asciiTheme="minorBidi" w:hAnsiTheme="minorBidi"/>
                <w:b/>
                <w:sz w:val="24"/>
                <w:szCs w:val="24"/>
                <w:lang w:val="en-GB"/>
              </w:rPr>
            </w:pP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sz w:val="24"/>
                <w:szCs w:val="24"/>
                <w:lang w:val="en-GB"/>
              </w:rPr>
              <w:t xml:space="preserve">b. </w:t>
            </w:r>
            <w:r w:rsidRPr="001A5967">
              <w:rPr>
                <w:rFonts w:asciiTheme="minorBidi" w:hAnsiTheme="minorBidi"/>
                <w:color w:val="000000"/>
                <w:sz w:val="24"/>
                <w:szCs w:val="24"/>
                <w:lang w:val="en-GB"/>
              </w:rPr>
              <w:t xml:space="preserve">Public databases: </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Less speedy but also less costly than private databases.</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Many government departments are making their databases available ‘’Public’’ on the Internet free of charge.</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Access to property and tax assessment records is an example of public databases.</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xml:space="preserve">- Public databases are less convenience and have to be compromised with cost benefit. </w:t>
            </w:r>
          </w:p>
          <w:p w:rsidR="000E4129" w:rsidRPr="001A5967" w:rsidRDefault="000E4129" w:rsidP="000E4129">
            <w:pPr>
              <w:autoSpaceDE w:val="0"/>
              <w:autoSpaceDN w:val="0"/>
              <w:adjustRightInd w:val="0"/>
              <w:spacing w:line="360" w:lineRule="auto"/>
              <w:jc w:val="both"/>
              <w:rPr>
                <w:rFonts w:asciiTheme="minorBidi" w:hAnsiTheme="minorBidi"/>
                <w:color w:val="000000"/>
                <w:sz w:val="24"/>
                <w:szCs w:val="24"/>
                <w:lang w:val="en-GB"/>
              </w:rPr>
            </w:pPr>
            <w:r w:rsidRPr="001A5967">
              <w:rPr>
                <w:rFonts w:asciiTheme="minorBidi" w:hAnsiTheme="minorBidi"/>
                <w:color w:val="000000"/>
                <w:sz w:val="24"/>
                <w:szCs w:val="24"/>
                <w:lang w:val="en-GB"/>
              </w:rPr>
              <w:t>- The World Wide Web is the biggest public database in the world. It is an important source for investigators.</w:t>
            </w:r>
          </w:p>
          <w:p w:rsidR="000E4129" w:rsidRPr="001A5967" w:rsidRDefault="000E4129" w:rsidP="000E4129">
            <w:pPr>
              <w:autoSpaceDE w:val="0"/>
              <w:autoSpaceDN w:val="0"/>
              <w:adjustRightInd w:val="0"/>
              <w:spacing w:line="360" w:lineRule="auto"/>
              <w:jc w:val="both"/>
              <w:rPr>
                <w:rFonts w:asciiTheme="minorBidi" w:hAnsiTheme="minorBidi"/>
                <w:b/>
                <w:sz w:val="24"/>
                <w:szCs w:val="24"/>
                <w:lang w:val="en-GB"/>
              </w:rPr>
            </w:pP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3. All investigations, from those involving murder to those focused on financial crime, go through similar stages. Investigations begin with initiation and then proceed towards planning, execution, prosecution and, finally, reflection.</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Although non-financial crime investigations have their own set of challenges, financial crime investigations require more evidence and are more complex than most murder and non-financial crime investigations.</w:t>
            </w:r>
          </w:p>
          <w:p w:rsidR="002322C2" w:rsidRDefault="000E4129" w:rsidP="002322C2">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High volumes of evidence and complexity of the investigated financial crime</w:t>
            </w:r>
            <w:r w:rsidR="002322C2">
              <w:rPr>
                <w:rFonts w:asciiTheme="minorBidi" w:hAnsiTheme="minorBidi"/>
                <w:sz w:val="24"/>
                <w:szCs w:val="24"/>
                <w:lang w:val="en-GB"/>
              </w:rPr>
              <w:t xml:space="preserve">, caused by the </w:t>
            </w:r>
            <w:r w:rsidR="002322C2" w:rsidRPr="001A5967">
              <w:rPr>
                <w:rFonts w:asciiTheme="minorBidi" w:hAnsiTheme="minorBidi"/>
                <w:sz w:val="24"/>
                <w:szCs w:val="24"/>
                <w:lang w:val="en-GB"/>
              </w:rPr>
              <w:t xml:space="preserve">heavy load </w:t>
            </w:r>
            <w:r w:rsidR="002322C2">
              <w:rPr>
                <w:rFonts w:asciiTheme="minorBidi" w:hAnsiTheme="minorBidi"/>
                <w:sz w:val="24"/>
                <w:szCs w:val="24"/>
                <w:lang w:val="en-GB"/>
              </w:rPr>
              <w:t xml:space="preserve">and high volume </w:t>
            </w:r>
            <w:r w:rsidR="002322C2" w:rsidRPr="001A5967">
              <w:rPr>
                <w:rFonts w:asciiTheme="minorBidi" w:hAnsiTheme="minorBidi"/>
                <w:sz w:val="24"/>
                <w:szCs w:val="24"/>
                <w:lang w:val="en-GB"/>
              </w:rPr>
              <w:t>of information</w:t>
            </w:r>
            <w:r w:rsidR="002322C2">
              <w:rPr>
                <w:rFonts w:asciiTheme="minorBidi" w:hAnsiTheme="minorBidi"/>
                <w:sz w:val="24"/>
                <w:szCs w:val="24"/>
                <w:lang w:val="en-GB"/>
              </w:rPr>
              <w:t xml:space="preserve"> contained in the financial transactions that must be examined</w:t>
            </w:r>
            <w:r w:rsidR="002322C2" w:rsidRPr="001A5967">
              <w:rPr>
                <w:rFonts w:asciiTheme="minorBidi" w:hAnsiTheme="minorBidi"/>
                <w:sz w:val="24"/>
                <w:szCs w:val="24"/>
                <w:lang w:val="en-GB"/>
              </w:rPr>
              <w:t>. Investigators may be buried under volumes of financial information</w:t>
            </w:r>
            <w:r w:rsidR="002322C2">
              <w:rPr>
                <w:rFonts w:asciiTheme="minorBidi" w:hAnsiTheme="minorBidi"/>
                <w:sz w:val="24"/>
                <w:szCs w:val="24"/>
                <w:lang w:val="en-GB"/>
              </w:rPr>
              <w:t>.</w:t>
            </w:r>
          </w:p>
          <w:p w:rsidR="000E4129" w:rsidRPr="001A5967" w:rsidRDefault="002322C2" w:rsidP="002322C2">
            <w:pPr>
              <w:autoSpaceDE w:val="0"/>
              <w:autoSpaceDN w:val="0"/>
              <w:adjustRightInd w:val="0"/>
              <w:spacing w:line="360" w:lineRule="auto"/>
              <w:jc w:val="both"/>
              <w:rPr>
                <w:rFonts w:asciiTheme="minorBidi" w:hAnsiTheme="minorBidi"/>
                <w:sz w:val="24"/>
                <w:szCs w:val="24"/>
                <w:lang w:val="en-GB"/>
              </w:rPr>
            </w:pPr>
            <w:r>
              <w:rPr>
                <w:rFonts w:asciiTheme="minorBidi" w:hAnsiTheme="minorBidi"/>
                <w:sz w:val="24"/>
                <w:szCs w:val="24"/>
                <w:lang w:val="en-GB"/>
              </w:rPr>
              <w:t xml:space="preserve">Qualities and volumes of these evidences also depend </w:t>
            </w:r>
            <w:r w:rsidR="000E4129" w:rsidRPr="001A5967">
              <w:rPr>
                <w:rFonts w:asciiTheme="minorBidi" w:hAnsiTheme="minorBidi"/>
                <w:sz w:val="24"/>
                <w:szCs w:val="24"/>
                <w:lang w:val="en-GB"/>
              </w:rPr>
              <w:t xml:space="preserve">on the solvability factors governing the case, solvability factors can be classified as weighted or un-weighted. </w:t>
            </w:r>
            <w:r w:rsidR="000E4129" w:rsidRPr="001A5967">
              <w:rPr>
                <w:rFonts w:asciiTheme="minorBidi" w:hAnsiTheme="minorBidi"/>
                <w:sz w:val="24"/>
                <w:szCs w:val="24"/>
                <w:lang w:val="en-GB"/>
              </w:rPr>
              <w:lastRenderedPageBreak/>
              <w:t>Solvability factors related to financial crime investigations are equally important ‘’ Materiality threshold is not exist’’, no weights assigned to factors; therefore, all factors are equally important, this characteristic interpret the high volumes of evidence and the complicated theories of evidence related to financial crime investigations.</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On the other hand, weighted systems separate the more solvable factors from the less solvable ones. They recognize that not all factors are equally important; for example, fingerprints found at the crime scene hold more weight than the existence of a witness.</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p>
          <w:p w:rsidR="000E4129" w:rsidRPr="001A5967" w:rsidRDefault="000E4129" w:rsidP="000E4129">
            <w:pPr>
              <w:autoSpaceDE w:val="0"/>
              <w:autoSpaceDN w:val="0"/>
              <w:adjustRightInd w:val="0"/>
              <w:spacing w:line="360" w:lineRule="auto"/>
              <w:jc w:val="both"/>
              <w:rPr>
                <w:rFonts w:asciiTheme="minorBidi" w:hAnsiTheme="minorBidi"/>
                <w:color w:val="FF0000"/>
                <w:sz w:val="24"/>
                <w:szCs w:val="24"/>
                <w:lang w:val="en-GB"/>
              </w:rPr>
            </w:pPr>
            <w:r w:rsidRPr="001A5967">
              <w:rPr>
                <w:rFonts w:asciiTheme="minorBidi" w:hAnsiTheme="minorBidi"/>
                <w:sz w:val="24"/>
                <w:szCs w:val="24"/>
                <w:lang w:val="en-GB"/>
              </w:rPr>
              <w:t>3. Case Study</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i. The accounting system devised by the owner seems to have some drawbacks in many aspects. System design, implementation and training associated are vital to a proper and well-functioning system. Due to the limited knowledge and skills of the owner, he supposed to consult accounting expert as well as computer expert in developing the system to successfully operate and produce accurate results.</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Poor system controls and unclear segregation of duties could result in weak and inaccurate reports generated by such accounting system.</w:t>
            </w:r>
          </w:p>
          <w:p w:rsidR="000E4129" w:rsidRPr="001A5967" w:rsidRDefault="000E4129" w:rsidP="007D4C80">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Usernames and passwords, typically, are forms of input controls, assigned username and password guarantee that only authorised personnel has to access to the accounting system or some of its’ areas, this controls also help achieving the separation of duties in regard to recording of financial transaction into the system and it will reduce the effect of manipulation.</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Inadequate training could also result in poor performance and inappropriate results.</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ii. Shortfall and cash discrepancies probably caused by wrong recording of the pub financial transactions, weak controls and poor training are the main reasons standing behind such mistakes.</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t xml:space="preserve">Examples of wrong recording of financial transaction include duplication of recorded cash receipts, (debit cash account). Also it includes void, omit or ignore recording of bank deposits. Both mistakes have a negative impact on both bank and cash accounts. </w:t>
            </w:r>
          </w:p>
          <w:p w:rsidR="000E4129" w:rsidRPr="001A5967" w:rsidRDefault="000E4129" w:rsidP="000E4129">
            <w:pPr>
              <w:autoSpaceDE w:val="0"/>
              <w:autoSpaceDN w:val="0"/>
              <w:adjustRightInd w:val="0"/>
              <w:spacing w:line="360" w:lineRule="auto"/>
              <w:jc w:val="both"/>
              <w:rPr>
                <w:rFonts w:asciiTheme="minorBidi" w:hAnsiTheme="minorBidi"/>
                <w:sz w:val="24"/>
                <w:szCs w:val="24"/>
                <w:lang w:val="en-GB"/>
              </w:rPr>
            </w:pPr>
            <w:r w:rsidRPr="001A5967">
              <w:rPr>
                <w:rFonts w:asciiTheme="minorBidi" w:hAnsiTheme="minorBidi"/>
                <w:sz w:val="24"/>
                <w:szCs w:val="24"/>
                <w:lang w:val="en-GB"/>
              </w:rPr>
              <w:lastRenderedPageBreak/>
              <w:t>Unsecure safeguards, cash location and uncontrolled access to these areas, may lead to cash to disappear or to be stolen.</w:t>
            </w:r>
          </w:p>
          <w:p w:rsidR="000E4129" w:rsidRPr="001A5967" w:rsidRDefault="000E4129" w:rsidP="000E4129">
            <w:pPr>
              <w:autoSpaceDE w:val="0"/>
              <w:autoSpaceDN w:val="0"/>
              <w:adjustRightInd w:val="0"/>
              <w:spacing w:line="360" w:lineRule="auto"/>
              <w:jc w:val="both"/>
              <w:rPr>
                <w:rFonts w:asciiTheme="minorBidi" w:hAnsiTheme="minorBidi"/>
                <w:b/>
                <w:sz w:val="24"/>
                <w:szCs w:val="24"/>
                <w:lang w:val="en-GB"/>
              </w:rPr>
            </w:pPr>
          </w:p>
          <w:p w:rsidR="000E4129" w:rsidRPr="002511FF" w:rsidRDefault="000E4129" w:rsidP="000E4129">
            <w:pPr>
              <w:autoSpaceDE w:val="0"/>
              <w:autoSpaceDN w:val="0"/>
              <w:adjustRightInd w:val="0"/>
              <w:spacing w:line="360" w:lineRule="auto"/>
              <w:jc w:val="both"/>
              <w:rPr>
                <w:rFonts w:asciiTheme="minorBidi" w:hAnsiTheme="minorBidi"/>
                <w:i/>
                <w:iCs/>
                <w:sz w:val="24"/>
                <w:szCs w:val="24"/>
                <w:u w:val="single"/>
              </w:rPr>
            </w:pPr>
            <w:bookmarkStart w:id="0" w:name="_GoBack"/>
            <w:r w:rsidRPr="002511FF">
              <w:rPr>
                <w:rFonts w:asciiTheme="minorBidi" w:hAnsiTheme="minorBidi"/>
                <w:i/>
                <w:iCs/>
                <w:sz w:val="24"/>
                <w:szCs w:val="24"/>
                <w:u w:val="single"/>
              </w:rPr>
              <w:t>References:</w:t>
            </w:r>
            <w:bookmarkEnd w:id="0"/>
          </w:p>
          <w:p w:rsidR="000E4129" w:rsidRPr="001A5967" w:rsidRDefault="000E4129" w:rsidP="000E4129">
            <w:pPr>
              <w:autoSpaceDE w:val="0"/>
              <w:autoSpaceDN w:val="0"/>
              <w:adjustRightInd w:val="0"/>
              <w:spacing w:line="360" w:lineRule="auto"/>
              <w:jc w:val="both"/>
              <w:rPr>
                <w:rFonts w:asciiTheme="minorBidi" w:hAnsiTheme="minorBidi"/>
                <w:sz w:val="24"/>
                <w:szCs w:val="24"/>
              </w:rPr>
            </w:pPr>
            <w:r w:rsidRPr="001A5967">
              <w:rPr>
                <w:rFonts w:asciiTheme="minorBidi" w:hAnsiTheme="minorBidi"/>
                <w:sz w:val="24"/>
                <w:szCs w:val="24"/>
              </w:rPr>
              <w:t>Forensic Accounting and Fraud Investigation for Non-Experts</w:t>
            </w:r>
          </w:p>
          <w:p w:rsidR="000E4129" w:rsidRPr="001A5967" w:rsidRDefault="007D4C80" w:rsidP="000E4129">
            <w:pPr>
              <w:autoSpaceDE w:val="0"/>
              <w:autoSpaceDN w:val="0"/>
              <w:adjustRightInd w:val="0"/>
              <w:spacing w:line="360" w:lineRule="auto"/>
              <w:jc w:val="both"/>
              <w:rPr>
                <w:rFonts w:asciiTheme="minorBidi" w:hAnsiTheme="minorBidi"/>
                <w:sz w:val="24"/>
                <w:szCs w:val="24"/>
              </w:rPr>
            </w:pPr>
            <w:r>
              <w:rPr>
                <w:rFonts w:asciiTheme="minorBidi" w:hAnsiTheme="minorBidi"/>
                <w:sz w:val="24"/>
                <w:szCs w:val="24"/>
              </w:rPr>
              <w:t>Second Edition.</w:t>
            </w:r>
          </w:p>
          <w:p w:rsidR="000E4129" w:rsidRPr="001A5967" w:rsidRDefault="000E4129" w:rsidP="000E4129">
            <w:pPr>
              <w:autoSpaceDE w:val="0"/>
              <w:autoSpaceDN w:val="0"/>
              <w:adjustRightInd w:val="0"/>
              <w:spacing w:line="360" w:lineRule="auto"/>
              <w:jc w:val="both"/>
              <w:rPr>
                <w:rFonts w:asciiTheme="minorBidi" w:hAnsiTheme="minorBidi"/>
                <w:sz w:val="24"/>
                <w:szCs w:val="24"/>
              </w:rPr>
            </w:pPr>
            <w:r w:rsidRPr="001A5967">
              <w:rPr>
                <w:rFonts w:asciiTheme="minorBidi" w:hAnsiTheme="minorBidi"/>
                <w:sz w:val="24"/>
                <w:szCs w:val="24"/>
              </w:rPr>
              <w:t xml:space="preserve">Howard Silverstone, Michael </w:t>
            </w:r>
            <w:proofErr w:type="spellStart"/>
            <w:r w:rsidRPr="001A5967">
              <w:rPr>
                <w:rFonts w:asciiTheme="minorBidi" w:hAnsiTheme="minorBidi"/>
                <w:sz w:val="24"/>
                <w:szCs w:val="24"/>
              </w:rPr>
              <w:t>Sheetz</w:t>
            </w:r>
            <w:proofErr w:type="spellEnd"/>
            <w:r w:rsidRPr="001A5967">
              <w:rPr>
                <w:rFonts w:asciiTheme="minorBidi" w:hAnsiTheme="minorBidi"/>
                <w:sz w:val="24"/>
                <w:szCs w:val="24"/>
              </w:rPr>
              <w:t>.</w:t>
            </w:r>
          </w:p>
          <w:p w:rsidR="0056096B" w:rsidRPr="000E4129" w:rsidRDefault="0056096B" w:rsidP="0056096B">
            <w:pPr>
              <w:autoSpaceDE w:val="0"/>
              <w:autoSpaceDN w:val="0"/>
              <w:adjustRightInd w:val="0"/>
              <w:jc w:val="both"/>
              <w:rPr>
                <w:rFonts w:asciiTheme="minorBidi" w:hAnsiTheme="minorBidi"/>
                <w:b/>
                <w:sz w:val="24"/>
                <w:szCs w:val="24"/>
                <w:lang w:val="en-GB"/>
              </w:rPr>
            </w:pPr>
          </w:p>
        </w:tc>
      </w:tr>
    </w:tbl>
    <w:p w:rsidR="00503D7E" w:rsidRPr="005D6DA7" w:rsidRDefault="00503D7E" w:rsidP="00A851DA">
      <w:pPr>
        <w:autoSpaceDE w:val="0"/>
        <w:autoSpaceDN w:val="0"/>
        <w:adjustRightInd w:val="0"/>
        <w:spacing w:after="0" w:line="240" w:lineRule="auto"/>
        <w:rPr>
          <w:rFonts w:cs="CalvertMT-Bold"/>
          <w:b/>
          <w:bCs/>
          <w:sz w:val="28"/>
          <w:lang w:val="en-US"/>
        </w:rPr>
      </w:pPr>
    </w:p>
    <w:p w:rsidR="00A851DA" w:rsidRPr="005D6DA7" w:rsidRDefault="00AE1481" w:rsidP="00A851DA">
      <w:pPr>
        <w:autoSpaceDE w:val="0"/>
        <w:autoSpaceDN w:val="0"/>
        <w:adjustRightInd w:val="0"/>
        <w:spacing w:after="0" w:line="240" w:lineRule="auto"/>
        <w:rPr>
          <w:rFonts w:cs="CalvertMT-Bold"/>
          <w:b/>
          <w:bCs/>
          <w:sz w:val="28"/>
          <w:lang w:val="en-US"/>
        </w:rPr>
      </w:pPr>
      <w:r w:rsidRPr="005D6DA7">
        <w:rPr>
          <w:rFonts w:cs="CalvertMT-Bold"/>
          <w:b/>
          <w:bCs/>
          <w:sz w:val="28"/>
          <w:lang w:val="en-US"/>
        </w:rPr>
        <w:t>Student</w:t>
      </w:r>
      <w:r w:rsidR="00A851DA" w:rsidRPr="005D6DA7">
        <w:rPr>
          <w:rFonts w:cs="CalvertMT-Bold"/>
          <w:b/>
          <w:bCs/>
          <w:sz w:val="28"/>
          <w:lang w:val="en-US"/>
        </w:rPr>
        <w:t xml:space="preserve"> Statement:</w:t>
      </w:r>
    </w:p>
    <w:p w:rsidR="00A851DA" w:rsidRPr="005D6DA7" w:rsidRDefault="00A851DA" w:rsidP="00A851DA">
      <w:pPr>
        <w:autoSpaceDE w:val="0"/>
        <w:autoSpaceDN w:val="0"/>
        <w:adjustRightInd w:val="0"/>
        <w:spacing w:after="0" w:line="240" w:lineRule="auto"/>
        <w:rPr>
          <w:rFonts w:cs="CalvertMT-Bold"/>
          <w:b/>
          <w:bCs/>
          <w:lang w:val="en-US"/>
        </w:rPr>
      </w:pPr>
    </w:p>
    <w:p w:rsidR="00A851DA" w:rsidRPr="005D6DA7" w:rsidRDefault="00405895" w:rsidP="00A851DA">
      <w:pPr>
        <w:autoSpaceDE w:val="0"/>
        <w:autoSpaceDN w:val="0"/>
        <w:adjustRightInd w:val="0"/>
        <w:spacing w:after="0" w:line="240" w:lineRule="auto"/>
        <w:rPr>
          <w:rFonts w:cs="Bliss-Regular"/>
          <w:lang w:val="en-US"/>
        </w:rPr>
      </w:pPr>
      <w:r w:rsidRPr="005D6DA7">
        <w:rPr>
          <w:rFonts w:cs="Bliss-Regular"/>
          <w:lang w:val="en-US"/>
        </w:rPr>
        <w:t>By submitting this assignment, I confirm that this is my own work.</w:t>
      </w:r>
    </w:p>
    <w:p w:rsidR="00503D7E" w:rsidRPr="005D6DA7" w:rsidRDefault="00503D7E" w:rsidP="00A851DA">
      <w:pPr>
        <w:autoSpaceDE w:val="0"/>
        <w:autoSpaceDN w:val="0"/>
        <w:adjustRightInd w:val="0"/>
        <w:spacing w:after="0" w:line="240" w:lineRule="auto"/>
        <w:rPr>
          <w:rFonts w:cs="Bliss-Regular"/>
          <w:lang w:val="en-US"/>
        </w:rPr>
      </w:pPr>
    </w:p>
    <w:tbl>
      <w:tblPr>
        <w:tblStyle w:val="TableGrid"/>
        <w:tblW w:w="0" w:type="auto"/>
        <w:tblLook w:val="04A0" w:firstRow="1" w:lastRow="0" w:firstColumn="1" w:lastColumn="0" w:noHBand="0" w:noVBand="1"/>
      </w:tblPr>
      <w:tblGrid>
        <w:gridCol w:w="2310"/>
        <w:gridCol w:w="4035"/>
        <w:gridCol w:w="1276"/>
        <w:gridCol w:w="1621"/>
      </w:tblGrid>
      <w:tr w:rsidR="005D6DA7" w:rsidRPr="005D6DA7" w:rsidTr="00405895">
        <w:tc>
          <w:tcPr>
            <w:tcW w:w="2310" w:type="dxa"/>
            <w:shd w:val="clear" w:color="auto" w:fill="D9D9D9" w:themeFill="background1" w:themeFillShade="D9"/>
          </w:tcPr>
          <w:p w:rsidR="00405895" w:rsidRPr="005D6DA7" w:rsidRDefault="00405895" w:rsidP="00A851DA">
            <w:pPr>
              <w:rPr>
                <w:rFonts w:cs="Bliss-Regular"/>
              </w:rPr>
            </w:pPr>
            <w:r w:rsidRPr="005D6DA7">
              <w:rPr>
                <w:rFonts w:cs="Bliss-Regular"/>
              </w:rPr>
              <w:t>Student Signature</w:t>
            </w:r>
          </w:p>
        </w:tc>
        <w:tc>
          <w:tcPr>
            <w:tcW w:w="4035" w:type="dxa"/>
          </w:tcPr>
          <w:p w:rsidR="00405895" w:rsidRPr="005D6DA7" w:rsidRDefault="00CB2A1B" w:rsidP="00A851DA">
            <w:pPr>
              <w:rPr>
                <w:rFonts w:cs="Bliss-Regular"/>
              </w:rPr>
            </w:pPr>
            <w:r w:rsidRPr="005D6DA7">
              <w:rPr>
                <w:rFonts w:asciiTheme="minorBidi" w:hAnsiTheme="minorBidi"/>
              </w:rPr>
              <w:t xml:space="preserve">Ashraf Kamal </w:t>
            </w:r>
            <w:proofErr w:type="spellStart"/>
            <w:r w:rsidRPr="005D6DA7">
              <w:rPr>
                <w:rFonts w:asciiTheme="minorBidi" w:hAnsiTheme="minorBidi"/>
              </w:rPr>
              <w:t>Hamed</w:t>
            </w:r>
            <w:proofErr w:type="spellEnd"/>
            <w:r w:rsidRPr="005D6DA7">
              <w:rPr>
                <w:rFonts w:asciiTheme="minorBidi" w:hAnsiTheme="minorBidi"/>
              </w:rPr>
              <w:t xml:space="preserve"> Bashir</w:t>
            </w:r>
          </w:p>
        </w:tc>
        <w:tc>
          <w:tcPr>
            <w:tcW w:w="1276" w:type="dxa"/>
            <w:shd w:val="clear" w:color="auto" w:fill="D9D9D9" w:themeFill="background1" w:themeFillShade="D9"/>
          </w:tcPr>
          <w:p w:rsidR="00405895" w:rsidRPr="005D6DA7" w:rsidRDefault="00405895" w:rsidP="00A851DA">
            <w:pPr>
              <w:rPr>
                <w:rFonts w:cs="Bliss-Regular"/>
              </w:rPr>
            </w:pPr>
            <w:r w:rsidRPr="005D6DA7">
              <w:rPr>
                <w:rFonts w:cs="Bliss-Regular"/>
              </w:rPr>
              <w:t>Date</w:t>
            </w:r>
          </w:p>
        </w:tc>
        <w:tc>
          <w:tcPr>
            <w:tcW w:w="1621" w:type="dxa"/>
          </w:tcPr>
          <w:p w:rsidR="00405895" w:rsidRPr="005D6DA7" w:rsidRDefault="0056096B" w:rsidP="002A78EF">
            <w:pPr>
              <w:rPr>
                <w:rFonts w:cs="Bliss-Regular"/>
              </w:rPr>
            </w:pPr>
            <w:r>
              <w:rPr>
                <w:rFonts w:cs="Bliss-Regular"/>
              </w:rPr>
              <w:t>21</w:t>
            </w:r>
            <w:r w:rsidR="00541806" w:rsidRPr="005D6DA7">
              <w:rPr>
                <w:rFonts w:cs="Bliss-Regular"/>
              </w:rPr>
              <w:t>/</w:t>
            </w:r>
            <w:r w:rsidR="002A78EF">
              <w:rPr>
                <w:rFonts w:cs="Bliss-Regular"/>
              </w:rPr>
              <w:t>12</w:t>
            </w:r>
            <w:r w:rsidR="00541806" w:rsidRPr="005D6DA7">
              <w:rPr>
                <w:rFonts w:cs="Bliss-Regular"/>
              </w:rPr>
              <w:t>/2015</w:t>
            </w:r>
          </w:p>
        </w:tc>
      </w:tr>
    </w:tbl>
    <w:p w:rsidR="00A851DA" w:rsidRPr="005D6DA7" w:rsidRDefault="00A851DA" w:rsidP="00A851DA">
      <w:pPr>
        <w:rPr>
          <w:rFonts w:cs="Bliss-Regular"/>
          <w:lang w:val="en-US"/>
        </w:rPr>
      </w:pPr>
    </w:p>
    <w:p w:rsidR="00A851DA" w:rsidRPr="005D6DA7" w:rsidRDefault="00503D7E" w:rsidP="00503D7E">
      <w:pPr>
        <w:shd w:val="clear" w:color="auto" w:fill="D9D9D9" w:themeFill="background1" w:themeFillShade="D9"/>
        <w:rPr>
          <w:b/>
          <w:sz w:val="32"/>
          <w:lang w:val="en-US"/>
        </w:rPr>
      </w:pPr>
      <w:r w:rsidRPr="005D6DA7">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D6DA7" w:rsidRPr="005D6DA7" w:rsidTr="00B0415E">
        <w:trPr>
          <w:trHeight w:val="249"/>
        </w:trPr>
        <w:tc>
          <w:tcPr>
            <w:tcW w:w="4621" w:type="dxa"/>
            <w:shd w:val="clear" w:color="auto" w:fill="D9D9D9" w:themeFill="background1" w:themeFillShade="D9"/>
          </w:tcPr>
          <w:p w:rsidR="00503D7E" w:rsidRPr="005D6DA7" w:rsidRDefault="00503D7E" w:rsidP="00503D7E">
            <w:pPr>
              <w:rPr>
                <w:b/>
              </w:rPr>
            </w:pPr>
            <w:r w:rsidRPr="005D6DA7">
              <w:rPr>
                <w:b/>
              </w:rPr>
              <w:t>Total Marks</w:t>
            </w:r>
          </w:p>
        </w:tc>
        <w:tc>
          <w:tcPr>
            <w:tcW w:w="4621" w:type="dxa"/>
          </w:tcPr>
          <w:p w:rsidR="00503D7E" w:rsidRPr="005D6DA7" w:rsidRDefault="00503D7E" w:rsidP="00503D7E">
            <w:pPr>
              <w:rPr>
                <w:rFonts w:cs="Times New Roman"/>
                <w:szCs w:val="32"/>
              </w:rPr>
            </w:pPr>
          </w:p>
        </w:tc>
      </w:tr>
      <w:tr w:rsidR="005D6DA7" w:rsidRPr="005D6DA7" w:rsidTr="00B0415E">
        <w:tc>
          <w:tcPr>
            <w:tcW w:w="4621" w:type="dxa"/>
            <w:shd w:val="clear" w:color="auto" w:fill="D9D9D9" w:themeFill="background1" w:themeFillShade="D9"/>
          </w:tcPr>
          <w:p w:rsidR="00503D7E" w:rsidRPr="005D6DA7" w:rsidRDefault="00503D7E" w:rsidP="00503D7E">
            <w:pPr>
              <w:rPr>
                <w:b/>
              </w:rPr>
            </w:pPr>
            <w:r w:rsidRPr="005D6DA7">
              <w:rPr>
                <w:b/>
              </w:rPr>
              <w:t>Marks Obtained</w:t>
            </w:r>
          </w:p>
        </w:tc>
        <w:tc>
          <w:tcPr>
            <w:tcW w:w="4621" w:type="dxa"/>
          </w:tcPr>
          <w:p w:rsidR="00503D7E" w:rsidRPr="005D6DA7" w:rsidRDefault="00503D7E" w:rsidP="00503D7E">
            <w:pPr>
              <w:rPr>
                <w:rFonts w:cs="Times New Roman"/>
                <w:szCs w:val="32"/>
              </w:rPr>
            </w:pPr>
          </w:p>
        </w:tc>
      </w:tr>
      <w:tr w:rsidR="005D6DA7" w:rsidRPr="005D6DA7" w:rsidTr="00B0415E">
        <w:tc>
          <w:tcPr>
            <w:tcW w:w="4621" w:type="dxa"/>
            <w:shd w:val="clear" w:color="auto" w:fill="D9D9D9" w:themeFill="background1" w:themeFillShade="D9"/>
          </w:tcPr>
          <w:p w:rsidR="00503D7E" w:rsidRPr="005D6DA7" w:rsidRDefault="00B0415E" w:rsidP="00503D7E">
            <w:pPr>
              <w:rPr>
                <w:b/>
              </w:rPr>
            </w:pPr>
            <w:r w:rsidRPr="005D6DA7">
              <w:rPr>
                <w:b/>
              </w:rPr>
              <w:t>Percentage / Grade</w:t>
            </w:r>
          </w:p>
        </w:tc>
        <w:tc>
          <w:tcPr>
            <w:tcW w:w="4621" w:type="dxa"/>
          </w:tcPr>
          <w:p w:rsidR="00503D7E" w:rsidRPr="005D6DA7" w:rsidRDefault="00503D7E" w:rsidP="00503D7E">
            <w:pPr>
              <w:rPr>
                <w:rFonts w:cs="Times New Roman"/>
                <w:szCs w:val="32"/>
              </w:rPr>
            </w:pPr>
          </w:p>
        </w:tc>
      </w:tr>
    </w:tbl>
    <w:p w:rsidR="00EA30AB" w:rsidRPr="005D6DA7" w:rsidRDefault="00EA30AB" w:rsidP="00503D7E">
      <w:pPr>
        <w:rPr>
          <w:rFonts w:cs="Times New Roman"/>
          <w:sz w:val="24"/>
          <w:szCs w:val="32"/>
        </w:rPr>
      </w:pPr>
    </w:p>
    <w:sectPr w:rsidR="00EA30AB" w:rsidRPr="005D6DA7"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P6658">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E4A55"/>
    <w:multiLevelType w:val="hybridMultilevel"/>
    <w:tmpl w:val="631817AA"/>
    <w:lvl w:ilvl="0" w:tplc="2EAE1344">
      <w:start w:val="2"/>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EE0993"/>
    <w:multiLevelType w:val="hybridMultilevel"/>
    <w:tmpl w:val="733A0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796BDD"/>
    <w:multiLevelType w:val="hybridMultilevel"/>
    <w:tmpl w:val="F02EB622"/>
    <w:lvl w:ilvl="0" w:tplc="3A16CC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26D14"/>
    <w:multiLevelType w:val="hybridMultilevel"/>
    <w:tmpl w:val="AF1C68A4"/>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C307BC2"/>
    <w:multiLevelType w:val="hybridMultilevel"/>
    <w:tmpl w:val="13FE3656"/>
    <w:lvl w:ilvl="0" w:tplc="DEA896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E76823"/>
    <w:multiLevelType w:val="hybridMultilevel"/>
    <w:tmpl w:val="73B2DB12"/>
    <w:lvl w:ilvl="0" w:tplc="D4D0A6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9339E2"/>
    <w:multiLevelType w:val="hybridMultilevel"/>
    <w:tmpl w:val="B292FC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31661A"/>
    <w:multiLevelType w:val="hybridMultilevel"/>
    <w:tmpl w:val="9A1A61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DE14C1"/>
    <w:multiLevelType w:val="hybridMultilevel"/>
    <w:tmpl w:val="D270BA72"/>
    <w:lvl w:ilvl="0" w:tplc="AE7A09DE">
      <w:start w:val="3"/>
      <w:numFmt w:val="bullet"/>
      <w:lvlText w:val=""/>
      <w:lvlJc w:val="left"/>
      <w:pPr>
        <w:ind w:left="720" w:hanging="360"/>
      </w:pPr>
      <w:rPr>
        <w:rFonts w:ascii="Symbol" w:eastAsiaTheme="minorHAnsi" w:hAnsi="Symbol" w:cs="AdvP6658" w:hint="default"/>
        <w:color w:val="808080"/>
        <w:sz w:val="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4C6040"/>
    <w:multiLevelType w:val="hybridMultilevel"/>
    <w:tmpl w:val="364EBB6E"/>
    <w:lvl w:ilvl="0" w:tplc="B2A6250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362E42"/>
    <w:multiLevelType w:val="hybridMultilevel"/>
    <w:tmpl w:val="1C94CC84"/>
    <w:lvl w:ilvl="0" w:tplc="7AC2D8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7213C1"/>
    <w:multiLevelType w:val="hybridMultilevel"/>
    <w:tmpl w:val="19C022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5"/>
  </w:num>
  <w:num w:numId="4">
    <w:abstractNumId w:val="2"/>
  </w:num>
  <w:num w:numId="5">
    <w:abstractNumId w:val="10"/>
  </w:num>
  <w:num w:numId="6">
    <w:abstractNumId w:val="1"/>
  </w:num>
  <w:num w:numId="7">
    <w:abstractNumId w:val="9"/>
  </w:num>
  <w:num w:numId="8">
    <w:abstractNumId w:val="0"/>
  </w:num>
  <w:num w:numId="9">
    <w:abstractNumId w:val="12"/>
  </w:num>
  <w:num w:numId="10">
    <w:abstractNumId w:val="3"/>
  </w:num>
  <w:num w:numId="11">
    <w:abstractNumId w:val="6"/>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66561">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E4129"/>
    <w:rsid w:val="001175EE"/>
    <w:rsid w:val="00157CF6"/>
    <w:rsid w:val="00182416"/>
    <w:rsid w:val="00187EB4"/>
    <w:rsid w:val="001A0602"/>
    <w:rsid w:val="001F0481"/>
    <w:rsid w:val="00200C92"/>
    <w:rsid w:val="0020451E"/>
    <w:rsid w:val="00206B9D"/>
    <w:rsid w:val="002322C2"/>
    <w:rsid w:val="0023259C"/>
    <w:rsid w:val="002511FF"/>
    <w:rsid w:val="002A78EF"/>
    <w:rsid w:val="002B0BD7"/>
    <w:rsid w:val="002B573D"/>
    <w:rsid w:val="002C5CB2"/>
    <w:rsid w:val="002F779F"/>
    <w:rsid w:val="00371885"/>
    <w:rsid w:val="003E2B87"/>
    <w:rsid w:val="00402786"/>
    <w:rsid w:val="00405895"/>
    <w:rsid w:val="004058DF"/>
    <w:rsid w:val="00443E6F"/>
    <w:rsid w:val="00463386"/>
    <w:rsid w:val="00486F1A"/>
    <w:rsid w:val="00490CB9"/>
    <w:rsid w:val="004A2CE2"/>
    <w:rsid w:val="004E3CDA"/>
    <w:rsid w:val="004F4B4D"/>
    <w:rsid w:val="0050216D"/>
    <w:rsid w:val="00503D7E"/>
    <w:rsid w:val="0050778F"/>
    <w:rsid w:val="00527C11"/>
    <w:rsid w:val="00535F31"/>
    <w:rsid w:val="00541806"/>
    <w:rsid w:val="0056096B"/>
    <w:rsid w:val="00574D64"/>
    <w:rsid w:val="00591365"/>
    <w:rsid w:val="005B31E4"/>
    <w:rsid w:val="005D6DA7"/>
    <w:rsid w:val="006034F6"/>
    <w:rsid w:val="00607874"/>
    <w:rsid w:val="00607E77"/>
    <w:rsid w:val="00617BB3"/>
    <w:rsid w:val="00645CDD"/>
    <w:rsid w:val="006823A7"/>
    <w:rsid w:val="00687EE8"/>
    <w:rsid w:val="006E1476"/>
    <w:rsid w:val="0070347F"/>
    <w:rsid w:val="0070678E"/>
    <w:rsid w:val="007D4C80"/>
    <w:rsid w:val="00831C11"/>
    <w:rsid w:val="0085330E"/>
    <w:rsid w:val="008944B2"/>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0589C"/>
    <w:rsid w:val="00C53029"/>
    <w:rsid w:val="00C65FEA"/>
    <w:rsid w:val="00CA0AC2"/>
    <w:rsid w:val="00CB2A1B"/>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0B0B"/>
    <w:rsid w:val="00EA30AB"/>
    <w:rsid w:val="00EB3925"/>
    <w:rsid w:val="00ED2A1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656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CB2A1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B2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B2A1B"/>
    <w:rPr>
      <w:rFonts w:ascii="Courier New" w:eastAsia="Times New Roman" w:hAnsi="Courier New" w:cs="Courier New"/>
      <w:sz w:val="20"/>
      <w:szCs w:val="20"/>
      <w:lang w:val="en-US"/>
    </w:rPr>
  </w:style>
  <w:style w:type="character" w:customStyle="1" w:styleId="Heading2Char">
    <w:name w:val="Heading 2 Char"/>
    <w:basedOn w:val="DefaultParagraphFont"/>
    <w:link w:val="Heading2"/>
    <w:uiPriority w:val="9"/>
    <w:rsid w:val="00CB2A1B"/>
    <w:rPr>
      <w:rFonts w:ascii="Times New Roman" w:eastAsia="Times New Roman" w:hAnsi="Times New Roman" w:cs="Times New Roman"/>
      <w:b/>
      <w:bCs/>
      <w:sz w:val="36"/>
      <w:szCs w:val="3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724467">
      <w:bodyDiv w:val="1"/>
      <w:marLeft w:val="0"/>
      <w:marRight w:val="0"/>
      <w:marTop w:val="0"/>
      <w:marBottom w:val="0"/>
      <w:divBdr>
        <w:top w:val="none" w:sz="0" w:space="0" w:color="auto"/>
        <w:left w:val="none" w:sz="0" w:space="0" w:color="auto"/>
        <w:bottom w:val="none" w:sz="0" w:space="0" w:color="auto"/>
        <w:right w:val="none" w:sz="0" w:space="0" w:color="auto"/>
      </w:divBdr>
    </w:div>
    <w:div w:id="16783880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9F897-842D-40BA-9CFC-59B126914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9</Pages>
  <Words>2543</Words>
  <Characters>14501</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12</cp:revision>
  <dcterms:created xsi:type="dcterms:W3CDTF">2015-01-26T12:24:00Z</dcterms:created>
  <dcterms:modified xsi:type="dcterms:W3CDTF">2015-12-21T16:30:00Z</dcterms:modified>
</cp:coreProperties>
</file>