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05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A3D" w:rsidRDefault="006C3A3D" w:rsidP="00405895">
                            <w:pPr>
                              <w:jc w:val="center"/>
                              <w:rPr>
                                <w:b/>
                                <w:bCs/>
                                <w:color w:val="002060"/>
                                <w:sz w:val="44"/>
                                <w:szCs w:val="40"/>
                              </w:rPr>
                            </w:pPr>
                            <w:r>
                              <w:rPr>
                                <w:sz w:val="24"/>
                              </w:rPr>
                              <w:t xml:space="preserve">   </w:t>
                            </w:r>
                            <w:r>
                              <w:rPr>
                                <w:b/>
                                <w:bCs/>
                                <w:color w:val="002060"/>
                                <w:sz w:val="44"/>
                                <w:szCs w:val="40"/>
                              </w:rPr>
                              <w:t>Assignment Cover Sheet</w:t>
                            </w:r>
                          </w:p>
                          <w:p w:rsidR="006C3A3D" w:rsidRDefault="006C3A3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C3A3D" w:rsidRDefault="006C3A3D" w:rsidP="00405895">
                      <w:pPr>
                        <w:jc w:val="center"/>
                        <w:rPr>
                          <w:b/>
                          <w:bCs/>
                          <w:color w:val="002060"/>
                          <w:sz w:val="44"/>
                          <w:szCs w:val="40"/>
                        </w:rPr>
                      </w:pPr>
                      <w:r>
                        <w:rPr>
                          <w:sz w:val="24"/>
                        </w:rPr>
                        <w:t xml:space="preserve">   </w:t>
                      </w:r>
                      <w:r>
                        <w:rPr>
                          <w:b/>
                          <w:bCs/>
                          <w:color w:val="002060"/>
                          <w:sz w:val="44"/>
                          <w:szCs w:val="40"/>
                        </w:rPr>
                        <w:t>Assignment Cover Sheet</w:t>
                      </w:r>
                    </w:p>
                    <w:p w:rsidR="006C3A3D" w:rsidRDefault="006C3A3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Theme="minorHAnsi" w:hAnsiTheme="minorHAnsi"/>
              </w:rPr>
              <w:t>Thomas Brophy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6ACC">
            <w:pPr>
              <w:pStyle w:val="Default"/>
              <w:rPr>
                <w:rFonts w:asciiTheme="minorHAnsi" w:hAnsiTheme="minorHAnsi"/>
              </w:rPr>
            </w:pPr>
            <w:r>
              <w:rPr>
                <w:rFonts w:asciiTheme="minorHAnsi" w:hAnsiTheme="minorHAnsi"/>
              </w:rPr>
              <w:t>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Helvetica" w:hAnsi="Helvetica" w:cs="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113">
            <w:r>
              <w:t>4</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82113" w:rsidRDefault="00E82113" w:rsidP="00E82113">
            <w:pPr>
              <w:rPr>
                <w:szCs w:val="24"/>
              </w:rPr>
            </w:pPr>
            <w:r>
              <w:rPr>
                <w:szCs w:val="24"/>
              </w:rPr>
              <w:t>Assignment 4</w:t>
            </w:r>
          </w:p>
          <w:p w:rsidR="00E82113" w:rsidRDefault="00E82113" w:rsidP="00E82113">
            <w:pPr>
              <w:rPr>
                <w:szCs w:val="24"/>
              </w:rPr>
            </w:pPr>
          </w:p>
          <w:p w:rsidR="00E82113" w:rsidRDefault="00E82113" w:rsidP="00E82113">
            <w:pPr>
              <w:rPr>
                <w:szCs w:val="24"/>
              </w:rPr>
            </w:pPr>
            <w:r>
              <w:rPr>
                <w:szCs w:val="24"/>
              </w:rPr>
              <w:t>1.i. Fraud risk factors are characteristics that give rise to fraud. These include management characteristics such accounting principles and audit committee practices, industry characteristics such as unregulated loans, operating characteristics such industry pressure, assets prone to misappropriate and controls and compliance characteristics of the organisation</w:t>
            </w:r>
          </w:p>
          <w:p w:rsidR="00E82113" w:rsidRDefault="00E82113" w:rsidP="00E82113">
            <w:pPr>
              <w:rPr>
                <w:szCs w:val="24"/>
              </w:rPr>
            </w:pPr>
          </w:p>
          <w:p w:rsidR="00E82113" w:rsidRDefault="00E82113" w:rsidP="00E82113">
            <w:pPr>
              <w:rPr>
                <w:szCs w:val="24"/>
              </w:rPr>
            </w:pPr>
            <w:r>
              <w:rPr>
                <w:szCs w:val="24"/>
              </w:rPr>
              <w:t xml:space="preserve">1.ii. Internal and external audits, alert systems and fast response solutions to prevent corruption getting in and spreading.  Bonuses and overtime capping can be used. Conflict of interest procedures and setting up independent remuneration and audit committees. Tougher fines and stricter rules implemented by the FCA an SEC also act as control mechanisms including tighter rules on access to insider trading information and recruitment workflows and checklists for thorough vetting. </w:t>
            </w:r>
          </w:p>
          <w:p w:rsidR="00E82113" w:rsidRDefault="00E82113" w:rsidP="00E82113">
            <w:pPr>
              <w:rPr>
                <w:szCs w:val="24"/>
              </w:rPr>
            </w:pPr>
          </w:p>
          <w:p w:rsidR="00E82113" w:rsidRDefault="00E82113" w:rsidP="00E82113">
            <w:pPr>
              <w:rPr>
                <w:szCs w:val="24"/>
              </w:rPr>
            </w:pPr>
            <w:r>
              <w:rPr>
                <w:szCs w:val="24"/>
              </w:rPr>
              <w:t xml:space="preserve">1.iii. By analysing the risk of companies as a going concern, many losses in bankruptcy cases such as Bank of America could be prevented. Comparing actual and expected results help identity accounting scams and errors early. Trend analysis helps identify abuse overtime and over stated accounts. For example, accounts for plant and machinery purchased in 2008 by Optimal Data Solutions Ltd. should have depreciated to zero over three years following standard accounting practice but the 2012 account showed an increase in the value of those fixed assets as the install costs were wrongfully added in order to over-inflate the reported asset value of the company. </w:t>
            </w:r>
          </w:p>
          <w:p w:rsidR="00E82113" w:rsidRDefault="00E82113" w:rsidP="00E82113">
            <w:pPr>
              <w:rPr>
                <w:szCs w:val="24"/>
              </w:rPr>
            </w:pPr>
          </w:p>
          <w:p w:rsidR="00E82113" w:rsidRDefault="00E82113" w:rsidP="00E82113">
            <w:pPr>
              <w:rPr>
                <w:szCs w:val="24"/>
              </w:rPr>
            </w:pPr>
            <w:r>
              <w:rPr>
                <w:szCs w:val="24"/>
              </w:rPr>
              <w:t xml:space="preserve">1.iv. The “everyone is doing it” peer pressure and culture of fraud and Government corruption and rampant piracy are very common excuses. Temporary placing company money into a personal offshore account is also a common excuse in more elaborate scams. Revenge against a company or government or authority is also a common rationalisation. High risk taking and benefits to the company or country such as invading Iraq without warrant as one example is excused. Religious conflicts are also common rationalisations especially in places like Israel and </w:t>
            </w:r>
            <w:r>
              <w:rPr>
                <w:szCs w:val="24"/>
              </w:rPr>
              <w:lastRenderedPageBreak/>
              <w:t xml:space="preserve">Northern Ireland. However, children, poverty and medical problems are more common excuses when fraudsters are challenged. </w:t>
            </w:r>
          </w:p>
          <w:p w:rsidR="00E82113" w:rsidRDefault="00E82113" w:rsidP="00E82113">
            <w:pPr>
              <w:rPr>
                <w:szCs w:val="24"/>
              </w:rPr>
            </w:pPr>
          </w:p>
          <w:p w:rsidR="00E82113" w:rsidRDefault="00E82113" w:rsidP="00E82113">
            <w:pPr>
              <w:rPr>
                <w:szCs w:val="24"/>
              </w:rPr>
            </w:pPr>
            <w:r>
              <w:rPr>
                <w:szCs w:val="24"/>
              </w:rPr>
              <w:t>1.v.  Context is a critically important point in assessing risk factors such as copying one cd for personal use or running a computer fair in Bristol selling over 100,000 pirate copies for £5each. Size is an important point from micro-charities that are never audited to 100% FCA audited multinational companies.</w:t>
            </w:r>
          </w:p>
          <w:p w:rsidR="00E82113" w:rsidRDefault="00E82113" w:rsidP="00E82113">
            <w:pPr>
              <w:rPr>
                <w:szCs w:val="24"/>
              </w:rPr>
            </w:pPr>
          </w:p>
          <w:p w:rsidR="00E82113" w:rsidRDefault="00E82113" w:rsidP="00E82113">
            <w:pPr>
              <w:rPr>
                <w:szCs w:val="24"/>
              </w:rPr>
            </w:pPr>
            <w:r>
              <w:rPr>
                <w:szCs w:val="24"/>
              </w:rPr>
              <w:t>1. vi. The first is a preliminary analytical procedure to assess the baseline and areas that need further investigation. The second is drill down balance checking and detailed analysis. The third and final part is comparing results and audits to validate or invalidate the report or audit or argument in question.  This order of analysis is similar analytical chemistry and medical quality control practices.</w:t>
            </w:r>
          </w:p>
          <w:p w:rsidR="00E82113" w:rsidRDefault="00E82113" w:rsidP="00E82113">
            <w:pPr>
              <w:rPr>
                <w:szCs w:val="24"/>
              </w:rPr>
            </w:pPr>
          </w:p>
          <w:p w:rsidR="00E82113" w:rsidRDefault="00E82113" w:rsidP="00E82113">
            <w:pPr>
              <w:rPr>
                <w:szCs w:val="24"/>
              </w:rPr>
            </w:pPr>
            <w:r>
              <w:rPr>
                <w:szCs w:val="24"/>
              </w:rPr>
              <w:t>2.  Being the son of the President of Senegal enabled the son to travel 500 years from his house to the International Port of Dakar and take as much money as he wanted without any audit logs as his police escort had AK47 rifles because his dad was the President. Upgrading to Sony H.D. CCTV cameras with night vision and Number plate recognition covering every entrance and exit point to the port created a more difficult environment to defraud the port without getting caught.</w:t>
            </w:r>
          </w:p>
          <w:p w:rsidR="00E82113" w:rsidRDefault="00E82113" w:rsidP="00E82113">
            <w:pPr>
              <w:rPr>
                <w:szCs w:val="24"/>
              </w:rPr>
            </w:pPr>
          </w:p>
          <w:p w:rsidR="00E82113" w:rsidRDefault="00E82113" w:rsidP="00E82113">
            <w:pPr>
              <w:rPr>
                <w:szCs w:val="24"/>
              </w:rPr>
            </w:pPr>
            <w:r>
              <w:rPr>
                <w:szCs w:val="24"/>
              </w:rPr>
              <w:t>3. The types of questions to ask management in a risk assessment context is audit committee questions and audit procedure questions and audit control systems, questions that test the morals and ethics and behaviour of management in regards to quality control and systems of control and internal regulation, independent director ratio, Director share dealings and reporting conflicts of interest are all key questions to explore with management.</w:t>
            </w:r>
          </w:p>
          <w:p w:rsidR="00E82113" w:rsidRDefault="00E82113" w:rsidP="00E82113">
            <w:pPr>
              <w:rPr>
                <w:szCs w:val="24"/>
              </w:rPr>
            </w:pPr>
          </w:p>
          <w:p w:rsidR="00E82113" w:rsidRDefault="00E82113" w:rsidP="00E82113">
            <w:pPr>
              <w:rPr>
                <w:szCs w:val="24"/>
              </w:rPr>
            </w:pPr>
          </w:p>
          <w:p w:rsidR="00E82113" w:rsidRDefault="00E82113" w:rsidP="00E82113">
            <w:pPr>
              <w:rPr>
                <w:szCs w:val="24"/>
              </w:rPr>
            </w:pPr>
            <w:r>
              <w:rPr>
                <w:szCs w:val="24"/>
              </w:rPr>
              <w:t>Case Study</w:t>
            </w:r>
          </w:p>
          <w:p w:rsidR="00E82113" w:rsidRDefault="00E82113" w:rsidP="00E82113">
            <w:pPr>
              <w:rPr>
                <w:szCs w:val="24"/>
              </w:rPr>
            </w:pPr>
          </w:p>
          <w:p w:rsidR="00E82113" w:rsidRDefault="00E82113" w:rsidP="00E82113">
            <w:pPr>
              <w:pStyle w:val="ListParagraph"/>
              <w:numPr>
                <w:ilvl w:val="0"/>
                <w:numId w:val="5"/>
              </w:numPr>
              <w:rPr>
                <w:szCs w:val="24"/>
              </w:rPr>
            </w:pPr>
            <w:r>
              <w:rPr>
                <w:szCs w:val="24"/>
              </w:rPr>
              <w:t>Financial records including bank statements and receipts, wage slips, property development evidence, household bills</w:t>
            </w:r>
          </w:p>
          <w:p w:rsidR="00E82113" w:rsidRPr="00B57F8E" w:rsidRDefault="00E82113" w:rsidP="00E82113">
            <w:pPr>
              <w:pStyle w:val="ListParagraph"/>
              <w:numPr>
                <w:ilvl w:val="0"/>
                <w:numId w:val="5"/>
              </w:numPr>
              <w:rPr>
                <w:szCs w:val="24"/>
              </w:rPr>
            </w:pPr>
            <w:r w:rsidRPr="00B57F8E">
              <w:rPr>
                <w:szCs w:val="24"/>
              </w:rPr>
              <w:t>Property deeds, Property tax documents, solicitor letters, emails, property development invoices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ACC" w:rsidP="00A851DA">
            <w:pPr>
              <w:rPr>
                <w:rFonts w:cs="Bliss-Regular"/>
                <w:color w:val="000000"/>
              </w:rPr>
            </w:pPr>
            <w:r>
              <w:rPr>
                <w:rFonts w:cs="Bliss-Regular"/>
                <w:color w:val="000000"/>
              </w:rPr>
              <w:t>Thomas Brophy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6ACC" w:rsidP="00FA52F1">
            <w:pPr>
              <w:rPr>
                <w:rFonts w:cs="Bliss-Regular"/>
                <w:color w:val="000000"/>
              </w:rPr>
            </w:pPr>
            <w:r>
              <w:rPr>
                <w:rFonts w:cs="Bliss-Regular"/>
                <w:color w:val="000000"/>
              </w:rPr>
              <w:t>0</w:t>
            </w:r>
            <w:r w:rsidR="00FA52F1">
              <w:rPr>
                <w:rFonts w:cs="Bliss-Regular"/>
                <w:color w:val="000000"/>
              </w:rPr>
              <w:t>2</w:t>
            </w:r>
            <w:r>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A3D" w:rsidRDefault="006C3A3D" w:rsidP="00CB4D0A">
      <w:pPr>
        <w:spacing w:after="0" w:line="240" w:lineRule="auto"/>
      </w:pPr>
      <w:r>
        <w:separator/>
      </w:r>
    </w:p>
  </w:endnote>
  <w:endnote w:type="continuationSeparator" w:id="0">
    <w:p w:rsidR="006C3A3D" w:rsidRDefault="006C3A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A3D" w:rsidRDefault="006C3A3D" w:rsidP="00CB4D0A">
      <w:pPr>
        <w:spacing w:after="0" w:line="240" w:lineRule="auto"/>
      </w:pPr>
      <w:r>
        <w:separator/>
      </w:r>
    </w:p>
  </w:footnote>
  <w:footnote w:type="continuationSeparator" w:id="0">
    <w:p w:rsidR="006C3A3D" w:rsidRDefault="006C3A3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2734"/>
    <w:multiLevelType w:val="hybridMultilevel"/>
    <w:tmpl w:val="0C9AB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267CF8"/>
    <w:multiLevelType w:val="hybridMultilevel"/>
    <w:tmpl w:val="BB26420E"/>
    <w:lvl w:ilvl="0" w:tplc="C7AE14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16381"/>
    <w:multiLevelType w:val="hybridMultilevel"/>
    <w:tmpl w:val="6CAEB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8A5B34"/>
    <w:multiLevelType w:val="hybridMultilevel"/>
    <w:tmpl w:val="70784FE4"/>
    <w:lvl w:ilvl="0" w:tplc="3A02EC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8"/>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3B47"/>
    <w:rsid w:val="001175EE"/>
    <w:rsid w:val="00157CF6"/>
    <w:rsid w:val="00182416"/>
    <w:rsid w:val="00187EB4"/>
    <w:rsid w:val="001A79AE"/>
    <w:rsid w:val="001F0481"/>
    <w:rsid w:val="00200C92"/>
    <w:rsid w:val="0020451E"/>
    <w:rsid w:val="00206B9D"/>
    <w:rsid w:val="0023259C"/>
    <w:rsid w:val="002B0BD7"/>
    <w:rsid w:val="002B573D"/>
    <w:rsid w:val="002C5CB2"/>
    <w:rsid w:val="002F779F"/>
    <w:rsid w:val="0036331A"/>
    <w:rsid w:val="00371885"/>
    <w:rsid w:val="003B795A"/>
    <w:rsid w:val="003E2B87"/>
    <w:rsid w:val="00402786"/>
    <w:rsid w:val="00405895"/>
    <w:rsid w:val="004058DF"/>
    <w:rsid w:val="00443E6F"/>
    <w:rsid w:val="00466ACC"/>
    <w:rsid w:val="00486F1A"/>
    <w:rsid w:val="00490CB9"/>
    <w:rsid w:val="004A2CE2"/>
    <w:rsid w:val="004E3CDA"/>
    <w:rsid w:val="004F4B4D"/>
    <w:rsid w:val="00501E79"/>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5D5F"/>
    <w:rsid w:val="006C3A3D"/>
    <w:rsid w:val="0070347F"/>
    <w:rsid w:val="0070678E"/>
    <w:rsid w:val="007248A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0812"/>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6748"/>
    <w:rsid w:val="00E81301"/>
    <w:rsid w:val="00E82113"/>
    <w:rsid w:val="00EA30AB"/>
    <w:rsid w:val="00EB3925"/>
    <w:rsid w:val="00F1405F"/>
    <w:rsid w:val="00F96EB3"/>
    <w:rsid w:val="00FA52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02BBCACD"/>
  <w15:docId w15:val="{43AB68A6-3ED6-4893-8F85-217B7312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E226D-C71E-4C39-9D7B-3A0483511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A669733B.dotm</Template>
  <TotalTime>1</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Brophy, Tom</cp:lastModifiedBy>
  <cp:revision>3</cp:revision>
  <dcterms:created xsi:type="dcterms:W3CDTF">2016-11-04T19:41:00Z</dcterms:created>
  <dcterms:modified xsi:type="dcterms:W3CDTF">2016-11-04T19:42:00Z</dcterms:modified>
</cp:coreProperties>
</file>