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7D8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B28A6" w:rsidRDefault="001B28A6">
            <w:pPr>
              <w:pStyle w:val="Default"/>
              <w:rPr>
                <w:rFonts w:asciiTheme="minorBidi" w:hAnsiTheme="minorBidi" w:cstheme="minorBidi"/>
                <w:lang w:val="en-CA"/>
              </w:rPr>
            </w:pPr>
            <w:r>
              <w:rPr>
                <w:rFonts w:asciiTheme="minorBidi" w:hAnsiTheme="minorBidi" w:cstheme="minorBidi"/>
                <w:lang w:val="en-CA"/>
              </w:rPr>
              <w:t>Abdullah Abu Kharroub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2377">
            <w:pPr>
              <w:pStyle w:val="Default"/>
              <w:rPr>
                <w:rFonts w:asciiTheme="minorHAnsi" w:hAnsiTheme="minorHAnsi"/>
              </w:rPr>
            </w:pPr>
            <w:r>
              <w:rPr>
                <w:rFonts w:asciiTheme="minorHAnsi" w:hAnsiTheme="minorHAnsi"/>
              </w:rPr>
              <w:t>1740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2377">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42795">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3E7C6C"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75603E">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D72377">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C06AC" w:rsidP="00A851DA">
            <w:pPr>
              <w:rPr>
                <w:rFonts w:cs="Bliss-Regular"/>
                <w:color w:val="000000"/>
              </w:rPr>
            </w:pPr>
            <w:r>
              <w:rPr>
                <w:rFonts w:cs="Bliss-Regular"/>
                <w:color w:val="000000"/>
              </w:rPr>
              <w:t>Abdullah Abu Kharroub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42795" w:rsidP="0093132C">
            <w:pPr>
              <w:rPr>
                <w:rFonts w:cs="Bliss-Regular"/>
                <w:color w:val="000000"/>
              </w:rPr>
            </w:pPr>
            <w:r>
              <w:rPr>
                <w:rFonts w:cs="Bliss-Regular"/>
                <w:color w:val="000000"/>
              </w:rPr>
              <w:t>Oct 11</w:t>
            </w:r>
            <w:r>
              <w:rPr>
                <w:rFonts w:cs="Bliss-Regular"/>
                <w:color w:val="000000"/>
                <w:vertAlign w:val="superscript"/>
              </w:rPr>
              <w:t>th</w:t>
            </w:r>
            <w:r w:rsidR="003C06AC">
              <w:rPr>
                <w:rFonts w:cs="Bliss-Regular"/>
                <w:color w:val="000000"/>
              </w:rPr>
              <w:t>,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3C06AC" w:rsidRPr="003C06AC" w:rsidRDefault="003C06AC" w:rsidP="003C06AC">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3C06AC" w:rsidRPr="003C06AC" w:rsidRDefault="007C2C6A" w:rsidP="003C06AC">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#11</w:t>
      </w:r>
    </w:p>
    <w:p w:rsidR="002B0E73" w:rsidRDefault="003C06AC" w:rsidP="00CD36F0">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 xml:space="preserve">Page.1 </w:t>
      </w:r>
    </w:p>
    <w:p w:rsidR="007C2C6A" w:rsidRDefault="007C2C6A" w:rsidP="007C2C6A">
      <w:pPr>
        <w:pStyle w:val="ListParagraph"/>
        <w:numPr>
          <w:ilvl w:val="0"/>
          <w:numId w:val="11"/>
        </w:numPr>
        <w:spacing w:after="160" w:line="259" w:lineRule="auto"/>
        <w:ind w:left="810"/>
      </w:pPr>
    </w:p>
    <w:p w:rsidR="007C2C6A" w:rsidRPr="0018031F" w:rsidRDefault="007C2C6A" w:rsidP="007C2C6A">
      <w:pPr>
        <w:pStyle w:val="ListParagraph"/>
      </w:pPr>
    </w:p>
    <w:p w:rsidR="007C2C6A" w:rsidRDefault="007C2C6A" w:rsidP="007C2C6A">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The processes involved in project risk management are six processes as per the following:</w:t>
      </w:r>
    </w:p>
    <w:p w:rsidR="007C2C6A" w:rsidRDefault="007C2C6A" w:rsidP="007C2C6A">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Risk Management Planning</w:t>
      </w:r>
    </w:p>
    <w:p w:rsidR="007C2C6A" w:rsidRDefault="007C2C6A" w:rsidP="007C2C6A">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Risk Identification</w:t>
      </w:r>
    </w:p>
    <w:p w:rsidR="007C2C6A" w:rsidRDefault="007C2C6A" w:rsidP="007C2C6A">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Qualitative Risk Analysis</w:t>
      </w:r>
    </w:p>
    <w:p w:rsidR="007C2C6A" w:rsidRDefault="007C2C6A" w:rsidP="007C2C6A">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Quantitative Risk Analysis</w:t>
      </w:r>
    </w:p>
    <w:p w:rsidR="007C2C6A" w:rsidRDefault="007C2C6A" w:rsidP="007C2C6A">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Risk Response Planning</w:t>
      </w:r>
    </w:p>
    <w:p w:rsidR="007C2C6A" w:rsidRDefault="007C2C6A" w:rsidP="007C2C6A">
      <w:pPr>
        <w:pStyle w:val="ListParagraph"/>
        <w:numPr>
          <w:ilvl w:val="0"/>
          <w:numId w:val="13"/>
        </w:numPr>
        <w:spacing w:before="30" w:after="30" w:line="259" w:lineRule="auto"/>
        <w:ind w:right="850"/>
        <w:rPr>
          <w:rFonts w:asciiTheme="minorBidi" w:hAnsiTheme="minorBidi"/>
          <w:sz w:val="24"/>
          <w:szCs w:val="24"/>
        </w:rPr>
      </w:pPr>
      <w:r>
        <w:rPr>
          <w:rFonts w:asciiTheme="minorBidi" w:hAnsiTheme="minorBidi"/>
          <w:sz w:val="24"/>
          <w:szCs w:val="24"/>
        </w:rPr>
        <w:t>Risk Monitoring and Control</w:t>
      </w:r>
    </w:p>
    <w:p w:rsidR="007C2C6A" w:rsidRDefault="007C2C6A" w:rsidP="007C2C6A">
      <w:pPr>
        <w:pStyle w:val="ListParagraph"/>
        <w:spacing w:before="30" w:after="30"/>
        <w:ind w:left="1570" w:right="850"/>
        <w:rPr>
          <w:rFonts w:asciiTheme="minorBidi" w:hAnsiTheme="minorBidi"/>
          <w:sz w:val="24"/>
          <w:szCs w:val="24"/>
        </w:rPr>
      </w:pPr>
    </w:p>
    <w:p w:rsidR="007C2C6A" w:rsidRDefault="007C2C6A" w:rsidP="007C2C6A">
      <w:pPr>
        <w:pStyle w:val="ListParagraph"/>
        <w:spacing w:before="30" w:after="30"/>
        <w:ind w:left="850" w:right="850"/>
        <w:rPr>
          <w:rFonts w:asciiTheme="minorBidi" w:hAnsiTheme="minorBidi"/>
          <w:sz w:val="24"/>
          <w:szCs w:val="24"/>
        </w:rPr>
      </w:pPr>
      <w:r>
        <w:rPr>
          <w:rFonts w:asciiTheme="minorBidi" w:hAnsiTheme="minorBidi"/>
          <w:noProof/>
          <w:sz w:val="24"/>
          <w:szCs w:val="24"/>
        </w:rPr>
        <w:drawing>
          <wp:inline distT="0" distB="0" distL="0" distR="0" wp14:anchorId="41CAD75D" wp14:editId="1DB4DA23">
            <wp:extent cx="5181600" cy="286702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7C2C6A" w:rsidRPr="004C56D1" w:rsidRDefault="007C2C6A" w:rsidP="007C2C6A">
      <w:pPr>
        <w:spacing w:before="30" w:after="30"/>
        <w:ind w:right="850"/>
        <w:rPr>
          <w:rFonts w:asciiTheme="minorBidi" w:hAnsiTheme="minorBidi"/>
          <w:sz w:val="24"/>
          <w:szCs w:val="24"/>
        </w:rPr>
      </w:pPr>
    </w:p>
    <w:p w:rsidR="007C2C6A" w:rsidRDefault="007C2C6A" w:rsidP="007C2C6A">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Risk holder’s tolerance is the degree, amount or volume of risk an individual or organization will withstand. Stakeholders will have differing tolerances of risk, depending on the project, the conditions and the potential for loss or reward. Stakeholders’ risk tolerance may be known at the lunch of the project, by their actions during the project, or through written policy statement.</w:t>
      </w:r>
    </w:p>
    <w:p w:rsidR="007C2C6A" w:rsidRPr="00CF1B5C" w:rsidRDefault="007C2C6A" w:rsidP="007C2C6A">
      <w:pPr>
        <w:pStyle w:val="ListParagraph"/>
        <w:spacing w:before="30" w:after="30"/>
        <w:ind w:left="850" w:right="850"/>
        <w:rPr>
          <w:rFonts w:asciiTheme="minorBidi" w:hAnsiTheme="minorBidi"/>
          <w:sz w:val="24"/>
          <w:szCs w:val="24"/>
        </w:rPr>
      </w:pPr>
    </w:p>
    <w:p w:rsidR="007C2C6A" w:rsidRDefault="007C2C6A" w:rsidP="007C2C6A">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Risk identification is the process of identifying the risk and then documenting how their presence may affect the project. Risk identification is an iterative process and can be completed by the project manager, project team, a risk management team, and even SMEs., stakeholders and even people outside the project may complete additional waves of risk identification.</w:t>
      </w:r>
    </w:p>
    <w:p w:rsidR="007C2C6A" w:rsidRPr="007C2C6A" w:rsidRDefault="007C2C6A" w:rsidP="007C2C6A">
      <w:pPr>
        <w:spacing w:after="160" w:line="259" w:lineRule="auto"/>
        <w:jc w:val="right"/>
        <w:rPr>
          <w:rFonts w:asciiTheme="minorBidi" w:eastAsia="Calibri" w:hAnsiTheme="minorBidi" w:cs="Times New Roman"/>
          <w:sz w:val="24"/>
          <w:szCs w:val="24"/>
          <w:lang w:val="en-US"/>
        </w:rPr>
      </w:pPr>
      <w:r w:rsidRPr="007C2C6A">
        <w:rPr>
          <w:rFonts w:asciiTheme="minorBidi" w:eastAsia="Calibri" w:hAnsiTheme="minorBidi" w:cs="Times New Roman"/>
          <w:sz w:val="24"/>
          <w:szCs w:val="24"/>
          <w:lang w:val="en-US"/>
        </w:rPr>
        <w:lastRenderedPageBreak/>
        <w:t>Abdullah Abu Kharroub</w:t>
      </w:r>
    </w:p>
    <w:p w:rsidR="007C2C6A" w:rsidRPr="007C2C6A" w:rsidRDefault="007C2C6A" w:rsidP="007C2C6A">
      <w:pPr>
        <w:spacing w:after="160" w:line="259" w:lineRule="auto"/>
        <w:jc w:val="right"/>
        <w:rPr>
          <w:rFonts w:asciiTheme="minorBidi" w:eastAsia="Calibri" w:hAnsiTheme="minorBidi" w:cs="Times New Roman"/>
          <w:sz w:val="24"/>
          <w:szCs w:val="24"/>
          <w:lang w:val="en-US"/>
        </w:rPr>
      </w:pPr>
      <w:r w:rsidRPr="007C2C6A">
        <w:rPr>
          <w:rFonts w:asciiTheme="minorBidi" w:eastAsia="Calibri" w:hAnsiTheme="minorBidi" w:cs="Times New Roman"/>
          <w:sz w:val="24"/>
          <w:szCs w:val="24"/>
          <w:lang w:val="en-US"/>
        </w:rPr>
        <w:t>1740</w:t>
      </w:r>
    </w:p>
    <w:p w:rsidR="007C2C6A" w:rsidRPr="007C2C6A" w:rsidRDefault="007C2C6A" w:rsidP="007C2C6A">
      <w:pPr>
        <w:spacing w:after="160" w:line="259" w:lineRule="auto"/>
        <w:jc w:val="right"/>
        <w:rPr>
          <w:rFonts w:asciiTheme="minorBidi" w:eastAsia="Calibri" w:hAnsiTheme="minorBidi" w:cs="Times New Roman"/>
          <w:sz w:val="24"/>
          <w:szCs w:val="24"/>
          <w:lang w:val="en-US"/>
        </w:rPr>
      </w:pPr>
      <w:r w:rsidRPr="007C2C6A">
        <w:rPr>
          <w:rFonts w:asciiTheme="minorBidi" w:eastAsia="Calibri" w:hAnsiTheme="minorBidi" w:cs="Times New Roman"/>
          <w:sz w:val="24"/>
          <w:szCs w:val="24"/>
          <w:lang w:val="en-US"/>
        </w:rPr>
        <w:t>#11</w:t>
      </w:r>
    </w:p>
    <w:p w:rsidR="007C2C6A" w:rsidRPr="007C2C6A" w:rsidRDefault="007C2C6A" w:rsidP="007C2C6A">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Page.2</w:t>
      </w:r>
      <w:r w:rsidRPr="007C2C6A">
        <w:rPr>
          <w:rFonts w:asciiTheme="minorBidi" w:eastAsia="Calibri" w:hAnsiTheme="minorBidi" w:cs="Times New Roman"/>
          <w:sz w:val="24"/>
          <w:szCs w:val="24"/>
          <w:lang w:val="en-US"/>
        </w:rPr>
        <w:t xml:space="preserve"> </w:t>
      </w:r>
    </w:p>
    <w:p w:rsidR="007C2C6A" w:rsidRPr="00C540B3" w:rsidRDefault="007C2C6A" w:rsidP="007C2C6A">
      <w:pPr>
        <w:spacing w:before="30" w:after="30"/>
        <w:ind w:right="850"/>
        <w:rPr>
          <w:rFonts w:asciiTheme="minorBidi" w:hAnsiTheme="minorBidi"/>
          <w:sz w:val="24"/>
          <w:szCs w:val="24"/>
        </w:rPr>
      </w:pPr>
    </w:p>
    <w:p w:rsidR="007C2C6A" w:rsidRDefault="007C2C6A" w:rsidP="007C2C6A">
      <w:pPr>
        <w:pStyle w:val="ListParagraph"/>
        <w:numPr>
          <w:ilvl w:val="0"/>
          <w:numId w:val="10"/>
        </w:numPr>
        <w:spacing w:before="30" w:after="30" w:line="259" w:lineRule="auto"/>
        <w:ind w:left="850" w:right="850"/>
        <w:rPr>
          <w:rFonts w:asciiTheme="minorBidi" w:hAnsiTheme="minorBidi"/>
          <w:sz w:val="24"/>
          <w:szCs w:val="24"/>
        </w:rPr>
      </w:pPr>
      <w:r>
        <w:rPr>
          <w:rFonts w:asciiTheme="minorBidi" w:hAnsiTheme="minorBidi"/>
          <w:sz w:val="24"/>
          <w:szCs w:val="24"/>
        </w:rPr>
        <w:t>Qualitative risk analysis is a broad approach to ranking risks by priority, which then guides the risk reaction process. Qualitative risk analysis examines and prioritizes the risk based on their probability of occurring and the impact on the project should be risks occur. Qualitative risk analysis can lead to more in-depth quantitative risk analysis or move directly on to risk response planning.</w:t>
      </w:r>
    </w:p>
    <w:p w:rsidR="007C2C6A" w:rsidRPr="00964B88" w:rsidRDefault="007C2C6A" w:rsidP="007C2C6A">
      <w:pPr>
        <w:pStyle w:val="ListParagraph"/>
        <w:spacing w:before="30" w:after="30"/>
        <w:ind w:left="850" w:right="850"/>
        <w:rPr>
          <w:rFonts w:asciiTheme="minorBidi" w:hAnsiTheme="minorBidi"/>
          <w:sz w:val="24"/>
          <w:szCs w:val="24"/>
        </w:rPr>
      </w:pPr>
    </w:p>
    <w:p w:rsidR="007C2C6A" w:rsidRPr="00041019" w:rsidRDefault="007C2C6A" w:rsidP="007C2C6A">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 xml:space="preserve">A decision tree is a method to determine which of two decisions would be better. And the purpose of decision tree is to make a decision, calculate the value of that decision, or determine which decision cost less. The decision tree used to examining risk by examines the cost and benefits of both decision outcomes and weighs the probability of success for the two decisions. </w:t>
      </w:r>
    </w:p>
    <w:p w:rsidR="007C2C6A" w:rsidRDefault="007C2C6A" w:rsidP="007C2C6A">
      <w:pPr>
        <w:spacing w:before="30" w:after="30"/>
        <w:ind w:right="850"/>
        <w:rPr>
          <w:rFonts w:asciiTheme="minorBidi" w:hAnsiTheme="minorBidi"/>
          <w:sz w:val="24"/>
          <w:szCs w:val="24"/>
        </w:rPr>
      </w:pPr>
    </w:p>
    <w:p w:rsidR="007C2C6A" w:rsidRDefault="007C2C6A" w:rsidP="007C2C6A">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Risk response is the process of how to decrease the possibility of risks adversely affecting the project’s objectives and how to increase the likelihood of positive risks that can aid the project. Risk will increase or decrease based on the effectiveness of risk response planning which assigns responsibilities to people and groups close to the risk event.</w:t>
      </w:r>
    </w:p>
    <w:p w:rsidR="007C2C6A" w:rsidRPr="00864559" w:rsidRDefault="007C2C6A" w:rsidP="007C2C6A">
      <w:pPr>
        <w:pStyle w:val="ListParagraph"/>
        <w:rPr>
          <w:rFonts w:asciiTheme="minorBidi" w:hAnsiTheme="minorBidi"/>
          <w:sz w:val="24"/>
          <w:szCs w:val="24"/>
        </w:rPr>
      </w:pPr>
    </w:p>
    <w:p w:rsidR="007C2C6A" w:rsidRDefault="007C2C6A" w:rsidP="007C2C6A">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Risk acceptance is the process of simply accepting the risks because on other action is feasible, or the risks are deemed to be of small probability, impact, or both, and a formal response is not warranted. Active acceptance entails developing a contingency plan should the risk occur. Passive acceptance requires no action, the project team deals with the risk as they arise. Most risk acceptance policies rely on a contingency allowance for the project.</w:t>
      </w:r>
    </w:p>
    <w:p w:rsidR="007C2C6A" w:rsidRDefault="007C2C6A" w:rsidP="007C2C6A">
      <w:pPr>
        <w:spacing w:before="30" w:after="30"/>
        <w:ind w:right="850"/>
        <w:rPr>
          <w:rFonts w:asciiTheme="minorBidi" w:hAnsiTheme="minorBidi"/>
          <w:sz w:val="24"/>
          <w:szCs w:val="24"/>
        </w:rPr>
      </w:pPr>
    </w:p>
    <w:p w:rsidR="007C2C6A" w:rsidRDefault="007C2C6A" w:rsidP="007C2C6A">
      <w:pPr>
        <w:pStyle w:val="ListParagraph"/>
        <w:numPr>
          <w:ilvl w:val="0"/>
          <w:numId w:val="10"/>
        </w:numPr>
        <w:spacing w:before="30" w:after="30" w:line="259" w:lineRule="auto"/>
        <w:ind w:left="900" w:right="850"/>
        <w:rPr>
          <w:rFonts w:asciiTheme="minorBidi" w:hAnsiTheme="minorBidi"/>
          <w:sz w:val="24"/>
          <w:szCs w:val="24"/>
        </w:rPr>
      </w:pPr>
      <w:r>
        <w:rPr>
          <w:rFonts w:asciiTheme="minorBidi" w:hAnsiTheme="minorBidi"/>
          <w:sz w:val="24"/>
          <w:szCs w:val="24"/>
        </w:rPr>
        <w:t>Risk transfer is the process of transferring the risk to a third party. Common examples of risk transference include the following:</w:t>
      </w:r>
    </w:p>
    <w:p w:rsidR="007C2C6A" w:rsidRDefault="007C2C6A" w:rsidP="007C2C6A">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Insurance</w:t>
      </w:r>
    </w:p>
    <w:p w:rsidR="007C2C6A" w:rsidRDefault="007C2C6A" w:rsidP="007C2C6A">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Fixed-priced contracts</w:t>
      </w:r>
    </w:p>
    <w:p w:rsidR="007C2C6A" w:rsidRDefault="007C2C6A" w:rsidP="007C2C6A">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Warrantees</w:t>
      </w:r>
    </w:p>
    <w:p w:rsidR="007C2C6A" w:rsidRDefault="007C2C6A" w:rsidP="007C2C6A">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Guarantees</w:t>
      </w:r>
    </w:p>
    <w:p w:rsidR="007C2C6A" w:rsidRDefault="007C2C6A" w:rsidP="007C2C6A">
      <w:pPr>
        <w:pStyle w:val="ListParagraph"/>
        <w:numPr>
          <w:ilvl w:val="0"/>
          <w:numId w:val="22"/>
        </w:numPr>
        <w:spacing w:before="30" w:after="30" w:line="259" w:lineRule="auto"/>
        <w:ind w:right="850"/>
        <w:rPr>
          <w:rFonts w:asciiTheme="minorBidi" w:hAnsiTheme="minorBidi"/>
          <w:sz w:val="24"/>
          <w:szCs w:val="24"/>
        </w:rPr>
      </w:pPr>
      <w:r>
        <w:rPr>
          <w:rFonts w:asciiTheme="minorBidi" w:hAnsiTheme="minorBidi"/>
          <w:sz w:val="24"/>
          <w:szCs w:val="24"/>
        </w:rPr>
        <w:t>Performance bonds</w:t>
      </w:r>
    </w:p>
    <w:p w:rsidR="007C2C6A" w:rsidRDefault="007C2C6A" w:rsidP="007C2C6A">
      <w:pPr>
        <w:spacing w:before="30" w:after="30"/>
        <w:ind w:right="850"/>
        <w:rPr>
          <w:rFonts w:asciiTheme="minorBidi" w:hAnsiTheme="minorBidi"/>
          <w:sz w:val="24"/>
          <w:szCs w:val="24"/>
        </w:rPr>
      </w:pPr>
    </w:p>
    <w:p w:rsidR="007C2C6A" w:rsidRDefault="007C2C6A" w:rsidP="007C2C6A">
      <w:pPr>
        <w:spacing w:before="30" w:after="30"/>
        <w:ind w:right="850"/>
        <w:rPr>
          <w:rFonts w:asciiTheme="minorBidi" w:hAnsiTheme="minorBidi"/>
          <w:sz w:val="24"/>
          <w:szCs w:val="24"/>
        </w:rPr>
      </w:pPr>
    </w:p>
    <w:p w:rsidR="007C2C6A" w:rsidRPr="003C06AC" w:rsidRDefault="007C2C6A" w:rsidP="007C2C6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7C2C6A" w:rsidRPr="003C06AC" w:rsidRDefault="007C2C6A" w:rsidP="007C2C6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7C2C6A" w:rsidRPr="003C06AC" w:rsidRDefault="007C2C6A" w:rsidP="007C2C6A">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#11</w:t>
      </w:r>
    </w:p>
    <w:p w:rsidR="007C2C6A" w:rsidRDefault="007C2C6A" w:rsidP="007C2C6A">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Page.3</w:t>
      </w:r>
      <w:r w:rsidRPr="003C06AC">
        <w:rPr>
          <w:rFonts w:asciiTheme="minorBidi" w:eastAsia="Calibri" w:hAnsiTheme="minorBidi" w:cs="Times New Roman"/>
          <w:sz w:val="24"/>
          <w:szCs w:val="24"/>
          <w:lang w:val="en-US"/>
        </w:rPr>
        <w:t xml:space="preserve"> </w:t>
      </w:r>
    </w:p>
    <w:p w:rsidR="007C2C6A" w:rsidRDefault="007C2C6A" w:rsidP="007C2C6A">
      <w:pPr>
        <w:spacing w:before="30" w:after="30"/>
        <w:ind w:right="850"/>
        <w:rPr>
          <w:rFonts w:asciiTheme="minorBidi" w:hAnsiTheme="minorBidi"/>
          <w:sz w:val="24"/>
          <w:szCs w:val="24"/>
        </w:rPr>
      </w:pPr>
    </w:p>
    <w:p w:rsidR="007C2C6A" w:rsidRDefault="007C2C6A" w:rsidP="007C2C6A">
      <w:pPr>
        <w:pStyle w:val="ListParagraph"/>
        <w:numPr>
          <w:ilvl w:val="0"/>
          <w:numId w:val="11"/>
        </w:numPr>
        <w:spacing w:before="30" w:after="30" w:line="259" w:lineRule="auto"/>
        <w:ind w:left="810" w:right="850"/>
        <w:rPr>
          <w:rFonts w:asciiTheme="minorBidi" w:hAnsiTheme="minorBidi"/>
          <w:sz w:val="24"/>
          <w:szCs w:val="24"/>
        </w:rPr>
      </w:pPr>
    </w:p>
    <w:p w:rsidR="007C2C6A" w:rsidRDefault="007C2C6A" w:rsidP="007C2C6A">
      <w:pPr>
        <w:pStyle w:val="ListParagraph"/>
        <w:spacing w:before="30" w:after="30"/>
        <w:ind w:right="850"/>
        <w:rPr>
          <w:rFonts w:asciiTheme="minorBidi" w:hAnsiTheme="minorBidi"/>
          <w:sz w:val="24"/>
          <w:szCs w:val="24"/>
        </w:rPr>
      </w:pPr>
    </w:p>
    <w:p w:rsidR="007C2C6A" w:rsidRDefault="007C2C6A" w:rsidP="007C2C6A">
      <w:pPr>
        <w:pStyle w:val="ListParagraph"/>
        <w:spacing w:before="30" w:after="30"/>
        <w:ind w:right="850"/>
        <w:rPr>
          <w:rFonts w:asciiTheme="minorBidi" w:hAnsiTheme="minorBidi"/>
          <w:sz w:val="24"/>
          <w:szCs w:val="24"/>
        </w:rPr>
      </w:pPr>
      <w:r>
        <w:rPr>
          <w:rFonts w:asciiTheme="minorBidi" w:hAnsiTheme="minorBidi"/>
          <w:sz w:val="24"/>
          <w:szCs w:val="24"/>
        </w:rPr>
        <w:t>The effects of risks can be mitigated and the impact can be reduced and carried out-based on the logic-before the risk occurs. Mitigation plans can be created in order that they might be implemented should an identified risk cross a given threshold. Some examples of mitigation include the following:</w:t>
      </w:r>
    </w:p>
    <w:p w:rsidR="007C2C6A" w:rsidRDefault="007C2C6A" w:rsidP="007C2C6A">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Adding activities to the project to reduce the risk probability or impact</w:t>
      </w:r>
    </w:p>
    <w:p w:rsidR="007C2C6A" w:rsidRDefault="007C2C6A" w:rsidP="007C2C6A">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Completing more tests on the project work before implementation</w:t>
      </w:r>
    </w:p>
    <w:p w:rsidR="007C2C6A" w:rsidRDefault="007C2C6A" w:rsidP="007C2C6A">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Developing prototypes, simulations, and limited releases</w:t>
      </w:r>
    </w:p>
    <w:p w:rsidR="007C2C6A" w:rsidRDefault="007C2C6A" w:rsidP="007C2C6A">
      <w:pPr>
        <w:pStyle w:val="ListParagraph"/>
        <w:numPr>
          <w:ilvl w:val="0"/>
          <w:numId w:val="18"/>
        </w:numPr>
        <w:spacing w:before="30" w:after="30" w:line="259" w:lineRule="auto"/>
        <w:ind w:right="850"/>
        <w:rPr>
          <w:rFonts w:asciiTheme="minorBidi" w:hAnsiTheme="minorBidi"/>
          <w:sz w:val="24"/>
          <w:szCs w:val="24"/>
        </w:rPr>
      </w:pPr>
      <w:r>
        <w:rPr>
          <w:rFonts w:asciiTheme="minorBidi" w:hAnsiTheme="minorBidi"/>
          <w:sz w:val="24"/>
          <w:szCs w:val="24"/>
        </w:rPr>
        <w:t>Simplifying the processes within the project.</w:t>
      </w:r>
    </w:p>
    <w:p w:rsidR="007C2C6A" w:rsidRPr="007C7D6D" w:rsidRDefault="007C2C6A" w:rsidP="007C2C6A">
      <w:pPr>
        <w:pStyle w:val="ListParagraph"/>
        <w:spacing w:before="30" w:after="30"/>
        <w:ind w:left="1440" w:right="850"/>
        <w:rPr>
          <w:rFonts w:asciiTheme="minorBidi" w:hAnsiTheme="minorBidi"/>
          <w:sz w:val="24"/>
          <w:szCs w:val="24"/>
        </w:rPr>
      </w:pPr>
    </w:p>
    <w:p w:rsidR="007C2C6A" w:rsidRDefault="007C2C6A" w:rsidP="007C2C6A">
      <w:pPr>
        <w:pStyle w:val="ListParagraph"/>
        <w:spacing w:before="30" w:after="30"/>
        <w:ind w:right="850"/>
        <w:rPr>
          <w:rFonts w:asciiTheme="minorBidi" w:hAnsiTheme="minorBidi"/>
          <w:sz w:val="24"/>
          <w:szCs w:val="24"/>
        </w:rPr>
      </w:pPr>
    </w:p>
    <w:p w:rsidR="007C2C6A" w:rsidRDefault="007C2C6A" w:rsidP="007C2C6A">
      <w:pPr>
        <w:pStyle w:val="ListParagraph"/>
        <w:numPr>
          <w:ilvl w:val="0"/>
          <w:numId w:val="11"/>
        </w:numPr>
        <w:spacing w:before="30" w:after="30" w:line="259" w:lineRule="auto"/>
        <w:ind w:left="810" w:right="850"/>
        <w:rPr>
          <w:rFonts w:asciiTheme="minorBidi" w:hAnsiTheme="minorBidi"/>
          <w:sz w:val="24"/>
          <w:szCs w:val="24"/>
        </w:rPr>
      </w:pPr>
    </w:p>
    <w:p w:rsidR="007C2C6A" w:rsidRDefault="007C2C6A" w:rsidP="007C2C6A">
      <w:pPr>
        <w:pStyle w:val="ListParagraph"/>
        <w:spacing w:before="30" w:after="30"/>
        <w:ind w:right="850"/>
        <w:rPr>
          <w:rFonts w:asciiTheme="minorBidi" w:hAnsiTheme="minorBidi"/>
          <w:sz w:val="24"/>
          <w:szCs w:val="24"/>
        </w:rPr>
      </w:pPr>
    </w:p>
    <w:p w:rsidR="007C2C6A" w:rsidRDefault="007C2C6A" w:rsidP="007C2C6A">
      <w:pPr>
        <w:pStyle w:val="ListParagraph"/>
        <w:spacing w:before="30" w:after="30"/>
        <w:ind w:right="850"/>
        <w:rPr>
          <w:rFonts w:asciiTheme="minorBidi" w:hAnsiTheme="minorBidi"/>
          <w:sz w:val="24"/>
          <w:szCs w:val="24"/>
        </w:rPr>
      </w:pPr>
      <w:r>
        <w:rPr>
          <w:rFonts w:asciiTheme="minorBidi" w:hAnsiTheme="minorBidi"/>
          <w:sz w:val="24"/>
          <w:szCs w:val="24"/>
        </w:rPr>
        <w:t>Identifying project risk going through different processes as per the following:</w:t>
      </w:r>
    </w:p>
    <w:p w:rsidR="007C2C6A" w:rsidRDefault="007C2C6A" w:rsidP="007C2C6A">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Reviewing Project Documents:</w:t>
      </w:r>
    </w:p>
    <w:p w:rsidR="007C2C6A" w:rsidRDefault="007C2C6A" w:rsidP="007C2C6A">
      <w:pPr>
        <w:pStyle w:val="ListParagraph"/>
        <w:spacing w:before="30" w:after="30"/>
        <w:ind w:left="1500" w:right="850"/>
        <w:rPr>
          <w:rFonts w:asciiTheme="minorBidi" w:hAnsiTheme="minorBidi"/>
          <w:sz w:val="24"/>
          <w:szCs w:val="24"/>
        </w:rPr>
      </w:pPr>
      <w:r>
        <w:rPr>
          <w:rFonts w:asciiTheme="minorBidi" w:hAnsiTheme="minorBidi"/>
          <w:sz w:val="24"/>
          <w:szCs w:val="24"/>
        </w:rPr>
        <w:t>The project team should review the project documentation, which includes project plan, scope, and other project files. This structure review takes a very broad look at the project plan, the scope, and activates defined within the project. Constraints and assumptions should be reviewed, considered, and analyzed for risks.</w:t>
      </w:r>
    </w:p>
    <w:p w:rsidR="007C2C6A" w:rsidRDefault="007C2C6A" w:rsidP="007C2C6A">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Brainstorming the Project:</w:t>
      </w:r>
    </w:p>
    <w:p w:rsidR="007C2C6A" w:rsidRDefault="007C2C6A" w:rsidP="007C2C6A">
      <w:pPr>
        <w:pStyle w:val="ListParagraph"/>
        <w:spacing w:before="30" w:after="30"/>
        <w:ind w:left="1500" w:right="850"/>
        <w:rPr>
          <w:rFonts w:asciiTheme="minorBidi" w:hAnsiTheme="minorBidi"/>
          <w:sz w:val="24"/>
          <w:szCs w:val="24"/>
        </w:rPr>
      </w:pPr>
      <w:r>
        <w:rPr>
          <w:rFonts w:asciiTheme="minorBidi" w:hAnsiTheme="minorBidi"/>
          <w:sz w:val="24"/>
          <w:szCs w:val="24"/>
        </w:rPr>
        <w:t>This is usually completed by the project team as a whole to identify the risk within the project. A multidisciplinary team, hosted by a project facilitator may also complete the brainstorming. This approach can include subject matter experts, project team members, customers, and other stakeholders in order to contribute to the risk identification process.</w:t>
      </w:r>
    </w:p>
    <w:p w:rsidR="007C2C6A" w:rsidRDefault="007C2C6A" w:rsidP="007C2C6A">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Using the Delphi Technique:</w:t>
      </w:r>
    </w:p>
    <w:p w:rsidR="007C2C6A" w:rsidRDefault="007C2C6A" w:rsidP="007C2C6A">
      <w:pPr>
        <w:pStyle w:val="ListParagraph"/>
        <w:spacing w:before="30" w:after="30"/>
        <w:ind w:left="1500" w:right="850"/>
        <w:rPr>
          <w:rFonts w:asciiTheme="minorBidi" w:hAnsiTheme="minorBidi"/>
          <w:sz w:val="24"/>
          <w:szCs w:val="24"/>
        </w:rPr>
      </w:pPr>
      <w:r>
        <w:rPr>
          <w:rFonts w:asciiTheme="minorBidi" w:hAnsiTheme="minorBidi"/>
          <w:sz w:val="24"/>
          <w:szCs w:val="24"/>
        </w:rPr>
        <w:t xml:space="preserve">It’s an anonymous method of querying experts about foreseeable risks within a project, phase, or component of </w:t>
      </w:r>
    </w:p>
    <w:p w:rsidR="007C2C6A" w:rsidRPr="003C06AC" w:rsidRDefault="007C2C6A" w:rsidP="007C2C6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lastRenderedPageBreak/>
        <w:t>Abdullah Abu Kharroub</w:t>
      </w:r>
    </w:p>
    <w:p w:rsidR="007C2C6A" w:rsidRPr="003C06AC" w:rsidRDefault="007C2C6A" w:rsidP="007C2C6A">
      <w:pPr>
        <w:spacing w:after="160" w:line="259" w:lineRule="auto"/>
        <w:jc w:val="right"/>
        <w:rPr>
          <w:rFonts w:asciiTheme="minorBidi" w:eastAsia="Calibri" w:hAnsiTheme="minorBidi" w:cs="Times New Roman"/>
          <w:sz w:val="24"/>
          <w:szCs w:val="24"/>
          <w:lang w:val="en-US"/>
        </w:rPr>
      </w:pPr>
      <w:r w:rsidRPr="003C06AC">
        <w:rPr>
          <w:rFonts w:asciiTheme="minorBidi" w:eastAsia="Calibri" w:hAnsiTheme="minorBidi" w:cs="Times New Roman"/>
          <w:sz w:val="24"/>
          <w:szCs w:val="24"/>
          <w:lang w:val="en-US"/>
        </w:rPr>
        <w:t>1740</w:t>
      </w:r>
    </w:p>
    <w:p w:rsidR="007C2C6A" w:rsidRPr="003C06AC" w:rsidRDefault="007C2C6A" w:rsidP="007C2C6A">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#11</w:t>
      </w:r>
    </w:p>
    <w:p w:rsidR="007C2C6A" w:rsidRDefault="007C2C6A" w:rsidP="007C2C6A">
      <w:pPr>
        <w:spacing w:after="160" w:line="259" w:lineRule="auto"/>
        <w:jc w:val="right"/>
        <w:rPr>
          <w:rFonts w:asciiTheme="minorBidi" w:eastAsia="Calibri" w:hAnsiTheme="minorBidi" w:cs="Times New Roman"/>
          <w:sz w:val="24"/>
          <w:szCs w:val="24"/>
          <w:lang w:val="en-US"/>
        </w:rPr>
      </w:pPr>
      <w:r>
        <w:rPr>
          <w:rFonts w:asciiTheme="minorBidi" w:eastAsia="Calibri" w:hAnsiTheme="minorBidi" w:cs="Times New Roman"/>
          <w:sz w:val="24"/>
          <w:szCs w:val="24"/>
          <w:lang w:val="en-US"/>
        </w:rPr>
        <w:t>Page.4</w:t>
      </w:r>
      <w:r w:rsidRPr="003C06AC">
        <w:rPr>
          <w:rFonts w:asciiTheme="minorBidi" w:eastAsia="Calibri" w:hAnsiTheme="minorBidi" w:cs="Times New Roman"/>
          <w:sz w:val="24"/>
          <w:szCs w:val="24"/>
          <w:lang w:val="en-US"/>
        </w:rPr>
        <w:t xml:space="preserve"> </w:t>
      </w:r>
    </w:p>
    <w:p w:rsidR="007C2C6A" w:rsidRDefault="007C2C6A" w:rsidP="007C2C6A">
      <w:pPr>
        <w:pStyle w:val="ListParagraph"/>
        <w:spacing w:before="30" w:after="30"/>
        <w:ind w:left="1500" w:right="850"/>
        <w:rPr>
          <w:rFonts w:asciiTheme="minorBidi" w:hAnsiTheme="minorBidi"/>
          <w:sz w:val="24"/>
          <w:szCs w:val="24"/>
        </w:rPr>
      </w:pPr>
    </w:p>
    <w:p w:rsidR="007C2C6A" w:rsidRDefault="007C2C6A" w:rsidP="007C2C6A">
      <w:pPr>
        <w:pStyle w:val="ListParagraph"/>
        <w:spacing w:before="30" w:after="30"/>
        <w:ind w:left="1500" w:right="850"/>
        <w:rPr>
          <w:rFonts w:asciiTheme="minorBidi" w:hAnsiTheme="minorBidi"/>
          <w:sz w:val="24"/>
          <w:szCs w:val="24"/>
        </w:rPr>
      </w:pPr>
      <w:r>
        <w:rPr>
          <w:rFonts w:asciiTheme="minorBidi" w:hAnsiTheme="minorBidi"/>
          <w:sz w:val="24"/>
          <w:szCs w:val="24"/>
        </w:rPr>
        <w:t xml:space="preserve">project. The results of the survey are analyzed by third party, organized, and then circulated to the experts. The Delphi technique is completely anonymous and the goal is to gain consensus on project risks with in the project. The anonymous </w:t>
      </w:r>
      <w:bookmarkStart w:id="0" w:name="_GoBack"/>
      <w:bookmarkEnd w:id="0"/>
      <w:r>
        <w:rPr>
          <w:rFonts w:asciiTheme="minorBidi" w:hAnsiTheme="minorBidi"/>
          <w:sz w:val="24"/>
          <w:szCs w:val="24"/>
        </w:rPr>
        <w:t>nature of the process ensures that no one expert’s advice overtly influences the opinion of another participant.</w:t>
      </w:r>
    </w:p>
    <w:p w:rsidR="007C2C6A" w:rsidRDefault="007C2C6A" w:rsidP="007C2C6A">
      <w:pPr>
        <w:pStyle w:val="ListParagraph"/>
        <w:numPr>
          <w:ilvl w:val="0"/>
          <w:numId w:val="25"/>
        </w:numPr>
        <w:spacing w:before="30" w:after="30" w:line="259" w:lineRule="auto"/>
        <w:ind w:right="850"/>
        <w:rPr>
          <w:rFonts w:asciiTheme="minorBidi" w:hAnsiTheme="minorBidi"/>
          <w:sz w:val="24"/>
          <w:szCs w:val="24"/>
        </w:rPr>
      </w:pPr>
      <w:r>
        <w:rPr>
          <w:rFonts w:asciiTheme="minorBidi" w:hAnsiTheme="minorBidi"/>
          <w:sz w:val="24"/>
          <w:szCs w:val="24"/>
        </w:rPr>
        <w:t>Identifying Risks Through Interviews:</w:t>
      </w:r>
    </w:p>
    <w:p w:rsidR="002B0E73" w:rsidRPr="007C2C6A" w:rsidRDefault="007C2C6A" w:rsidP="007C2C6A">
      <w:pPr>
        <w:pStyle w:val="ListParagraph"/>
        <w:spacing w:before="30" w:after="30"/>
        <w:ind w:left="1500" w:right="850"/>
        <w:rPr>
          <w:rFonts w:asciiTheme="minorBidi" w:hAnsiTheme="minorBidi"/>
          <w:sz w:val="24"/>
          <w:szCs w:val="24"/>
        </w:rPr>
      </w:pPr>
      <w:r>
        <w:rPr>
          <w:rFonts w:asciiTheme="minorBidi" w:hAnsiTheme="minorBidi"/>
          <w:sz w:val="24"/>
          <w:szCs w:val="24"/>
        </w:rPr>
        <w:t>Interviewing project stakeholders and subject-matter experts is an excellent approach to identifying risks. The people responsible for risk identification share the overall purpose of the project and project’s WBS, and they probably have the same assumptions as the interviewee. The goal of the process is to learn from the expert what risk may be hidden within the project, what insight the person has into the project work, and what risks this person has encountered on similar work.</w:t>
      </w:r>
    </w:p>
    <w:sectPr w:rsidR="002B0E73" w:rsidRPr="007C2C6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D4E" w:rsidRDefault="00055D4E" w:rsidP="00CB4D0A">
      <w:pPr>
        <w:spacing w:after="0" w:line="240" w:lineRule="auto"/>
      </w:pPr>
      <w:r>
        <w:separator/>
      </w:r>
    </w:p>
  </w:endnote>
  <w:endnote w:type="continuationSeparator" w:id="0">
    <w:p w:rsidR="00055D4E" w:rsidRDefault="00055D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D4E" w:rsidRDefault="00055D4E" w:rsidP="00CB4D0A">
      <w:pPr>
        <w:spacing w:after="0" w:line="240" w:lineRule="auto"/>
      </w:pPr>
      <w:r>
        <w:separator/>
      </w:r>
    </w:p>
  </w:footnote>
  <w:footnote w:type="continuationSeparator" w:id="0">
    <w:p w:rsidR="00055D4E" w:rsidRDefault="00055D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F1C7"/>
      </v:shape>
    </w:pict>
  </w:numPicBullet>
  <w:abstractNum w:abstractNumId="0" w15:restartNumberingAfterBreak="0">
    <w:nsid w:val="000F6FC8"/>
    <w:multiLevelType w:val="hybridMultilevel"/>
    <w:tmpl w:val="345AC2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CD0A73"/>
    <w:multiLevelType w:val="hybridMultilevel"/>
    <w:tmpl w:val="98F43CD8"/>
    <w:lvl w:ilvl="0" w:tplc="04090009">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 w15:restartNumberingAfterBreak="0">
    <w:nsid w:val="06FD472D"/>
    <w:multiLevelType w:val="hybridMultilevel"/>
    <w:tmpl w:val="B6A463A8"/>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083E5863"/>
    <w:multiLevelType w:val="hybridMultilevel"/>
    <w:tmpl w:val="498AA256"/>
    <w:lvl w:ilvl="0" w:tplc="04090005">
      <w:start w:val="1"/>
      <w:numFmt w:val="bullet"/>
      <w:lvlText w:val=""/>
      <w:lvlJc w:val="left"/>
      <w:pPr>
        <w:ind w:left="1570" w:hanging="360"/>
      </w:pPr>
      <w:rPr>
        <w:rFonts w:ascii="Wingdings" w:hAnsi="Wingdings"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4" w15:restartNumberingAfterBreak="0">
    <w:nsid w:val="0DA4705C"/>
    <w:multiLevelType w:val="hybridMultilevel"/>
    <w:tmpl w:val="709EE234"/>
    <w:lvl w:ilvl="0" w:tplc="1009000B">
      <w:start w:val="1"/>
      <w:numFmt w:val="bullet"/>
      <w:lvlText w:val=""/>
      <w:lvlJc w:val="left"/>
      <w:pPr>
        <w:ind w:left="1800" w:hanging="360"/>
      </w:pPr>
      <w:rPr>
        <w:rFonts w:ascii="Wingdings" w:hAnsi="Wingdings"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0DBB5EA2"/>
    <w:multiLevelType w:val="hybridMultilevel"/>
    <w:tmpl w:val="94BA1810"/>
    <w:lvl w:ilvl="0" w:tplc="850806A6">
      <w:start w:val="5"/>
      <w:numFmt w:val="bullet"/>
      <w:lvlText w:val="-"/>
      <w:lvlJc w:val="left"/>
      <w:pPr>
        <w:ind w:left="1570" w:hanging="360"/>
      </w:pPr>
      <w:rPr>
        <w:rFonts w:ascii="Arial" w:eastAsiaTheme="minorHAnsi" w:hAnsi="Arial" w:cs="Arial" w:hint="default"/>
      </w:rPr>
    </w:lvl>
    <w:lvl w:ilvl="1" w:tplc="10090003">
      <w:start w:val="1"/>
      <w:numFmt w:val="bullet"/>
      <w:lvlText w:val="o"/>
      <w:lvlJc w:val="left"/>
      <w:pPr>
        <w:ind w:left="2290" w:hanging="360"/>
      </w:pPr>
      <w:rPr>
        <w:rFonts w:ascii="Courier New" w:hAnsi="Courier New" w:cs="Courier New" w:hint="default"/>
      </w:rPr>
    </w:lvl>
    <w:lvl w:ilvl="2" w:tplc="10090005">
      <w:start w:val="1"/>
      <w:numFmt w:val="bullet"/>
      <w:lvlText w:val=""/>
      <w:lvlJc w:val="left"/>
      <w:pPr>
        <w:ind w:left="3010" w:hanging="360"/>
      </w:pPr>
      <w:rPr>
        <w:rFonts w:ascii="Wingdings" w:hAnsi="Wingdings" w:hint="default"/>
      </w:rPr>
    </w:lvl>
    <w:lvl w:ilvl="3" w:tplc="10090001">
      <w:start w:val="1"/>
      <w:numFmt w:val="bullet"/>
      <w:lvlText w:val=""/>
      <w:lvlJc w:val="left"/>
      <w:pPr>
        <w:ind w:left="3730" w:hanging="360"/>
      </w:pPr>
      <w:rPr>
        <w:rFonts w:ascii="Symbol" w:hAnsi="Symbol" w:hint="default"/>
      </w:rPr>
    </w:lvl>
    <w:lvl w:ilvl="4" w:tplc="10090003">
      <w:start w:val="1"/>
      <w:numFmt w:val="bullet"/>
      <w:lvlText w:val="o"/>
      <w:lvlJc w:val="left"/>
      <w:pPr>
        <w:ind w:left="4450" w:hanging="360"/>
      </w:pPr>
      <w:rPr>
        <w:rFonts w:ascii="Courier New" w:hAnsi="Courier New" w:cs="Courier New" w:hint="default"/>
      </w:rPr>
    </w:lvl>
    <w:lvl w:ilvl="5" w:tplc="10090005">
      <w:start w:val="1"/>
      <w:numFmt w:val="bullet"/>
      <w:lvlText w:val=""/>
      <w:lvlJc w:val="left"/>
      <w:pPr>
        <w:ind w:left="5170" w:hanging="360"/>
      </w:pPr>
      <w:rPr>
        <w:rFonts w:ascii="Wingdings" w:hAnsi="Wingdings" w:hint="default"/>
      </w:rPr>
    </w:lvl>
    <w:lvl w:ilvl="6" w:tplc="10090001">
      <w:start w:val="1"/>
      <w:numFmt w:val="bullet"/>
      <w:lvlText w:val=""/>
      <w:lvlJc w:val="left"/>
      <w:pPr>
        <w:ind w:left="5890" w:hanging="360"/>
      </w:pPr>
      <w:rPr>
        <w:rFonts w:ascii="Symbol" w:hAnsi="Symbol" w:hint="default"/>
      </w:rPr>
    </w:lvl>
    <w:lvl w:ilvl="7" w:tplc="10090003">
      <w:start w:val="1"/>
      <w:numFmt w:val="bullet"/>
      <w:lvlText w:val="o"/>
      <w:lvlJc w:val="left"/>
      <w:pPr>
        <w:ind w:left="6610" w:hanging="360"/>
      </w:pPr>
      <w:rPr>
        <w:rFonts w:ascii="Courier New" w:hAnsi="Courier New" w:cs="Courier New" w:hint="default"/>
      </w:rPr>
    </w:lvl>
    <w:lvl w:ilvl="8" w:tplc="10090005">
      <w:start w:val="1"/>
      <w:numFmt w:val="bullet"/>
      <w:lvlText w:val=""/>
      <w:lvlJc w:val="left"/>
      <w:pPr>
        <w:ind w:left="7330" w:hanging="360"/>
      </w:pPr>
      <w:rPr>
        <w:rFonts w:ascii="Wingdings" w:hAnsi="Wingdings" w:hint="default"/>
      </w:rPr>
    </w:lvl>
  </w:abstractNum>
  <w:abstractNum w:abstractNumId="6" w15:restartNumberingAfterBreak="0">
    <w:nsid w:val="0DF64D6F"/>
    <w:multiLevelType w:val="hybridMultilevel"/>
    <w:tmpl w:val="A8E2595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0E19182D"/>
    <w:multiLevelType w:val="hybridMultilevel"/>
    <w:tmpl w:val="3B6ACB32"/>
    <w:lvl w:ilvl="0" w:tplc="1009000B">
      <w:start w:val="1"/>
      <w:numFmt w:val="bullet"/>
      <w:lvlText w:val=""/>
      <w:lvlJc w:val="left"/>
      <w:pPr>
        <w:ind w:left="1800" w:hanging="360"/>
      </w:pPr>
      <w:rPr>
        <w:rFonts w:ascii="Wingdings" w:hAnsi="Wingdings"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8" w15:restartNumberingAfterBreak="0">
    <w:nsid w:val="113F5E1E"/>
    <w:multiLevelType w:val="hybridMultilevel"/>
    <w:tmpl w:val="DC4A99B8"/>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8EC3DF0"/>
    <w:multiLevelType w:val="hybridMultilevel"/>
    <w:tmpl w:val="E1EEFEF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15:restartNumberingAfterBreak="0">
    <w:nsid w:val="18FF11BB"/>
    <w:multiLevelType w:val="hybridMultilevel"/>
    <w:tmpl w:val="C0AAE016"/>
    <w:lvl w:ilvl="0" w:tplc="850806A6">
      <w:start w:val="5"/>
      <w:numFmt w:val="bullet"/>
      <w:lvlText w:val="-"/>
      <w:lvlJc w:val="left"/>
      <w:pPr>
        <w:ind w:left="1570" w:hanging="360"/>
      </w:pPr>
      <w:rPr>
        <w:rFonts w:ascii="Arial" w:eastAsiaTheme="minorHAnsi" w:hAnsi="Arial" w:cs="Arial"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1" w15:restartNumberingAfterBreak="0">
    <w:nsid w:val="1AB11BB0"/>
    <w:multiLevelType w:val="hybridMultilevel"/>
    <w:tmpl w:val="F0187CC0"/>
    <w:lvl w:ilvl="0" w:tplc="04090007">
      <w:start w:val="1"/>
      <w:numFmt w:val="bullet"/>
      <w:lvlText w:val=""/>
      <w:lvlPicBulletId w:val="0"/>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2D723282"/>
    <w:multiLevelType w:val="hybridMultilevel"/>
    <w:tmpl w:val="B39035BA"/>
    <w:lvl w:ilvl="0" w:tplc="04090017">
      <w:start w:val="1"/>
      <w:numFmt w:val="lowerLetter"/>
      <w:lvlText w:val="%1)"/>
      <w:lvlJc w:val="left"/>
      <w:pPr>
        <w:ind w:left="1455" w:hanging="360"/>
      </w:pPr>
    </w:lvl>
    <w:lvl w:ilvl="1" w:tplc="04090019">
      <w:start w:val="1"/>
      <w:numFmt w:val="lowerLetter"/>
      <w:lvlText w:val="%2."/>
      <w:lvlJc w:val="left"/>
      <w:pPr>
        <w:ind w:left="2175" w:hanging="360"/>
      </w:pPr>
    </w:lvl>
    <w:lvl w:ilvl="2" w:tplc="0409001B">
      <w:start w:val="1"/>
      <w:numFmt w:val="lowerRoman"/>
      <w:lvlText w:val="%3."/>
      <w:lvlJc w:val="right"/>
      <w:pPr>
        <w:ind w:left="2895" w:hanging="180"/>
      </w:pPr>
    </w:lvl>
    <w:lvl w:ilvl="3" w:tplc="0409000F">
      <w:start w:val="1"/>
      <w:numFmt w:val="decimal"/>
      <w:lvlText w:val="%4."/>
      <w:lvlJc w:val="left"/>
      <w:pPr>
        <w:ind w:left="3615" w:hanging="360"/>
      </w:pPr>
    </w:lvl>
    <w:lvl w:ilvl="4" w:tplc="04090019">
      <w:start w:val="1"/>
      <w:numFmt w:val="lowerLetter"/>
      <w:lvlText w:val="%5."/>
      <w:lvlJc w:val="left"/>
      <w:pPr>
        <w:ind w:left="4335" w:hanging="360"/>
      </w:pPr>
    </w:lvl>
    <w:lvl w:ilvl="5" w:tplc="0409001B">
      <w:start w:val="1"/>
      <w:numFmt w:val="lowerRoman"/>
      <w:lvlText w:val="%6."/>
      <w:lvlJc w:val="right"/>
      <w:pPr>
        <w:ind w:left="5055" w:hanging="180"/>
      </w:pPr>
    </w:lvl>
    <w:lvl w:ilvl="6" w:tplc="0409000F">
      <w:start w:val="1"/>
      <w:numFmt w:val="decimal"/>
      <w:lvlText w:val="%7."/>
      <w:lvlJc w:val="left"/>
      <w:pPr>
        <w:ind w:left="5775" w:hanging="360"/>
      </w:pPr>
    </w:lvl>
    <w:lvl w:ilvl="7" w:tplc="04090019">
      <w:start w:val="1"/>
      <w:numFmt w:val="lowerLetter"/>
      <w:lvlText w:val="%8."/>
      <w:lvlJc w:val="left"/>
      <w:pPr>
        <w:ind w:left="6495" w:hanging="360"/>
      </w:pPr>
    </w:lvl>
    <w:lvl w:ilvl="8" w:tplc="0409001B">
      <w:start w:val="1"/>
      <w:numFmt w:val="lowerRoman"/>
      <w:lvlText w:val="%9."/>
      <w:lvlJc w:val="right"/>
      <w:pPr>
        <w:ind w:left="7215" w:hanging="180"/>
      </w:pPr>
    </w:lvl>
  </w:abstractNum>
  <w:abstractNum w:abstractNumId="13" w15:restartNumberingAfterBreak="0">
    <w:nsid w:val="3758725B"/>
    <w:multiLevelType w:val="hybridMultilevel"/>
    <w:tmpl w:val="AF722562"/>
    <w:lvl w:ilvl="0" w:tplc="04090005">
      <w:start w:val="1"/>
      <w:numFmt w:val="bullet"/>
      <w:lvlText w:val=""/>
      <w:lvlJc w:val="left"/>
      <w:pPr>
        <w:ind w:left="1570" w:hanging="360"/>
      </w:pPr>
      <w:rPr>
        <w:rFonts w:ascii="Wingdings" w:hAnsi="Wingdings"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4" w15:restartNumberingAfterBreak="0">
    <w:nsid w:val="466D16F2"/>
    <w:multiLevelType w:val="hybridMultilevel"/>
    <w:tmpl w:val="91FABD74"/>
    <w:lvl w:ilvl="0" w:tplc="B6E28E2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0CA1861"/>
    <w:multiLevelType w:val="hybridMultilevel"/>
    <w:tmpl w:val="010ECF0A"/>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00A319D"/>
    <w:multiLevelType w:val="hybridMultilevel"/>
    <w:tmpl w:val="6A40AD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CB06A3E"/>
    <w:multiLevelType w:val="hybridMultilevel"/>
    <w:tmpl w:val="3A460266"/>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6D4F3F70"/>
    <w:multiLevelType w:val="hybridMultilevel"/>
    <w:tmpl w:val="BFD26F08"/>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15:restartNumberingAfterBreak="0">
    <w:nsid w:val="73567D8D"/>
    <w:multiLevelType w:val="hybridMultilevel"/>
    <w:tmpl w:val="A78A0ADA"/>
    <w:lvl w:ilvl="0" w:tplc="04090009">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15:restartNumberingAfterBreak="0">
    <w:nsid w:val="753B1B7E"/>
    <w:multiLevelType w:val="hybridMultilevel"/>
    <w:tmpl w:val="EA8C9AD8"/>
    <w:lvl w:ilvl="0" w:tplc="04090001">
      <w:start w:val="1"/>
      <w:numFmt w:val="bullet"/>
      <w:lvlText w:val=""/>
      <w:lvlJc w:val="left"/>
      <w:pPr>
        <w:ind w:left="1570" w:hanging="360"/>
      </w:pPr>
      <w:rPr>
        <w:rFonts w:ascii="Symbol" w:hAnsi="Symbol" w:hint="default"/>
      </w:rPr>
    </w:lvl>
    <w:lvl w:ilvl="1" w:tplc="04090003">
      <w:start w:val="1"/>
      <w:numFmt w:val="bullet"/>
      <w:lvlText w:val="o"/>
      <w:lvlJc w:val="left"/>
      <w:pPr>
        <w:ind w:left="2290" w:hanging="360"/>
      </w:pPr>
      <w:rPr>
        <w:rFonts w:ascii="Courier New" w:hAnsi="Courier New" w:cs="Courier New" w:hint="default"/>
      </w:rPr>
    </w:lvl>
    <w:lvl w:ilvl="2" w:tplc="04090005">
      <w:start w:val="1"/>
      <w:numFmt w:val="bullet"/>
      <w:lvlText w:val=""/>
      <w:lvlJc w:val="left"/>
      <w:pPr>
        <w:ind w:left="3010" w:hanging="360"/>
      </w:pPr>
      <w:rPr>
        <w:rFonts w:ascii="Wingdings" w:hAnsi="Wingdings" w:hint="default"/>
      </w:rPr>
    </w:lvl>
    <w:lvl w:ilvl="3" w:tplc="04090001">
      <w:start w:val="1"/>
      <w:numFmt w:val="bullet"/>
      <w:lvlText w:val=""/>
      <w:lvlJc w:val="left"/>
      <w:pPr>
        <w:ind w:left="3730" w:hanging="360"/>
      </w:pPr>
      <w:rPr>
        <w:rFonts w:ascii="Symbol" w:hAnsi="Symbol" w:hint="default"/>
      </w:rPr>
    </w:lvl>
    <w:lvl w:ilvl="4" w:tplc="04090003">
      <w:start w:val="1"/>
      <w:numFmt w:val="bullet"/>
      <w:lvlText w:val="o"/>
      <w:lvlJc w:val="left"/>
      <w:pPr>
        <w:ind w:left="4450" w:hanging="360"/>
      </w:pPr>
      <w:rPr>
        <w:rFonts w:ascii="Courier New" w:hAnsi="Courier New" w:cs="Courier New" w:hint="default"/>
      </w:rPr>
    </w:lvl>
    <w:lvl w:ilvl="5" w:tplc="04090005">
      <w:start w:val="1"/>
      <w:numFmt w:val="bullet"/>
      <w:lvlText w:val=""/>
      <w:lvlJc w:val="left"/>
      <w:pPr>
        <w:ind w:left="5170" w:hanging="360"/>
      </w:pPr>
      <w:rPr>
        <w:rFonts w:ascii="Wingdings" w:hAnsi="Wingdings" w:hint="default"/>
      </w:rPr>
    </w:lvl>
    <w:lvl w:ilvl="6" w:tplc="04090001">
      <w:start w:val="1"/>
      <w:numFmt w:val="bullet"/>
      <w:lvlText w:val=""/>
      <w:lvlJc w:val="left"/>
      <w:pPr>
        <w:ind w:left="5890" w:hanging="360"/>
      </w:pPr>
      <w:rPr>
        <w:rFonts w:ascii="Symbol" w:hAnsi="Symbol" w:hint="default"/>
      </w:rPr>
    </w:lvl>
    <w:lvl w:ilvl="7" w:tplc="04090003">
      <w:start w:val="1"/>
      <w:numFmt w:val="bullet"/>
      <w:lvlText w:val="o"/>
      <w:lvlJc w:val="left"/>
      <w:pPr>
        <w:ind w:left="6610" w:hanging="360"/>
      </w:pPr>
      <w:rPr>
        <w:rFonts w:ascii="Courier New" w:hAnsi="Courier New" w:cs="Courier New" w:hint="default"/>
      </w:rPr>
    </w:lvl>
    <w:lvl w:ilvl="8" w:tplc="04090005">
      <w:start w:val="1"/>
      <w:numFmt w:val="bullet"/>
      <w:lvlText w:val=""/>
      <w:lvlJc w:val="left"/>
      <w:pPr>
        <w:ind w:left="7330" w:hanging="360"/>
      </w:pPr>
      <w:rPr>
        <w:rFonts w:ascii="Wingdings" w:hAnsi="Wingdings" w:hint="default"/>
      </w:rPr>
    </w:lvl>
  </w:abstractNum>
  <w:abstractNum w:abstractNumId="21" w15:restartNumberingAfterBreak="0">
    <w:nsid w:val="7A7F22B0"/>
    <w:multiLevelType w:val="hybridMultilevel"/>
    <w:tmpl w:val="F18E72FA"/>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0"/>
  </w:num>
  <w:num w:numId="5">
    <w:abstractNumId w:val="5"/>
  </w:num>
  <w:num w:numId="6">
    <w:abstractNumId w:val="7"/>
  </w:num>
  <w:num w:numId="7">
    <w:abstractNumId w:val="17"/>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16"/>
  </w:num>
  <w:num w:numId="12">
    <w:abstractNumId w:val="4"/>
  </w:num>
  <w:num w:numId="13">
    <w:abstractNumId w:val="13"/>
  </w:num>
  <w:num w:numId="14">
    <w:abstractNumId w:val="1"/>
  </w:num>
  <w:num w:numId="15">
    <w:abstractNumId w:val="11"/>
  </w:num>
  <w:num w:numId="16">
    <w:abstractNumId w:val="18"/>
  </w:num>
  <w:num w:numId="17">
    <w:abstractNumId w:val="15"/>
  </w:num>
  <w:num w:numId="18">
    <w:abstractNumId w:val="0"/>
  </w:num>
  <w:num w:numId="19">
    <w:abstractNumId w:val="10"/>
  </w:num>
  <w:num w:numId="20">
    <w:abstractNumId w:val="6"/>
  </w:num>
  <w:num w:numId="21">
    <w:abstractNumId w:val="2"/>
  </w:num>
  <w:num w:numId="22">
    <w:abstractNumId w:val="9"/>
  </w:num>
  <w:num w:numId="23">
    <w:abstractNumId w:val="12"/>
  </w:num>
  <w:num w:numId="24">
    <w:abstractNumId w:val="21"/>
  </w:num>
  <w:num w:numId="2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activeWritingStyle w:appName="MSWord" w:lang="en-CA"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D9C"/>
    <w:rsid w:val="000158F9"/>
    <w:rsid w:val="00033F30"/>
    <w:rsid w:val="00035CDD"/>
    <w:rsid w:val="00040083"/>
    <w:rsid w:val="00041ECA"/>
    <w:rsid w:val="00055992"/>
    <w:rsid w:val="00055D4E"/>
    <w:rsid w:val="000820E8"/>
    <w:rsid w:val="000C2EA8"/>
    <w:rsid w:val="001175EE"/>
    <w:rsid w:val="00157CF6"/>
    <w:rsid w:val="00174119"/>
    <w:rsid w:val="00182416"/>
    <w:rsid w:val="00187EB4"/>
    <w:rsid w:val="001A1632"/>
    <w:rsid w:val="001B28A6"/>
    <w:rsid w:val="001F0481"/>
    <w:rsid w:val="001F73A9"/>
    <w:rsid w:val="00200C92"/>
    <w:rsid w:val="0020451E"/>
    <w:rsid w:val="00206B9D"/>
    <w:rsid w:val="0023259C"/>
    <w:rsid w:val="002A4DDD"/>
    <w:rsid w:val="002B0BD7"/>
    <w:rsid w:val="002B0E73"/>
    <w:rsid w:val="002B573D"/>
    <w:rsid w:val="002C5CB2"/>
    <w:rsid w:val="002D13AD"/>
    <w:rsid w:val="002F779F"/>
    <w:rsid w:val="00355B79"/>
    <w:rsid w:val="00371885"/>
    <w:rsid w:val="003B3183"/>
    <w:rsid w:val="003C06AC"/>
    <w:rsid w:val="003D5AB8"/>
    <w:rsid w:val="003E2B87"/>
    <w:rsid w:val="003E7C6C"/>
    <w:rsid w:val="003F7A18"/>
    <w:rsid w:val="00402786"/>
    <w:rsid w:val="004037FF"/>
    <w:rsid w:val="00405895"/>
    <w:rsid w:val="004058DF"/>
    <w:rsid w:val="00443E6F"/>
    <w:rsid w:val="00454CAA"/>
    <w:rsid w:val="004817D8"/>
    <w:rsid w:val="00486F1A"/>
    <w:rsid w:val="00490CB9"/>
    <w:rsid w:val="004A2CE2"/>
    <w:rsid w:val="004A6E68"/>
    <w:rsid w:val="004D5C5F"/>
    <w:rsid w:val="004E3CDA"/>
    <w:rsid w:val="004F4B4D"/>
    <w:rsid w:val="0050216D"/>
    <w:rsid w:val="00503D7E"/>
    <w:rsid w:val="0050778F"/>
    <w:rsid w:val="00527C11"/>
    <w:rsid w:val="00527DE1"/>
    <w:rsid w:val="00535F31"/>
    <w:rsid w:val="005363FA"/>
    <w:rsid w:val="00544FCD"/>
    <w:rsid w:val="0055656A"/>
    <w:rsid w:val="00574D64"/>
    <w:rsid w:val="00591365"/>
    <w:rsid w:val="005B31E4"/>
    <w:rsid w:val="005E7900"/>
    <w:rsid w:val="005F7F32"/>
    <w:rsid w:val="006034F6"/>
    <w:rsid w:val="00607874"/>
    <w:rsid w:val="00607E77"/>
    <w:rsid w:val="00617BB3"/>
    <w:rsid w:val="0063363A"/>
    <w:rsid w:val="00642795"/>
    <w:rsid w:val="00643D47"/>
    <w:rsid w:val="00645CDD"/>
    <w:rsid w:val="006823A7"/>
    <w:rsid w:val="00687EE8"/>
    <w:rsid w:val="0070347F"/>
    <w:rsid w:val="0070678E"/>
    <w:rsid w:val="00734FED"/>
    <w:rsid w:val="0075603E"/>
    <w:rsid w:val="007C2C6A"/>
    <w:rsid w:val="007E0339"/>
    <w:rsid w:val="00807169"/>
    <w:rsid w:val="00831C11"/>
    <w:rsid w:val="008A60B4"/>
    <w:rsid w:val="008B3C31"/>
    <w:rsid w:val="008B64FE"/>
    <w:rsid w:val="008C5040"/>
    <w:rsid w:val="008E1948"/>
    <w:rsid w:val="008E784C"/>
    <w:rsid w:val="00914F85"/>
    <w:rsid w:val="0093132C"/>
    <w:rsid w:val="00935BF7"/>
    <w:rsid w:val="0095442C"/>
    <w:rsid w:val="009729E1"/>
    <w:rsid w:val="00983942"/>
    <w:rsid w:val="009935CA"/>
    <w:rsid w:val="009B38C9"/>
    <w:rsid w:val="009C37E0"/>
    <w:rsid w:val="009E117B"/>
    <w:rsid w:val="009E41F4"/>
    <w:rsid w:val="00A14B66"/>
    <w:rsid w:val="00A306EB"/>
    <w:rsid w:val="00A65CF7"/>
    <w:rsid w:val="00A67534"/>
    <w:rsid w:val="00A81AB4"/>
    <w:rsid w:val="00A851DA"/>
    <w:rsid w:val="00A97E78"/>
    <w:rsid w:val="00AC7D5B"/>
    <w:rsid w:val="00AE1481"/>
    <w:rsid w:val="00AE77C7"/>
    <w:rsid w:val="00B0075B"/>
    <w:rsid w:val="00B0415E"/>
    <w:rsid w:val="00B04678"/>
    <w:rsid w:val="00B5340D"/>
    <w:rsid w:val="00BA2ED2"/>
    <w:rsid w:val="00BC46DF"/>
    <w:rsid w:val="00BE0C52"/>
    <w:rsid w:val="00BF09DB"/>
    <w:rsid w:val="00C03577"/>
    <w:rsid w:val="00C12E47"/>
    <w:rsid w:val="00C53029"/>
    <w:rsid w:val="00C65FEA"/>
    <w:rsid w:val="00CA0AC2"/>
    <w:rsid w:val="00CB4D0A"/>
    <w:rsid w:val="00CC2FB3"/>
    <w:rsid w:val="00CC575A"/>
    <w:rsid w:val="00CD36F0"/>
    <w:rsid w:val="00CF123B"/>
    <w:rsid w:val="00D039AC"/>
    <w:rsid w:val="00D10A0C"/>
    <w:rsid w:val="00D12857"/>
    <w:rsid w:val="00D427DE"/>
    <w:rsid w:val="00D543A9"/>
    <w:rsid w:val="00D5587D"/>
    <w:rsid w:val="00D707CC"/>
    <w:rsid w:val="00D72377"/>
    <w:rsid w:val="00D77E91"/>
    <w:rsid w:val="00D821FE"/>
    <w:rsid w:val="00DB0793"/>
    <w:rsid w:val="00E00821"/>
    <w:rsid w:val="00E04DB4"/>
    <w:rsid w:val="00E30167"/>
    <w:rsid w:val="00E30679"/>
    <w:rsid w:val="00E4597D"/>
    <w:rsid w:val="00E51093"/>
    <w:rsid w:val="00E54832"/>
    <w:rsid w:val="00E56A90"/>
    <w:rsid w:val="00E621F8"/>
    <w:rsid w:val="00E641CC"/>
    <w:rsid w:val="00EA30AB"/>
    <w:rsid w:val="00EB2E91"/>
    <w:rsid w:val="00EB3925"/>
    <w:rsid w:val="00F02148"/>
    <w:rsid w:val="00F164D0"/>
    <w:rsid w:val="00F276E2"/>
    <w:rsid w:val="00F56BD6"/>
    <w:rsid w:val="00F6332A"/>
    <w:rsid w:val="00F73B1F"/>
    <w:rsid w:val="00F96EB3"/>
    <w:rsid w:val="00FB6067"/>
    <w:rsid w:val="00FE45E2"/>
    <w:rsid w:val="00FF7D8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945209-0A23-4A9E-9693-4097C16AE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BA2ED2"/>
    <w:pPr>
      <w:spacing w:after="160" w:line="240" w:lineRule="auto"/>
    </w:pPr>
    <w:rPr>
      <w:sz w:val="20"/>
      <w:szCs w:val="20"/>
      <w:lang w:val="en-CA"/>
    </w:rPr>
  </w:style>
  <w:style w:type="character" w:customStyle="1" w:styleId="CommentTextChar">
    <w:name w:val="Comment Text Char"/>
    <w:basedOn w:val="DefaultParagraphFont"/>
    <w:link w:val="CommentText"/>
    <w:uiPriority w:val="99"/>
    <w:semiHidden/>
    <w:rsid w:val="00BA2ED2"/>
    <w:rPr>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669154">
      <w:bodyDiv w:val="1"/>
      <w:marLeft w:val="0"/>
      <w:marRight w:val="0"/>
      <w:marTop w:val="0"/>
      <w:marBottom w:val="0"/>
      <w:divBdr>
        <w:top w:val="none" w:sz="0" w:space="0" w:color="auto"/>
        <w:left w:val="none" w:sz="0" w:space="0" w:color="auto"/>
        <w:bottom w:val="none" w:sz="0" w:space="0" w:color="auto"/>
        <w:right w:val="none" w:sz="0" w:space="0" w:color="auto"/>
      </w:divBdr>
    </w:div>
    <w:div w:id="1465731698">
      <w:bodyDiv w:val="1"/>
      <w:marLeft w:val="0"/>
      <w:marRight w:val="0"/>
      <w:marTop w:val="0"/>
      <w:marBottom w:val="0"/>
      <w:divBdr>
        <w:top w:val="none" w:sz="0" w:space="0" w:color="auto"/>
        <w:left w:val="none" w:sz="0" w:space="0" w:color="auto"/>
        <w:bottom w:val="none" w:sz="0" w:space="0" w:color="auto"/>
        <w:right w:val="none" w:sz="0" w:space="0" w:color="auto"/>
      </w:divBdr>
    </w:div>
    <w:div w:id="165229496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D2568E1-C1EC-4BC1-B91A-CA8F3E04F393}" type="doc">
      <dgm:prSet loTypeId="urn:microsoft.com/office/officeart/2005/8/layout/radial5" loCatId="cycle" qsTypeId="urn:microsoft.com/office/officeart/2005/8/quickstyle/simple1" qsCatId="simple" csTypeId="urn:microsoft.com/office/officeart/2005/8/colors/accent1_2" csCatId="accent1" phldr="1"/>
      <dgm:spPr/>
      <dgm:t>
        <a:bodyPr/>
        <a:lstStyle/>
        <a:p>
          <a:endParaRPr lang="en-US"/>
        </a:p>
      </dgm:t>
    </dgm:pt>
    <dgm:pt modelId="{F0F90576-E915-414C-A4CF-E1D52B593ABA}">
      <dgm:prSet phldrT="[Text]"/>
      <dgm:spPr/>
      <dgm:t>
        <a:bodyPr/>
        <a:lstStyle/>
        <a:p>
          <a:r>
            <a:rPr lang="en-CA"/>
            <a:t>Project Risk Management Processes</a:t>
          </a:r>
        </a:p>
      </dgm:t>
    </dgm:pt>
    <dgm:pt modelId="{1081B805-02AA-4BF6-BABE-E376B7F76EF2}" type="parTrans" cxnId="{0FC5555A-C109-401D-BA41-30E60A78E068}">
      <dgm:prSet/>
      <dgm:spPr/>
      <dgm:t>
        <a:bodyPr/>
        <a:lstStyle/>
        <a:p>
          <a:endParaRPr lang="en-US"/>
        </a:p>
      </dgm:t>
    </dgm:pt>
    <dgm:pt modelId="{BC4E867F-B6B6-4687-BCE4-3C149033F943}" type="sibTrans" cxnId="{0FC5555A-C109-401D-BA41-30E60A78E068}">
      <dgm:prSet/>
      <dgm:spPr/>
      <dgm:t>
        <a:bodyPr/>
        <a:lstStyle/>
        <a:p>
          <a:endParaRPr lang="en-US"/>
        </a:p>
      </dgm:t>
    </dgm:pt>
    <dgm:pt modelId="{5AB639B4-5812-4C74-917D-5DF52ABAEA71}">
      <dgm:prSet phldrT="[Text]"/>
      <dgm:spPr/>
      <dgm:t>
        <a:bodyPr/>
        <a:lstStyle/>
        <a:p>
          <a:r>
            <a:rPr lang="en-CA"/>
            <a:t>Risk Monitoring and Control</a:t>
          </a:r>
          <a:endParaRPr lang="en-US"/>
        </a:p>
      </dgm:t>
    </dgm:pt>
    <dgm:pt modelId="{3A22415F-ED4D-4220-9BAD-7E816197F762}" type="parTrans" cxnId="{94CB3F2B-E822-4914-9BD3-E9904603E3AA}">
      <dgm:prSet/>
      <dgm:spPr/>
      <dgm:t>
        <a:bodyPr/>
        <a:lstStyle/>
        <a:p>
          <a:endParaRPr lang="en-US"/>
        </a:p>
      </dgm:t>
    </dgm:pt>
    <dgm:pt modelId="{80825792-4C39-4807-8A9D-4D739C0F7931}" type="sibTrans" cxnId="{94CB3F2B-E822-4914-9BD3-E9904603E3AA}">
      <dgm:prSet/>
      <dgm:spPr/>
      <dgm:t>
        <a:bodyPr/>
        <a:lstStyle/>
        <a:p>
          <a:endParaRPr lang="en-US"/>
        </a:p>
      </dgm:t>
    </dgm:pt>
    <dgm:pt modelId="{A37B97EC-E4E0-4738-90BD-C424A3D4072F}">
      <dgm:prSet phldrT="[Text]"/>
      <dgm:spPr/>
      <dgm:t>
        <a:bodyPr/>
        <a:lstStyle/>
        <a:p>
          <a:r>
            <a:rPr lang="en-CA"/>
            <a:t>Risk Management Planning</a:t>
          </a:r>
          <a:endParaRPr lang="en-US"/>
        </a:p>
      </dgm:t>
    </dgm:pt>
    <dgm:pt modelId="{0395DF62-685B-43EC-B988-5C6FE2A5671E}" type="parTrans" cxnId="{A76ED468-31DE-4239-AFBB-F15F76015E58}">
      <dgm:prSet/>
      <dgm:spPr/>
      <dgm:t>
        <a:bodyPr/>
        <a:lstStyle/>
        <a:p>
          <a:endParaRPr lang="en-US"/>
        </a:p>
      </dgm:t>
    </dgm:pt>
    <dgm:pt modelId="{4E84ADE4-E7AA-4513-B2B4-76E3C7F31846}" type="sibTrans" cxnId="{A76ED468-31DE-4239-AFBB-F15F76015E58}">
      <dgm:prSet/>
      <dgm:spPr/>
      <dgm:t>
        <a:bodyPr/>
        <a:lstStyle/>
        <a:p>
          <a:endParaRPr lang="en-US"/>
        </a:p>
      </dgm:t>
    </dgm:pt>
    <dgm:pt modelId="{FB024580-F107-4BBA-8873-02B099A61431}">
      <dgm:prSet phldrT="[Text]"/>
      <dgm:spPr/>
      <dgm:t>
        <a:bodyPr/>
        <a:lstStyle/>
        <a:p>
          <a:r>
            <a:rPr lang="en-CA"/>
            <a:t>Qualitative Risk Analysis</a:t>
          </a:r>
          <a:endParaRPr lang="en-US"/>
        </a:p>
      </dgm:t>
    </dgm:pt>
    <dgm:pt modelId="{5F9C64DB-D849-48E9-AE4F-E42DD1DB1B26}" type="parTrans" cxnId="{D14F2E9A-A925-43C9-9A13-3EE1DF175D3F}">
      <dgm:prSet/>
      <dgm:spPr/>
      <dgm:t>
        <a:bodyPr/>
        <a:lstStyle/>
        <a:p>
          <a:endParaRPr lang="en-US"/>
        </a:p>
      </dgm:t>
    </dgm:pt>
    <dgm:pt modelId="{9156D96C-56E6-4D3E-BDDC-B6A25C7BA733}" type="sibTrans" cxnId="{D14F2E9A-A925-43C9-9A13-3EE1DF175D3F}">
      <dgm:prSet/>
      <dgm:spPr/>
      <dgm:t>
        <a:bodyPr/>
        <a:lstStyle/>
        <a:p>
          <a:endParaRPr lang="en-US"/>
        </a:p>
      </dgm:t>
    </dgm:pt>
    <dgm:pt modelId="{92D3C24F-D99F-4287-8E7D-724A43A4D887}">
      <dgm:prSet phldrT="[Text]"/>
      <dgm:spPr/>
      <dgm:t>
        <a:bodyPr/>
        <a:lstStyle/>
        <a:p>
          <a:r>
            <a:rPr lang="en-CA"/>
            <a:t>Quantitative Risk Analysis</a:t>
          </a:r>
          <a:endParaRPr lang="en-US"/>
        </a:p>
      </dgm:t>
    </dgm:pt>
    <dgm:pt modelId="{79B29451-9064-48C6-B77D-7A53BD9816EC}" type="parTrans" cxnId="{1B7B4ABC-E157-4AAD-BC35-189A420D0D65}">
      <dgm:prSet/>
      <dgm:spPr/>
      <dgm:t>
        <a:bodyPr/>
        <a:lstStyle/>
        <a:p>
          <a:endParaRPr lang="en-US"/>
        </a:p>
      </dgm:t>
    </dgm:pt>
    <dgm:pt modelId="{9F0E61B2-53CE-4ECD-AAE2-D0B18D1FB90F}" type="sibTrans" cxnId="{1B7B4ABC-E157-4AAD-BC35-189A420D0D65}">
      <dgm:prSet/>
      <dgm:spPr/>
      <dgm:t>
        <a:bodyPr/>
        <a:lstStyle/>
        <a:p>
          <a:endParaRPr lang="en-US"/>
        </a:p>
      </dgm:t>
    </dgm:pt>
    <dgm:pt modelId="{AE349EFC-55B8-423E-AC6A-206624AB085A}">
      <dgm:prSet/>
      <dgm:spPr/>
      <dgm:t>
        <a:bodyPr/>
        <a:lstStyle/>
        <a:p>
          <a:r>
            <a:rPr lang="en-CA"/>
            <a:t>Risk Identification</a:t>
          </a:r>
          <a:endParaRPr lang="en-US"/>
        </a:p>
      </dgm:t>
    </dgm:pt>
    <dgm:pt modelId="{749FB586-0074-4FDA-8869-FC4C37D75EB5}" type="parTrans" cxnId="{D76313CD-A791-471C-8C79-E198CDD04F9A}">
      <dgm:prSet/>
      <dgm:spPr/>
      <dgm:t>
        <a:bodyPr/>
        <a:lstStyle/>
        <a:p>
          <a:endParaRPr lang="en-US"/>
        </a:p>
      </dgm:t>
    </dgm:pt>
    <dgm:pt modelId="{D6CFA65E-8342-46C2-8BD8-B1663ABBA0B4}" type="sibTrans" cxnId="{D76313CD-A791-471C-8C79-E198CDD04F9A}">
      <dgm:prSet/>
      <dgm:spPr/>
      <dgm:t>
        <a:bodyPr/>
        <a:lstStyle/>
        <a:p>
          <a:endParaRPr lang="en-US"/>
        </a:p>
      </dgm:t>
    </dgm:pt>
    <dgm:pt modelId="{9BC47119-8DFE-4547-BDDD-067041DA60E0}">
      <dgm:prSet phldrT="[Text]"/>
      <dgm:spPr/>
      <dgm:t>
        <a:bodyPr/>
        <a:lstStyle/>
        <a:p>
          <a:endParaRPr lang="en-US"/>
        </a:p>
      </dgm:t>
    </dgm:pt>
    <dgm:pt modelId="{53D02E88-5F52-42C7-9A1E-CDA3298C6EA1}" type="parTrans" cxnId="{60038B69-BE73-45E7-9C0E-37BC9DB10E06}">
      <dgm:prSet/>
      <dgm:spPr/>
      <dgm:t>
        <a:bodyPr/>
        <a:lstStyle/>
        <a:p>
          <a:endParaRPr lang="en-US"/>
        </a:p>
      </dgm:t>
    </dgm:pt>
    <dgm:pt modelId="{AC81BC72-E8C4-4407-BDE0-3402681307F9}" type="sibTrans" cxnId="{60038B69-BE73-45E7-9C0E-37BC9DB10E06}">
      <dgm:prSet/>
      <dgm:spPr/>
      <dgm:t>
        <a:bodyPr/>
        <a:lstStyle/>
        <a:p>
          <a:endParaRPr lang="en-US"/>
        </a:p>
      </dgm:t>
    </dgm:pt>
    <dgm:pt modelId="{6147A35C-B415-4AB9-BA40-8993FB453D3A}">
      <dgm:prSet phldrT="[Text]"/>
      <dgm:spPr/>
      <dgm:t>
        <a:bodyPr/>
        <a:lstStyle/>
        <a:p>
          <a:endParaRPr lang="en-US"/>
        </a:p>
      </dgm:t>
    </dgm:pt>
    <dgm:pt modelId="{0597975D-AEC6-47F9-BB77-3E5D982466CB}" type="parTrans" cxnId="{BB366AA0-2439-4221-A399-F2C8FEB22E24}">
      <dgm:prSet/>
      <dgm:spPr/>
      <dgm:t>
        <a:bodyPr/>
        <a:lstStyle/>
        <a:p>
          <a:endParaRPr lang="en-US"/>
        </a:p>
      </dgm:t>
    </dgm:pt>
    <dgm:pt modelId="{412924FD-CD8D-4E05-A31A-6D1FCED5B3EB}" type="sibTrans" cxnId="{BB366AA0-2439-4221-A399-F2C8FEB22E24}">
      <dgm:prSet/>
      <dgm:spPr/>
      <dgm:t>
        <a:bodyPr/>
        <a:lstStyle/>
        <a:p>
          <a:endParaRPr lang="en-US"/>
        </a:p>
      </dgm:t>
    </dgm:pt>
    <dgm:pt modelId="{855C9746-353C-4C6B-BB5F-F266E8A3DD85}">
      <dgm:prSet phldrT="[Text]"/>
      <dgm:spPr/>
      <dgm:t>
        <a:bodyPr/>
        <a:lstStyle/>
        <a:p>
          <a:endParaRPr lang="en-US"/>
        </a:p>
      </dgm:t>
    </dgm:pt>
    <dgm:pt modelId="{55D33F8D-5A04-452E-855E-5747CEBCBDF0}" type="parTrans" cxnId="{AAADBFD8-03ED-4B64-9B57-8EF222AD24C5}">
      <dgm:prSet/>
      <dgm:spPr/>
      <dgm:t>
        <a:bodyPr/>
        <a:lstStyle/>
        <a:p>
          <a:endParaRPr lang="en-US"/>
        </a:p>
      </dgm:t>
    </dgm:pt>
    <dgm:pt modelId="{C38DAA6D-BF82-4BBB-A1CF-EFA05473BAF0}" type="sibTrans" cxnId="{AAADBFD8-03ED-4B64-9B57-8EF222AD24C5}">
      <dgm:prSet/>
      <dgm:spPr/>
      <dgm:t>
        <a:bodyPr/>
        <a:lstStyle/>
        <a:p>
          <a:endParaRPr lang="en-US"/>
        </a:p>
      </dgm:t>
    </dgm:pt>
    <dgm:pt modelId="{6188AC6E-B866-4EE9-85EA-BFD79BEBFF68}">
      <dgm:prSet/>
      <dgm:spPr/>
      <dgm:t>
        <a:bodyPr/>
        <a:lstStyle/>
        <a:p>
          <a:r>
            <a:rPr lang="en-CA"/>
            <a:t>Risk Response Planning</a:t>
          </a:r>
          <a:endParaRPr lang="en-US"/>
        </a:p>
      </dgm:t>
    </dgm:pt>
    <dgm:pt modelId="{67047171-2F9C-4768-8386-2ABDFE3631EE}" type="parTrans" cxnId="{0D731E73-7C73-400A-8B57-FA3285374ABB}">
      <dgm:prSet/>
      <dgm:spPr/>
      <dgm:t>
        <a:bodyPr/>
        <a:lstStyle/>
        <a:p>
          <a:endParaRPr lang="en-US"/>
        </a:p>
      </dgm:t>
    </dgm:pt>
    <dgm:pt modelId="{1F7416A5-F370-4374-BEA3-1B1557501CEF}" type="sibTrans" cxnId="{0D731E73-7C73-400A-8B57-FA3285374ABB}">
      <dgm:prSet/>
      <dgm:spPr/>
      <dgm:t>
        <a:bodyPr/>
        <a:lstStyle/>
        <a:p>
          <a:endParaRPr lang="en-US"/>
        </a:p>
      </dgm:t>
    </dgm:pt>
    <dgm:pt modelId="{8E557EB3-FC98-490B-81E1-7EE45D67A9F1}">
      <dgm:prSet/>
      <dgm:spPr/>
      <dgm:t>
        <a:bodyPr/>
        <a:lstStyle/>
        <a:p>
          <a:endParaRPr lang="en-US"/>
        </a:p>
      </dgm:t>
    </dgm:pt>
    <dgm:pt modelId="{CC1F32A2-BC09-41F9-98AE-CB952A51697C}" type="parTrans" cxnId="{476BC87D-DA90-4C5A-BC6D-CB6FEC2F79B8}">
      <dgm:prSet/>
      <dgm:spPr/>
      <dgm:t>
        <a:bodyPr/>
        <a:lstStyle/>
        <a:p>
          <a:endParaRPr lang="en-US"/>
        </a:p>
      </dgm:t>
    </dgm:pt>
    <dgm:pt modelId="{5CA6F518-D03B-468C-B624-656BE859B02C}" type="sibTrans" cxnId="{476BC87D-DA90-4C5A-BC6D-CB6FEC2F79B8}">
      <dgm:prSet/>
      <dgm:spPr/>
      <dgm:t>
        <a:bodyPr/>
        <a:lstStyle/>
        <a:p>
          <a:endParaRPr lang="en-US"/>
        </a:p>
      </dgm:t>
    </dgm:pt>
    <dgm:pt modelId="{D715BD12-4A1E-4B27-8DF5-F78BB9BD8B60}" type="pres">
      <dgm:prSet presAssocID="{1D2568E1-C1EC-4BC1-B91A-CA8F3E04F393}" presName="Name0" presStyleCnt="0">
        <dgm:presLayoutVars>
          <dgm:chMax val="1"/>
          <dgm:dir/>
          <dgm:animLvl val="ctr"/>
          <dgm:resizeHandles val="exact"/>
        </dgm:presLayoutVars>
      </dgm:prSet>
      <dgm:spPr/>
      <dgm:t>
        <a:bodyPr/>
        <a:lstStyle/>
        <a:p>
          <a:endParaRPr lang="en-US"/>
        </a:p>
      </dgm:t>
    </dgm:pt>
    <dgm:pt modelId="{9222AD56-55BD-4DC8-A766-1B3400EA4FCB}" type="pres">
      <dgm:prSet presAssocID="{F0F90576-E915-414C-A4CF-E1D52B593ABA}" presName="centerShape" presStyleLbl="node0" presStyleIdx="0" presStyleCnt="1"/>
      <dgm:spPr/>
      <dgm:t>
        <a:bodyPr/>
        <a:lstStyle/>
        <a:p>
          <a:endParaRPr lang="en-US"/>
        </a:p>
      </dgm:t>
    </dgm:pt>
    <dgm:pt modelId="{07F9F23D-3642-4D59-928F-0F8F8CC9D462}" type="pres">
      <dgm:prSet presAssocID="{3A22415F-ED4D-4220-9BAD-7E816197F762}" presName="parTrans" presStyleLbl="sibTrans2D1" presStyleIdx="0" presStyleCnt="6"/>
      <dgm:spPr/>
      <dgm:t>
        <a:bodyPr/>
        <a:lstStyle/>
        <a:p>
          <a:endParaRPr lang="en-US"/>
        </a:p>
      </dgm:t>
    </dgm:pt>
    <dgm:pt modelId="{8730E9A8-F367-4CC1-93D4-18B081CE14C6}" type="pres">
      <dgm:prSet presAssocID="{3A22415F-ED4D-4220-9BAD-7E816197F762}" presName="connectorText" presStyleLbl="sibTrans2D1" presStyleIdx="0" presStyleCnt="6"/>
      <dgm:spPr/>
      <dgm:t>
        <a:bodyPr/>
        <a:lstStyle/>
        <a:p>
          <a:endParaRPr lang="en-US"/>
        </a:p>
      </dgm:t>
    </dgm:pt>
    <dgm:pt modelId="{1461B4D1-91AD-42F7-B47B-0FCB158A902C}" type="pres">
      <dgm:prSet presAssocID="{5AB639B4-5812-4C74-917D-5DF52ABAEA71}" presName="node" presStyleLbl="node1" presStyleIdx="0" presStyleCnt="6">
        <dgm:presLayoutVars>
          <dgm:bulletEnabled val="1"/>
        </dgm:presLayoutVars>
      </dgm:prSet>
      <dgm:spPr/>
      <dgm:t>
        <a:bodyPr/>
        <a:lstStyle/>
        <a:p>
          <a:endParaRPr lang="en-US"/>
        </a:p>
      </dgm:t>
    </dgm:pt>
    <dgm:pt modelId="{AC8CA968-0393-4193-A9A4-50CA74DCB50C}" type="pres">
      <dgm:prSet presAssocID="{0395DF62-685B-43EC-B988-5C6FE2A5671E}" presName="parTrans" presStyleLbl="sibTrans2D1" presStyleIdx="1" presStyleCnt="6"/>
      <dgm:spPr/>
      <dgm:t>
        <a:bodyPr/>
        <a:lstStyle/>
        <a:p>
          <a:endParaRPr lang="en-US"/>
        </a:p>
      </dgm:t>
    </dgm:pt>
    <dgm:pt modelId="{5B62F44B-B674-4264-B42E-46E170249D7E}" type="pres">
      <dgm:prSet presAssocID="{0395DF62-685B-43EC-B988-5C6FE2A5671E}" presName="connectorText" presStyleLbl="sibTrans2D1" presStyleIdx="1" presStyleCnt="6"/>
      <dgm:spPr/>
      <dgm:t>
        <a:bodyPr/>
        <a:lstStyle/>
        <a:p>
          <a:endParaRPr lang="en-US"/>
        </a:p>
      </dgm:t>
    </dgm:pt>
    <dgm:pt modelId="{53BCA392-6219-4DB7-A67D-5EE4D50E4ADC}" type="pres">
      <dgm:prSet presAssocID="{A37B97EC-E4E0-4738-90BD-C424A3D4072F}" presName="node" presStyleLbl="node1" presStyleIdx="1" presStyleCnt="6">
        <dgm:presLayoutVars>
          <dgm:bulletEnabled val="1"/>
        </dgm:presLayoutVars>
      </dgm:prSet>
      <dgm:spPr/>
      <dgm:t>
        <a:bodyPr/>
        <a:lstStyle/>
        <a:p>
          <a:endParaRPr lang="en-US"/>
        </a:p>
      </dgm:t>
    </dgm:pt>
    <dgm:pt modelId="{E4751859-C327-4D43-9588-6C5FE3DC5161}" type="pres">
      <dgm:prSet presAssocID="{749FB586-0074-4FDA-8869-FC4C37D75EB5}" presName="parTrans" presStyleLbl="sibTrans2D1" presStyleIdx="2" presStyleCnt="6"/>
      <dgm:spPr/>
      <dgm:t>
        <a:bodyPr/>
        <a:lstStyle/>
        <a:p>
          <a:endParaRPr lang="en-US"/>
        </a:p>
      </dgm:t>
    </dgm:pt>
    <dgm:pt modelId="{3958E368-6B3E-4C71-8AD0-B5C51A13C346}" type="pres">
      <dgm:prSet presAssocID="{749FB586-0074-4FDA-8869-FC4C37D75EB5}" presName="connectorText" presStyleLbl="sibTrans2D1" presStyleIdx="2" presStyleCnt="6"/>
      <dgm:spPr/>
      <dgm:t>
        <a:bodyPr/>
        <a:lstStyle/>
        <a:p>
          <a:endParaRPr lang="en-US"/>
        </a:p>
      </dgm:t>
    </dgm:pt>
    <dgm:pt modelId="{3DCB23BA-73CA-4B46-B57E-6AB159BE1C01}" type="pres">
      <dgm:prSet presAssocID="{AE349EFC-55B8-423E-AC6A-206624AB085A}" presName="node" presStyleLbl="node1" presStyleIdx="2" presStyleCnt="6">
        <dgm:presLayoutVars>
          <dgm:bulletEnabled val="1"/>
        </dgm:presLayoutVars>
      </dgm:prSet>
      <dgm:spPr/>
      <dgm:t>
        <a:bodyPr/>
        <a:lstStyle/>
        <a:p>
          <a:endParaRPr lang="en-US"/>
        </a:p>
      </dgm:t>
    </dgm:pt>
    <dgm:pt modelId="{0C7F6985-37FC-46BF-A681-700BEEE69584}" type="pres">
      <dgm:prSet presAssocID="{5F9C64DB-D849-48E9-AE4F-E42DD1DB1B26}" presName="parTrans" presStyleLbl="sibTrans2D1" presStyleIdx="3" presStyleCnt="6"/>
      <dgm:spPr/>
      <dgm:t>
        <a:bodyPr/>
        <a:lstStyle/>
        <a:p>
          <a:endParaRPr lang="en-US"/>
        </a:p>
      </dgm:t>
    </dgm:pt>
    <dgm:pt modelId="{3BE3615C-6756-40E3-8397-15233167590C}" type="pres">
      <dgm:prSet presAssocID="{5F9C64DB-D849-48E9-AE4F-E42DD1DB1B26}" presName="connectorText" presStyleLbl="sibTrans2D1" presStyleIdx="3" presStyleCnt="6"/>
      <dgm:spPr/>
      <dgm:t>
        <a:bodyPr/>
        <a:lstStyle/>
        <a:p>
          <a:endParaRPr lang="en-US"/>
        </a:p>
      </dgm:t>
    </dgm:pt>
    <dgm:pt modelId="{AD2D8EC0-FA78-49C6-AE9F-D1C47B604CC6}" type="pres">
      <dgm:prSet presAssocID="{FB024580-F107-4BBA-8873-02B099A61431}" presName="node" presStyleLbl="node1" presStyleIdx="3" presStyleCnt="6">
        <dgm:presLayoutVars>
          <dgm:bulletEnabled val="1"/>
        </dgm:presLayoutVars>
      </dgm:prSet>
      <dgm:spPr/>
      <dgm:t>
        <a:bodyPr/>
        <a:lstStyle/>
        <a:p>
          <a:endParaRPr lang="en-US"/>
        </a:p>
      </dgm:t>
    </dgm:pt>
    <dgm:pt modelId="{3E326C12-F9B9-4F8C-BFC0-ADEA65B6CF30}" type="pres">
      <dgm:prSet presAssocID="{79B29451-9064-48C6-B77D-7A53BD9816EC}" presName="parTrans" presStyleLbl="sibTrans2D1" presStyleIdx="4" presStyleCnt="6"/>
      <dgm:spPr/>
      <dgm:t>
        <a:bodyPr/>
        <a:lstStyle/>
        <a:p>
          <a:endParaRPr lang="en-US"/>
        </a:p>
      </dgm:t>
    </dgm:pt>
    <dgm:pt modelId="{6B89B095-A2D1-4E62-B6C8-43B1B12C8156}" type="pres">
      <dgm:prSet presAssocID="{79B29451-9064-48C6-B77D-7A53BD9816EC}" presName="connectorText" presStyleLbl="sibTrans2D1" presStyleIdx="4" presStyleCnt="6"/>
      <dgm:spPr/>
      <dgm:t>
        <a:bodyPr/>
        <a:lstStyle/>
        <a:p>
          <a:endParaRPr lang="en-US"/>
        </a:p>
      </dgm:t>
    </dgm:pt>
    <dgm:pt modelId="{C9BE67C2-CBA4-42E1-A523-F0A34F148896}" type="pres">
      <dgm:prSet presAssocID="{92D3C24F-D99F-4287-8E7D-724A43A4D887}" presName="node" presStyleLbl="node1" presStyleIdx="4" presStyleCnt="6">
        <dgm:presLayoutVars>
          <dgm:bulletEnabled val="1"/>
        </dgm:presLayoutVars>
      </dgm:prSet>
      <dgm:spPr/>
      <dgm:t>
        <a:bodyPr/>
        <a:lstStyle/>
        <a:p>
          <a:endParaRPr lang="en-US"/>
        </a:p>
      </dgm:t>
    </dgm:pt>
    <dgm:pt modelId="{7B9C8822-0EA0-4AC9-9C71-02EB2611F9B3}" type="pres">
      <dgm:prSet presAssocID="{67047171-2F9C-4768-8386-2ABDFE3631EE}" presName="parTrans" presStyleLbl="sibTrans2D1" presStyleIdx="5" presStyleCnt="6"/>
      <dgm:spPr/>
      <dgm:t>
        <a:bodyPr/>
        <a:lstStyle/>
        <a:p>
          <a:endParaRPr lang="en-US"/>
        </a:p>
      </dgm:t>
    </dgm:pt>
    <dgm:pt modelId="{BD828D9F-0920-48AD-A0A1-6BD642C60F72}" type="pres">
      <dgm:prSet presAssocID="{67047171-2F9C-4768-8386-2ABDFE3631EE}" presName="connectorText" presStyleLbl="sibTrans2D1" presStyleIdx="5" presStyleCnt="6"/>
      <dgm:spPr/>
      <dgm:t>
        <a:bodyPr/>
        <a:lstStyle/>
        <a:p>
          <a:endParaRPr lang="en-US"/>
        </a:p>
      </dgm:t>
    </dgm:pt>
    <dgm:pt modelId="{3F4E80D1-69AA-4ACE-BD28-D34BFAD35080}" type="pres">
      <dgm:prSet presAssocID="{6188AC6E-B866-4EE9-85EA-BFD79BEBFF68}" presName="node" presStyleLbl="node1" presStyleIdx="5" presStyleCnt="6">
        <dgm:presLayoutVars>
          <dgm:bulletEnabled val="1"/>
        </dgm:presLayoutVars>
      </dgm:prSet>
      <dgm:spPr/>
      <dgm:t>
        <a:bodyPr/>
        <a:lstStyle/>
        <a:p>
          <a:endParaRPr lang="en-US"/>
        </a:p>
      </dgm:t>
    </dgm:pt>
  </dgm:ptLst>
  <dgm:cxnLst>
    <dgm:cxn modelId="{53D5ED22-7C54-4D83-83CE-51C0B58F73F5}" type="presOf" srcId="{A37B97EC-E4E0-4738-90BD-C424A3D4072F}" destId="{53BCA392-6219-4DB7-A67D-5EE4D50E4ADC}" srcOrd="0" destOrd="0" presId="urn:microsoft.com/office/officeart/2005/8/layout/radial5"/>
    <dgm:cxn modelId="{476BC87D-DA90-4C5A-BC6D-CB6FEC2F79B8}" srcId="{1D2568E1-C1EC-4BC1-B91A-CA8F3E04F393}" destId="{8E557EB3-FC98-490B-81E1-7EE45D67A9F1}" srcOrd="4" destOrd="0" parTransId="{CC1F32A2-BC09-41F9-98AE-CB952A51697C}" sibTransId="{5CA6F518-D03B-468C-B624-656BE859B02C}"/>
    <dgm:cxn modelId="{6AFF720F-0EF2-4216-BA9D-0FCDD886A94D}" type="presOf" srcId="{F0F90576-E915-414C-A4CF-E1D52B593ABA}" destId="{9222AD56-55BD-4DC8-A766-1B3400EA4FCB}" srcOrd="0" destOrd="0" presId="urn:microsoft.com/office/officeart/2005/8/layout/radial5"/>
    <dgm:cxn modelId="{AAADBFD8-03ED-4B64-9B57-8EF222AD24C5}" srcId="{1D2568E1-C1EC-4BC1-B91A-CA8F3E04F393}" destId="{855C9746-353C-4C6B-BB5F-F266E8A3DD85}" srcOrd="3" destOrd="0" parTransId="{55D33F8D-5A04-452E-855E-5747CEBCBDF0}" sibTransId="{C38DAA6D-BF82-4BBB-A1CF-EFA05473BAF0}"/>
    <dgm:cxn modelId="{A109B00E-EC9B-425A-8087-87CB6EE9D695}" type="presOf" srcId="{FB024580-F107-4BBA-8873-02B099A61431}" destId="{AD2D8EC0-FA78-49C6-AE9F-D1C47B604CC6}" srcOrd="0" destOrd="0" presId="urn:microsoft.com/office/officeart/2005/8/layout/radial5"/>
    <dgm:cxn modelId="{94CB3F2B-E822-4914-9BD3-E9904603E3AA}" srcId="{F0F90576-E915-414C-A4CF-E1D52B593ABA}" destId="{5AB639B4-5812-4C74-917D-5DF52ABAEA71}" srcOrd="0" destOrd="0" parTransId="{3A22415F-ED4D-4220-9BAD-7E816197F762}" sibTransId="{80825792-4C39-4807-8A9D-4D739C0F7931}"/>
    <dgm:cxn modelId="{8972208C-3044-4861-AC38-1B11418163CC}" type="presOf" srcId="{67047171-2F9C-4768-8386-2ABDFE3631EE}" destId="{7B9C8822-0EA0-4AC9-9C71-02EB2611F9B3}" srcOrd="0" destOrd="0" presId="urn:microsoft.com/office/officeart/2005/8/layout/radial5"/>
    <dgm:cxn modelId="{0FC5555A-C109-401D-BA41-30E60A78E068}" srcId="{1D2568E1-C1EC-4BC1-B91A-CA8F3E04F393}" destId="{F0F90576-E915-414C-A4CF-E1D52B593ABA}" srcOrd="0" destOrd="0" parTransId="{1081B805-02AA-4BF6-BABE-E376B7F76EF2}" sibTransId="{BC4E867F-B6B6-4687-BCE4-3C149033F943}"/>
    <dgm:cxn modelId="{FFB133B1-9FAE-4E9D-8DEC-EEF0E9189C06}" type="presOf" srcId="{1D2568E1-C1EC-4BC1-B91A-CA8F3E04F393}" destId="{D715BD12-4A1E-4B27-8DF5-F78BB9BD8B60}" srcOrd="0" destOrd="0" presId="urn:microsoft.com/office/officeart/2005/8/layout/radial5"/>
    <dgm:cxn modelId="{BB366AA0-2439-4221-A399-F2C8FEB22E24}" srcId="{1D2568E1-C1EC-4BC1-B91A-CA8F3E04F393}" destId="{6147A35C-B415-4AB9-BA40-8993FB453D3A}" srcOrd="2" destOrd="0" parTransId="{0597975D-AEC6-47F9-BB77-3E5D982466CB}" sibTransId="{412924FD-CD8D-4E05-A31A-6D1FCED5B3EB}"/>
    <dgm:cxn modelId="{D43BE014-F396-4C74-ACAB-EDBE4E2E3261}" type="presOf" srcId="{3A22415F-ED4D-4220-9BAD-7E816197F762}" destId="{07F9F23D-3642-4D59-928F-0F8F8CC9D462}" srcOrd="0" destOrd="0" presId="urn:microsoft.com/office/officeart/2005/8/layout/radial5"/>
    <dgm:cxn modelId="{A76ED468-31DE-4239-AFBB-F15F76015E58}" srcId="{F0F90576-E915-414C-A4CF-E1D52B593ABA}" destId="{A37B97EC-E4E0-4738-90BD-C424A3D4072F}" srcOrd="1" destOrd="0" parTransId="{0395DF62-685B-43EC-B988-5C6FE2A5671E}" sibTransId="{4E84ADE4-E7AA-4513-B2B4-76E3C7F31846}"/>
    <dgm:cxn modelId="{5848A9BC-BD54-4A83-A3EC-13E398B0F35C}" type="presOf" srcId="{749FB586-0074-4FDA-8869-FC4C37D75EB5}" destId="{3958E368-6B3E-4C71-8AD0-B5C51A13C346}" srcOrd="1" destOrd="0" presId="urn:microsoft.com/office/officeart/2005/8/layout/radial5"/>
    <dgm:cxn modelId="{60038B69-BE73-45E7-9C0E-37BC9DB10E06}" srcId="{1D2568E1-C1EC-4BC1-B91A-CA8F3E04F393}" destId="{9BC47119-8DFE-4547-BDDD-067041DA60E0}" srcOrd="1" destOrd="0" parTransId="{53D02E88-5F52-42C7-9A1E-CDA3298C6EA1}" sibTransId="{AC81BC72-E8C4-4407-BDE0-3402681307F9}"/>
    <dgm:cxn modelId="{D76313CD-A791-471C-8C79-E198CDD04F9A}" srcId="{F0F90576-E915-414C-A4CF-E1D52B593ABA}" destId="{AE349EFC-55B8-423E-AC6A-206624AB085A}" srcOrd="2" destOrd="0" parTransId="{749FB586-0074-4FDA-8869-FC4C37D75EB5}" sibTransId="{D6CFA65E-8342-46C2-8BD8-B1663ABBA0B4}"/>
    <dgm:cxn modelId="{1B7B4ABC-E157-4AAD-BC35-189A420D0D65}" srcId="{F0F90576-E915-414C-A4CF-E1D52B593ABA}" destId="{92D3C24F-D99F-4287-8E7D-724A43A4D887}" srcOrd="4" destOrd="0" parTransId="{79B29451-9064-48C6-B77D-7A53BD9816EC}" sibTransId="{9F0E61B2-53CE-4ECD-AAE2-D0B18D1FB90F}"/>
    <dgm:cxn modelId="{6F6EF4E1-70FC-49DE-9E03-DB312B76DEA7}" type="presOf" srcId="{67047171-2F9C-4768-8386-2ABDFE3631EE}" destId="{BD828D9F-0920-48AD-A0A1-6BD642C60F72}" srcOrd="1" destOrd="0" presId="urn:microsoft.com/office/officeart/2005/8/layout/radial5"/>
    <dgm:cxn modelId="{EE73EBD5-1FFF-43F9-91D3-AFF2103DCBDE}" type="presOf" srcId="{5F9C64DB-D849-48E9-AE4F-E42DD1DB1B26}" destId="{3BE3615C-6756-40E3-8397-15233167590C}" srcOrd="1" destOrd="0" presId="urn:microsoft.com/office/officeart/2005/8/layout/radial5"/>
    <dgm:cxn modelId="{2B72FEAA-D8F0-4088-AFCF-CD8260A5C223}" type="presOf" srcId="{92D3C24F-D99F-4287-8E7D-724A43A4D887}" destId="{C9BE67C2-CBA4-42E1-A523-F0A34F148896}" srcOrd="0" destOrd="0" presId="urn:microsoft.com/office/officeart/2005/8/layout/radial5"/>
    <dgm:cxn modelId="{85A9D6C4-29A5-419A-AA34-5619BCEA1AAF}" type="presOf" srcId="{0395DF62-685B-43EC-B988-5C6FE2A5671E}" destId="{AC8CA968-0393-4193-A9A4-50CA74DCB50C}" srcOrd="0" destOrd="0" presId="urn:microsoft.com/office/officeart/2005/8/layout/radial5"/>
    <dgm:cxn modelId="{41410237-28A6-48BD-AE06-A176D33EC3F8}" type="presOf" srcId="{5AB639B4-5812-4C74-917D-5DF52ABAEA71}" destId="{1461B4D1-91AD-42F7-B47B-0FCB158A902C}" srcOrd="0" destOrd="0" presId="urn:microsoft.com/office/officeart/2005/8/layout/radial5"/>
    <dgm:cxn modelId="{4430147E-D39F-4E00-9051-FD0BC46B526E}" type="presOf" srcId="{5F9C64DB-D849-48E9-AE4F-E42DD1DB1B26}" destId="{0C7F6985-37FC-46BF-A681-700BEEE69584}" srcOrd="0" destOrd="0" presId="urn:microsoft.com/office/officeart/2005/8/layout/radial5"/>
    <dgm:cxn modelId="{B96D0297-5DEA-4AA8-8A3C-36BBB31820FC}" type="presOf" srcId="{6188AC6E-B866-4EE9-85EA-BFD79BEBFF68}" destId="{3F4E80D1-69AA-4ACE-BD28-D34BFAD35080}" srcOrd="0" destOrd="0" presId="urn:microsoft.com/office/officeart/2005/8/layout/radial5"/>
    <dgm:cxn modelId="{AF25B069-F3DF-4FFD-84E4-ECB3AF1CDBC6}" type="presOf" srcId="{3A22415F-ED4D-4220-9BAD-7E816197F762}" destId="{8730E9A8-F367-4CC1-93D4-18B081CE14C6}" srcOrd="1" destOrd="0" presId="urn:microsoft.com/office/officeart/2005/8/layout/radial5"/>
    <dgm:cxn modelId="{A229A20C-600C-4BEB-A4A7-4282B6020FA4}" type="presOf" srcId="{79B29451-9064-48C6-B77D-7A53BD9816EC}" destId="{6B89B095-A2D1-4E62-B6C8-43B1B12C8156}" srcOrd="1" destOrd="0" presId="urn:microsoft.com/office/officeart/2005/8/layout/radial5"/>
    <dgm:cxn modelId="{2969916C-D49F-4C90-A676-35E9D95416A3}" type="presOf" srcId="{749FB586-0074-4FDA-8869-FC4C37D75EB5}" destId="{E4751859-C327-4D43-9588-6C5FE3DC5161}" srcOrd="0" destOrd="0" presId="urn:microsoft.com/office/officeart/2005/8/layout/radial5"/>
    <dgm:cxn modelId="{1548B77B-6FBC-4C79-A15E-723F7EFD5B23}" type="presOf" srcId="{AE349EFC-55B8-423E-AC6A-206624AB085A}" destId="{3DCB23BA-73CA-4B46-B57E-6AB159BE1C01}" srcOrd="0" destOrd="0" presId="urn:microsoft.com/office/officeart/2005/8/layout/radial5"/>
    <dgm:cxn modelId="{0D731E73-7C73-400A-8B57-FA3285374ABB}" srcId="{F0F90576-E915-414C-A4CF-E1D52B593ABA}" destId="{6188AC6E-B866-4EE9-85EA-BFD79BEBFF68}" srcOrd="5" destOrd="0" parTransId="{67047171-2F9C-4768-8386-2ABDFE3631EE}" sibTransId="{1F7416A5-F370-4374-BEA3-1B1557501CEF}"/>
    <dgm:cxn modelId="{6BAC7A78-AF57-492D-B72F-77D21915CC33}" type="presOf" srcId="{0395DF62-685B-43EC-B988-5C6FE2A5671E}" destId="{5B62F44B-B674-4264-B42E-46E170249D7E}" srcOrd="1" destOrd="0" presId="urn:microsoft.com/office/officeart/2005/8/layout/radial5"/>
    <dgm:cxn modelId="{B967E2D3-6A56-4D66-BB71-C557263A61FF}" type="presOf" srcId="{79B29451-9064-48C6-B77D-7A53BD9816EC}" destId="{3E326C12-F9B9-4F8C-BFC0-ADEA65B6CF30}" srcOrd="0" destOrd="0" presId="urn:microsoft.com/office/officeart/2005/8/layout/radial5"/>
    <dgm:cxn modelId="{D14F2E9A-A925-43C9-9A13-3EE1DF175D3F}" srcId="{F0F90576-E915-414C-A4CF-E1D52B593ABA}" destId="{FB024580-F107-4BBA-8873-02B099A61431}" srcOrd="3" destOrd="0" parTransId="{5F9C64DB-D849-48E9-AE4F-E42DD1DB1B26}" sibTransId="{9156D96C-56E6-4D3E-BDDC-B6A25C7BA733}"/>
    <dgm:cxn modelId="{9685DFF2-40A9-4D91-8C08-CF2B8467F872}" type="presParOf" srcId="{D715BD12-4A1E-4B27-8DF5-F78BB9BD8B60}" destId="{9222AD56-55BD-4DC8-A766-1B3400EA4FCB}" srcOrd="0" destOrd="0" presId="urn:microsoft.com/office/officeart/2005/8/layout/radial5"/>
    <dgm:cxn modelId="{324D1FB2-8CEA-474B-9135-F1A21ACD2C04}" type="presParOf" srcId="{D715BD12-4A1E-4B27-8DF5-F78BB9BD8B60}" destId="{07F9F23D-3642-4D59-928F-0F8F8CC9D462}" srcOrd="1" destOrd="0" presId="urn:microsoft.com/office/officeart/2005/8/layout/radial5"/>
    <dgm:cxn modelId="{5FCAF716-682B-45FE-80C6-3AE823E20299}" type="presParOf" srcId="{07F9F23D-3642-4D59-928F-0F8F8CC9D462}" destId="{8730E9A8-F367-4CC1-93D4-18B081CE14C6}" srcOrd="0" destOrd="0" presId="urn:microsoft.com/office/officeart/2005/8/layout/radial5"/>
    <dgm:cxn modelId="{39B14AF0-C2AC-4DD8-AA74-653253F2A3CF}" type="presParOf" srcId="{D715BD12-4A1E-4B27-8DF5-F78BB9BD8B60}" destId="{1461B4D1-91AD-42F7-B47B-0FCB158A902C}" srcOrd="2" destOrd="0" presId="urn:microsoft.com/office/officeart/2005/8/layout/radial5"/>
    <dgm:cxn modelId="{E04ACE2F-DDD6-4440-8272-8F43C7F7AA5E}" type="presParOf" srcId="{D715BD12-4A1E-4B27-8DF5-F78BB9BD8B60}" destId="{AC8CA968-0393-4193-A9A4-50CA74DCB50C}" srcOrd="3" destOrd="0" presId="urn:microsoft.com/office/officeart/2005/8/layout/radial5"/>
    <dgm:cxn modelId="{DEB18F7C-7E30-432E-BBB9-99C5A3BF3CA3}" type="presParOf" srcId="{AC8CA968-0393-4193-A9A4-50CA74DCB50C}" destId="{5B62F44B-B674-4264-B42E-46E170249D7E}" srcOrd="0" destOrd="0" presId="urn:microsoft.com/office/officeart/2005/8/layout/radial5"/>
    <dgm:cxn modelId="{F5C629A1-F521-40ED-A92D-DC4C8F8BCBCF}" type="presParOf" srcId="{D715BD12-4A1E-4B27-8DF5-F78BB9BD8B60}" destId="{53BCA392-6219-4DB7-A67D-5EE4D50E4ADC}" srcOrd="4" destOrd="0" presId="urn:microsoft.com/office/officeart/2005/8/layout/radial5"/>
    <dgm:cxn modelId="{2F7A0EF2-8DB0-48A3-A6D3-77688FF851A2}" type="presParOf" srcId="{D715BD12-4A1E-4B27-8DF5-F78BB9BD8B60}" destId="{E4751859-C327-4D43-9588-6C5FE3DC5161}" srcOrd="5" destOrd="0" presId="urn:microsoft.com/office/officeart/2005/8/layout/radial5"/>
    <dgm:cxn modelId="{6B36ED7F-BAC9-46C7-A4D7-FC4F3DBF357E}" type="presParOf" srcId="{E4751859-C327-4D43-9588-6C5FE3DC5161}" destId="{3958E368-6B3E-4C71-8AD0-B5C51A13C346}" srcOrd="0" destOrd="0" presId="urn:microsoft.com/office/officeart/2005/8/layout/radial5"/>
    <dgm:cxn modelId="{9CA8AA7A-F944-4884-8EF3-5B6245CC0A75}" type="presParOf" srcId="{D715BD12-4A1E-4B27-8DF5-F78BB9BD8B60}" destId="{3DCB23BA-73CA-4B46-B57E-6AB159BE1C01}" srcOrd="6" destOrd="0" presId="urn:microsoft.com/office/officeart/2005/8/layout/radial5"/>
    <dgm:cxn modelId="{056E61E0-D775-4FE6-96CA-A23CF71C69ED}" type="presParOf" srcId="{D715BD12-4A1E-4B27-8DF5-F78BB9BD8B60}" destId="{0C7F6985-37FC-46BF-A681-700BEEE69584}" srcOrd="7" destOrd="0" presId="urn:microsoft.com/office/officeart/2005/8/layout/radial5"/>
    <dgm:cxn modelId="{BD459065-8BA5-4953-A86C-3914E84E8347}" type="presParOf" srcId="{0C7F6985-37FC-46BF-A681-700BEEE69584}" destId="{3BE3615C-6756-40E3-8397-15233167590C}" srcOrd="0" destOrd="0" presId="urn:microsoft.com/office/officeart/2005/8/layout/radial5"/>
    <dgm:cxn modelId="{F232D281-CBEF-4FE1-8ADB-E0F3F1A875B5}" type="presParOf" srcId="{D715BD12-4A1E-4B27-8DF5-F78BB9BD8B60}" destId="{AD2D8EC0-FA78-49C6-AE9F-D1C47B604CC6}" srcOrd="8" destOrd="0" presId="urn:microsoft.com/office/officeart/2005/8/layout/radial5"/>
    <dgm:cxn modelId="{59555AA1-2E3C-48AF-BFC8-B65E79A5E03C}" type="presParOf" srcId="{D715BD12-4A1E-4B27-8DF5-F78BB9BD8B60}" destId="{3E326C12-F9B9-4F8C-BFC0-ADEA65B6CF30}" srcOrd="9" destOrd="0" presId="urn:microsoft.com/office/officeart/2005/8/layout/radial5"/>
    <dgm:cxn modelId="{4EFB7CAF-1A09-4F62-9122-9459EB1A98C8}" type="presParOf" srcId="{3E326C12-F9B9-4F8C-BFC0-ADEA65B6CF30}" destId="{6B89B095-A2D1-4E62-B6C8-43B1B12C8156}" srcOrd="0" destOrd="0" presId="urn:microsoft.com/office/officeart/2005/8/layout/radial5"/>
    <dgm:cxn modelId="{359721A2-3701-4F60-AC23-A17156973A1D}" type="presParOf" srcId="{D715BD12-4A1E-4B27-8DF5-F78BB9BD8B60}" destId="{C9BE67C2-CBA4-42E1-A523-F0A34F148896}" srcOrd="10" destOrd="0" presId="urn:microsoft.com/office/officeart/2005/8/layout/radial5"/>
    <dgm:cxn modelId="{327ABCF7-6E29-473A-8570-41DEEEC31685}" type="presParOf" srcId="{D715BD12-4A1E-4B27-8DF5-F78BB9BD8B60}" destId="{7B9C8822-0EA0-4AC9-9C71-02EB2611F9B3}" srcOrd="11" destOrd="0" presId="urn:microsoft.com/office/officeart/2005/8/layout/radial5"/>
    <dgm:cxn modelId="{174C192E-313F-4C83-89FD-1D7621D4E4B6}" type="presParOf" srcId="{7B9C8822-0EA0-4AC9-9C71-02EB2611F9B3}" destId="{BD828D9F-0920-48AD-A0A1-6BD642C60F72}" srcOrd="0" destOrd="0" presId="urn:microsoft.com/office/officeart/2005/8/layout/radial5"/>
    <dgm:cxn modelId="{44074F84-E918-44A1-A549-931F218704DA}" type="presParOf" srcId="{D715BD12-4A1E-4B27-8DF5-F78BB9BD8B60}" destId="{3F4E80D1-69AA-4ACE-BD28-D34BFAD35080}" srcOrd="12" destOrd="0" presId="urn:microsoft.com/office/officeart/2005/8/layout/radial5"/>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22AD56-55BD-4DC8-A766-1B3400EA4FCB}">
      <dsp:nvSpPr>
        <dsp:cNvPr id="0" name=""/>
        <dsp:cNvSpPr/>
      </dsp:nvSpPr>
      <dsp:spPr>
        <a:xfrm>
          <a:off x="2213818" y="1056530"/>
          <a:ext cx="753963" cy="7539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Project Risk Management Processes</a:t>
          </a:r>
        </a:p>
      </dsp:txBody>
      <dsp:txXfrm>
        <a:off x="2324233" y="1166945"/>
        <a:ext cx="533133" cy="533133"/>
      </dsp:txXfrm>
    </dsp:sp>
    <dsp:sp modelId="{07F9F23D-3642-4D59-928F-0F8F8CC9D462}">
      <dsp:nvSpPr>
        <dsp:cNvPr id="0" name=""/>
        <dsp:cNvSpPr/>
      </dsp:nvSpPr>
      <dsp:spPr>
        <a:xfrm rot="16200000">
          <a:off x="2510989" y="782288"/>
          <a:ext cx="159621" cy="2563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534932" y="857500"/>
        <a:ext cx="111735" cy="153809"/>
      </dsp:txXfrm>
    </dsp:sp>
    <dsp:sp modelId="{1461B4D1-91AD-42F7-B47B-0FCB158A902C}">
      <dsp:nvSpPr>
        <dsp:cNvPr id="0" name=""/>
        <dsp:cNvSpPr/>
      </dsp:nvSpPr>
      <dsp:spPr>
        <a:xfrm>
          <a:off x="2213818" y="1394"/>
          <a:ext cx="753963" cy="7539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Risk Monitoring and Control</a:t>
          </a:r>
          <a:endParaRPr lang="en-US" sz="700" kern="1200"/>
        </a:p>
      </dsp:txBody>
      <dsp:txXfrm>
        <a:off x="2324233" y="111809"/>
        <a:ext cx="533133" cy="533133"/>
      </dsp:txXfrm>
    </dsp:sp>
    <dsp:sp modelId="{AC8CA968-0393-4193-A9A4-50CA74DCB50C}">
      <dsp:nvSpPr>
        <dsp:cNvPr id="0" name=""/>
        <dsp:cNvSpPr/>
      </dsp:nvSpPr>
      <dsp:spPr>
        <a:xfrm rot="19800000">
          <a:off x="2963964" y="1043813"/>
          <a:ext cx="159621" cy="2563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967172" y="1107054"/>
        <a:ext cx="111735" cy="153809"/>
      </dsp:txXfrm>
    </dsp:sp>
    <dsp:sp modelId="{53BCA392-6219-4DB7-A67D-5EE4D50E4ADC}">
      <dsp:nvSpPr>
        <dsp:cNvPr id="0" name=""/>
        <dsp:cNvSpPr/>
      </dsp:nvSpPr>
      <dsp:spPr>
        <a:xfrm>
          <a:off x="3127593" y="528962"/>
          <a:ext cx="753963" cy="7539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Risk Management Planning</a:t>
          </a:r>
          <a:endParaRPr lang="en-US" sz="700" kern="1200"/>
        </a:p>
      </dsp:txBody>
      <dsp:txXfrm>
        <a:off x="3238008" y="639377"/>
        <a:ext cx="533133" cy="533133"/>
      </dsp:txXfrm>
    </dsp:sp>
    <dsp:sp modelId="{E4751859-C327-4D43-9588-6C5FE3DC5161}">
      <dsp:nvSpPr>
        <dsp:cNvPr id="0" name=""/>
        <dsp:cNvSpPr/>
      </dsp:nvSpPr>
      <dsp:spPr>
        <a:xfrm rot="1800000">
          <a:off x="2963964" y="1566863"/>
          <a:ext cx="159621" cy="2563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967172" y="1606161"/>
        <a:ext cx="111735" cy="153809"/>
      </dsp:txXfrm>
    </dsp:sp>
    <dsp:sp modelId="{3DCB23BA-73CA-4B46-B57E-6AB159BE1C01}">
      <dsp:nvSpPr>
        <dsp:cNvPr id="0" name=""/>
        <dsp:cNvSpPr/>
      </dsp:nvSpPr>
      <dsp:spPr>
        <a:xfrm>
          <a:off x="3127593" y="1584098"/>
          <a:ext cx="753963" cy="7539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Risk Identification</a:t>
          </a:r>
          <a:endParaRPr lang="en-US" sz="700" kern="1200"/>
        </a:p>
      </dsp:txBody>
      <dsp:txXfrm>
        <a:off x="3238008" y="1694513"/>
        <a:ext cx="533133" cy="533133"/>
      </dsp:txXfrm>
    </dsp:sp>
    <dsp:sp modelId="{0C7F6985-37FC-46BF-A681-700BEEE69584}">
      <dsp:nvSpPr>
        <dsp:cNvPr id="0" name=""/>
        <dsp:cNvSpPr/>
      </dsp:nvSpPr>
      <dsp:spPr>
        <a:xfrm rot="5400000">
          <a:off x="2510989" y="1828389"/>
          <a:ext cx="159621" cy="2563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2534932" y="1855715"/>
        <a:ext cx="111735" cy="153809"/>
      </dsp:txXfrm>
    </dsp:sp>
    <dsp:sp modelId="{AD2D8EC0-FA78-49C6-AE9F-D1C47B604CC6}">
      <dsp:nvSpPr>
        <dsp:cNvPr id="0" name=""/>
        <dsp:cNvSpPr/>
      </dsp:nvSpPr>
      <dsp:spPr>
        <a:xfrm>
          <a:off x="2213818" y="2111667"/>
          <a:ext cx="753963" cy="7539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Qualitative Risk Analysis</a:t>
          </a:r>
          <a:endParaRPr lang="en-US" sz="700" kern="1200"/>
        </a:p>
      </dsp:txBody>
      <dsp:txXfrm>
        <a:off x="2324233" y="2222082"/>
        <a:ext cx="533133" cy="533133"/>
      </dsp:txXfrm>
    </dsp:sp>
    <dsp:sp modelId="{3E326C12-F9B9-4F8C-BFC0-ADEA65B6CF30}">
      <dsp:nvSpPr>
        <dsp:cNvPr id="0" name=""/>
        <dsp:cNvSpPr/>
      </dsp:nvSpPr>
      <dsp:spPr>
        <a:xfrm rot="9000000">
          <a:off x="2058014" y="1566863"/>
          <a:ext cx="159621" cy="2563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2102692" y="1606161"/>
        <a:ext cx="111735" cy="153809"/>
      </dsp:txXfrm>
    </dsp:sp>
    <dsp:sp modelId="{C9BE67C2-CBA4-42E1-A523-F0A34F148896}">
      <dsp:nvSpPr>
        <dsp:cNvPr id="0" name=""/>
        <dsp:cNvSpPr/>
      </dsp:nvSpPr>
      <dsp:spPr>
        <a:xfrm>
          <a:off x="1300043" y="1584098"/>
          <a:ext cx="753963" cy="7539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Quantitative Risk Analysis</a:t>
          </a:r>
          <a:endParaRPr lang="en-US" sz="700" kern="1200"/>
        </a:p>
      </dsp:txBody>
      <dsp:txXfrm>
        <a:off x="1410458" y="1694513"/>
        <a:ext cx="533133" cy="533133"/>
      </dsp:txXfrm>
    </dsp:sp>
    <dsp:sp modelId="{7B9C8822-0EA0-4AC9-9C71-02EB2611F9B3}">
      <dsp:nvSpPr>
        <dsp:cNvPr id="0" name=""/>
        <dsp:cNvSpPr/>
      </dsp:nvSpPr>
      <dsp:spPr>
        <a:xfrm rot="12600000">
          <a:off x="2058014" y="1043813"/>
          <a:ext cx="159621" cy="25634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rot="10800000">
        <a:off x="2102692" y="1107054"/>
        <a:ext cx="111735" cy="153809"/>
      </dsp:txXfrm>
    </dsp:sp>
    <dsp:sp modelId="{3F4E80D1-69AA-4ACE-BD28-D34BFAD35080}">
      <dsp:nvSpPr>
        <dsp:cNvPr id="0" name=""/>
        <dsp:cNvSpPr/>
      </dsp:nvSpPr>
      <dsp:spPr>
        <a:xfrm>
          <a:off x="1300043" y="528962"/>
          <a:ext cx="753963" cy="75396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CA" sz="700" kern="1200"/>
            <a:t>Risk Response Planning</a:t>
          </a:r>
          <a:endParaRPr lang="en-US" sz="700" kern="1200"/>
        </a:p>
      </dsp:txBody>
      <dsp:txXfrm>
        <a:off x="1410458" y="639377"/>
        <a:ext cx="533133" cy="53313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B7F61-8F7C-456F-A0E8-7817AF342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Abdullah</cp:lastModifiedBy>
  <cp:revision>4</cp:revision>
  <dcterms:created xsi:type="dcterms:W3CDTF">2016-10-06T18:23:00Z</dcterms:created>
  <dcterms:modified xsi:type="dcterms:W3CDTF">2016-10-06T18:27:00Z</dcterms:modified>
</cp:coreProperties>
</file>