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numbering.xml" ContentType="application/vnd.openxmlformats-officedocument.wordprocessingml.numbering+xml"/>
  <Override PartName="/word/theme/theme1.xml" ContentType="application/vnd.openxmlformats-officedocument.theme+xml"/>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Default"/>
      </w:pPr>
      <w:r>
        <w:drawing>
          <wp:anchor distT="0" distB="0" distL="0" distR="0" simplePos="0" relativeHeight="251659264" behindDoc="0" locked="0" layoutInCell="1" allowOverlap="1">
            <wp:simplePos x="0" y="0"/>
            <wp:positionH relativeFrom="column">
              <wp:posOffset>-342900</wp:posOffset>
            </wp:positionH>
            <wp:positionV relativeFrom="line">
              <wp:posOffset>-295275</wp:posOffset>
            </wp:positionV>
            <wp:extent cx="2809876" cy="1419226"/>
            <wp:effectExtent l="0" t="0" r="0" b="0"/>
            <wp:wrapNone/>
            <wp:docPr id="1073741825" name="officeArt object" descr="BOLC_Logo"/>
            <wp:cNvGraphicFramePr/>
            <a:graphic xmlns:a="http://schemas.openxmlformats.org/drawingml/2006/main">
              <a:graphicData uri="http://schemas.openxmlformats.org/drawingml/2006/picture">
                <pic:pic xmlns:pic="http://schemas.openxmlformats.org/drawingml/2006/picture">
                  <pic:nvPicPr>
                    <pic:cNvPr id="1073741825" name="image1.png" descr="BOLC_Logo"/>
                    <pic:cNvPicPr>
                      <a:picLocks noChangeAspect="1"/>
                    </pic:cNvPicPr>
                  </pic:nvPicPr>
                  <pic:blipFill>
                    <a:blip r:embed="rId4">
                      <a:extLst/>
                    </a:blip>
                    <a:srcRect l="20320" t="20000" r="23669" b="32001"/>
                    <a:stretch>
                      <a:fillRect/>
                    </a:stretch>
                  </pic:blipFill>
                  <pic:spPr>
                    <a:xfrm>
                      <a:off x="0" y="0"/>
                      <a:ext cx="2809876" cy="1419226"/>
                    </a:xfrm>
                    <a:prstGeom prst="rect">
                      <a:avLst/>
                    </a:prstGeom>
                    <a:ln w="12700" cap="flat">
                      <a:noFill/>
                      <a:miter lim="400000"/>
                    </a:ln>
                    <a:effectLst/>
                  </pic:spPr>
                </pic:pic>
              </a:graphicData>
            </a:graphic>
          </wp:anchor>
        </w:drawing>
      </w:r>
      <w:r>
        <w:rPr>
          <w:rtl w:val="0"/>
        </w:rPr>
        <w:t xml:space="preserve">                                                                  </w:t>
      </w:r>
    </w:p>
    <w:p>
      <w:pPr>
        <w:pStyle w:val="Body"/>
      </w:pPr>
      <w:r>
        <mc:AlternateContent>
          <mc:Choice Requires="wpg">
            <w:drawing>
              <wp:anchor distT="0" distB="0" distL="0" distR="0" simplePos="0" relativeHeight="251660288" behindDoc="0" locked="0" layoutInCell="1" allowOverlap="1">
                <wp:simplePos x="0" y="0"/>
                <wp:positionH relativeFrom="column">
                  <wp:posOffset>2889885</wp:posOffset>
                </wp:positionH>
                <wp:positionV relativeFrom="line">
                  <wp:posOffset>99694</wp:posOffset>
                </wp:positionV>
                <wp:extent cx="3114040" cy="466725"/>
                <wp:effectExtent l="0" t="0" r="0" b="0"/>
                <wp:wrapNone/>
                <wp:docPr id="1073741828" name="officeArt object"/>
                <wp:cNvGraphicFramePr/>
                <a:graphic xmlns:a="http://schemas.openxmlformats.org/drawingml/2006/main">
                  <a:graphicData uri="http://schemas.microsoft.com/office/word/2010/wordprocessingGroup">
                    <wpg:wgp>
                      <wpg:cNvGrpSpPr/>
                      <wpg:grpSpPr>
                        <a:xfrm>
                          <a:off x="0" y="0"/>
                          <a:ext cx="3114040" cy="466725"/>
                          <a:chOff x="0" y="0"/>
                          <a:chExt cx="3114039" cy="466725"/>
                        </a:xfrm>
                      </wpg:grpSpPr>
                      <wps:wsp>
                        <wps:cNvPr id="1073741826" name="Shape 1073741826"/>
                        <wps:cNvSpPr/>
                        <wps:spPr>
                          <a:xfrm>
                            <a:off x="0" y="0"/>
                            <a:ext cx="3114040" cy="466725"/>
                          </a:xfrm>
                          <a:prstGeom prst="rect">
                            <a:avLst/>
                          </a:prstGeom>
                          <a:solidFill>
                            <a:srgbClr val="FFFFFF"/>
                          </a:solidFill>
                          <a:ln w="12700" cap="flat">
                            <a:noFill/>
                            <a:miter lim="400000"/>
                          </a:ln>
                          <a:effectLst/>
                        </wps:spPr>
                        <wps:bodyPr/>
                      </wps:wsp>
                      <wps:wsp>
                        <wps:cNvPr id="1073741827" name="Shape 1073741827"/>
                        <wps:cNvSpPr/>
                        <wps:spPr>
                          <a:xfrm>
                            <a:off x="0" y="0"/>
                            <a:ext cx="3114040" cy="466725"/>
                          </a:xfrm>
                          <a:prstGeom prst="rect">
                            <a:avLst/>
                          </a:prstGeom>
                          <a:noFill/>
                          <a:ln w="12700" cap="flat">
                            <a:noFill/>
                            <a:miter lim="400000"/>
                          </a:ln>
                          <a:effectLst/>
                        </wps:spPr>
                        <wps:txbx>
                          <w:txbxContent>
                            <w:p>
                              <w:pPr>
                                <w:pStyle w:val="Body"/>
                                <w:jc w:val="center"/>
                                <w:rPr>
                                  <w:b w:val="1"/>
                                  <w:bCs w:val="1"/>
                                  <w:color w:val="002060"/>
                                  <w:sz w:val="44"/>
                                  <w:szCs w:val="44"/>
                                  <w:u w:color="002060"/>
                                </w:rPr>
                              </w:pPr>
                              <w:r>
                                <w:rPr>
                                  <w:sz w:val="24"/>
                                  <w:szCs w:val="24"/>
                                  <w:rtl w:val="0"/>
                                  <w:lang w:val="de-DE"/>
                                </w:rPr>
                                <w:t xml:space="preserve">   </w:t>
                              </w:r>
                              <w:r>
                                <w:rPr>
                                  <w:b w:val="1"/>
                                  <w:bCs w:val="1"/>
                                  <w:color w:val="002060"/>
                                  <w:sz w:val="44"/>
                                  <w:szCs w:val="44"/>
                                  <w:u w:color="002060"/>
                                  <w:rtl w:val="0"/>
                                  <w:lang w:val="en-US"/>
                                </w:rPr>
                                <w:t>Assignment Cover Sheet</w:t>
                              </w:r>
                            </w:p>
                          </w:txbxContent>
                        </wps:txbx>
                        <wps:bodyPr wrap="square" lIns="45719" tIns="45719" rIns="45719" bIns="45719" numCol="1" anchor="t">
                          <a:noAutofit/>
                        </wps:bodyPr>
                      </wps:wsp>
                    </wpg:wgp>
                  </a:graphicData>
                </a:graphic>
              </wp:anchor>
            </w:drawing>
          </mc:Choice>
          <mc:Fallback>
            <w:pict>
              <v:group id="_x0000_s1026" style="visibility:visible;position:absolute;margin-left:227.6pt;margin-top:7.8pt;width:245.2pt;height:36.8pt;z-index:251660288;mso-position-horizontal:absolute;mso-position-horizontal-relative:text;mso-position-vertical:absolute;mso-position-vertical-relative:line;mso-wrap-distance-left:0.0pt;mso-wrap-distance-top:0.0pt;mso-wrap-distance-right:0.0pt;mso-wrap-distance-bottom:0.0pt;" coordorigin="0,0" coordsize="3114040,466725">
                <w10:wrap type="none" side="bothSides" anchorx="text"/>
                <v:rect id="_x0000_s1027" style="position:absolute;left:0;top:0;width:3114040;height:466725;">
                  <v:fill color="#FFFFFF" opacity="100.0%" type="solid"/>
                  <v:stroke on="f" weight="1.0pt" dashstyle="solid" endcap="flat" miterlimit="400.0%" joinstyle="miter" linestyle="single" startarrow="none" startarrowwidth="medium" startarrowlength="medium" endarrow="none" endarrowwidth="medium" endarrowlength="medium"/>
                </v:rect>
                <v:rect id="_x0000_s1028" style="position:absolute;left:0;top:0;width:3114040;height:466725;">
                  <v:fill on="f"/>
                  <v:stroke on="f" weight="1.0pt" dashstyle="solid" endcap="flat" miterlimit="400.0%" joinstyle="miter" linestyle="single" startarrow="none" startarrowwidth="medium" startarrowlength="medium" endarrow="none" endarrowwidth="medium" endarrowlength="medium"/>
                  <v:textbox>
                    <w:txbxContent>
                      <w:p>
                        <w:pPr>
                          <w:pStyle w:val="Body"/>
                          <w:jc w:val="center"/>
                          <w:rPr>
                            <w:b w:val="1"/>
                            <w:bCs w:val="1"/>
                            <w:color w:val="002060"/>
                            <w:sz w:val="44"/>
                            <w:szCs w:val="44"/>
                            <w:u w:color="002060"/>
                          </w:rPr>
                        </w:pPr>
                        <w:r>
                          <w:rPr>
                            <w:sz w:val="24"/>
                            <w:szCs w:val="24"/>
                            <w:rtl w:val="0"/>
                            <w:lang w:val="de-DE"/>
                          </w:rPr>
                          <w:t xml:space="preserve">   </w:t>
                        </w:r>
                        <w:r>
                          <w:rPr>
                            <w:b w:val="1"/>
                            <w:bCs w:val="1"/>
                            <w:color w:val="002060"/>
                            <w:sz w:val="44"/>
                            <w:szCs w:val="44"/>
                            <w:u w:color="002060"/>
                            <w:rtl w:val="0"/>
                            <w:lang w:val="en-US"/>
                          </w:rPr>
                          <w:t>Assignment Cover Sheet</w:t>
                        </w:r>
                      </w:p>
                    </w:txbxContent>
                  </v:textbox>
                </v:rect>
              </v:group>
            </w:pict>
          </mc:Fallback>
        </mc:AlternateContent>
      </w:r>
    </w:p>
    <w:p>
      <w:pPr>
        <w:pStyle w:val="Body"/>
        <w:rPr>
          <w:lang w:val="en-US"/>
        </w:rPr>
      </w:pPr>
    </w:p>
    <w:p>
      <w:pPr>
        <w:pStyle w:val="Body"/>
        <w:rPr>
          <w:lang w:val="en-US"/>
        </w:rPr>
      </w:pPr>
    </w:p>
    <w:p>
      <w:pPr>
        <w:pStyle w:val="Body"/>
        <w:rPr>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566"/>
        <w:gridCol w:w="6676"/>
      </w:tblGrid>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Student Name: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Rebecca Daniel Thomas</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Student Number:</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2683</w:t>
            </w:r>
          </w:p>
        </w:tc>
      </w:tr>
      <w:tr>
        <w:tblPrEx>
          <w:shd w:val="clear" w:color="auto" w:fill="ced7e7"/>
        </w:tblPrEx>
        <w:trPr>
          <w:trHeight w:val="29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Course:</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rtl w:val="0"/>
              </w:rPr>
              <w:t>Diploma In Forensic Accounting (Level 4)</w:t>
            </w:r>
          </w:p>
        </w:tc>
      </w:tr>
      <w:tr>
        <w:tblPrEx>
          <w:shd w:val="clear" w:color="auto" w:fill="ced7e7"/>
        </w:tblPrEx>
        <w:trPr>
          <w:trHeight w:val="250" w:hRule="atLeast"/>
        </w:trPr>
        <w:tc>
          <w:tcPr>
            <w:tcW w:type="dxa" w:w="256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Assignment NO:</w:t>
            </w:r>
          </w:p>
        </w:tc>
        <w:tc>
          <w:tcPr>
            <w:tcW w:type="dxa" w:w="66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6</w:t>
            </w:r>
          </w:p>
        </w:tc>
      </w:tr>
    </w:tbl>
    <w:p>
      <w:pPr>
        <w:pStyle w:val="Body"/>
        <w:widowControl w:val="0"/>
        <w:spacing w:line="240" w:lineRule="auto"/>
        <w:rPr>
          <w:lang w:val="en-US"/>
        </w:rPr>
      </w:pPr>
    </w:p>
    <w:p>
      <w:pPr>
        <w:pStyle w:val="Body"/>
        <w:rPr>
          <w:b w:val="1"/>
          <w:bCs w:val="1"/>
          <w:lang w:val="en-US"/>
        </w:rPr>
      </w:pPr>
    </w:p>
    <w:p>
      <w:pPr>
        <w:pStyle w:val="Body"/>
        <w:rPr>
          <w:b w:val="1"/>
          <w:bCs w:val="1"/>
          <w:sz w:val="28"/>
          <w:szCs w:val="28"/>
        </w:rPr>
      </w:pPr>
      <w:r>
        <w:rPr>
          <w:b w:val="1"/>
          <w:bCs w:val="1"/>
          <w:sz w:val="28"/>
          <w:szCs w:val="28"/>
          <w:rtl w:val="0"/>
          <w:lang w:val="en-US"/>
        </w:rPr>
        <w:t>Marking Criteria:</w:t>
      </w:r>
    </w:p>
    <w:p>
      <w:pPr>
        <w:pStyle w:val="Body"/>
      </w:pPr>
      <w:r>
        <w:rPr>
          <w:b w:val="1"/>
          <w:bCs w:val="1"/>
          <w:rtl w:val="0"/>
          <w:lang w:val="en-US"/>
        </w:rPr>
        <w:t xml:space="preserve"> </w:t>
      </w:r>
      <w:r>
        <w:rPr>
          <w:rtl w:val="0"/>
          <w:lang w:val="en-US"/>
        </w:rPr>
        <w:t>We expect the learners to write minimum one well expressed point in three lines against each allocated mark. This means one needs to write 15 lines with 5 well expressed points to get high grades for a 5 marks question.</w:t>
      </w:r>
    </w:p>
    <w:p>
      <w:pPr>
        <w:pStyle w:val="Body"/>
      </w:pPr>
      <w:r>
        <w:rPr>
          <w:rtl w:val="0"/>
          <w:lang w:val="en-US"/>
        </w:rPr>
        <w:t xml:space="preserve">For high grades use examples and illustrations where appropriate. </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9242"/>
      </w:tblGrid>
      <w:tr>
        <w:tblPrEx>
          <w:shd w:val="clear" w:color="auto" w:fill="ced7e7"/>
        </w:tblPrEx>
        <w:trPr>
          <w:trHeight w:val="13800" w:hRule="atLeast"/>
        </w:trPr>
        <w:tc>
          <w:tcPr>
            <w:tcW w:type="dxa" w:w="9242"/>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pStyle w:val="Body"/>
              <w:spacing w:after="0" w:line="240" w:lineRule="auto"/>
              <w:rPr>
                <w:b w:val="1"/>
                <w:bCs w:val="1"/>
                <w:lang w:val="en-US"/>
              </w:rPr>
            </w:pPr>
          </w:p>
          <w:p>
            <w:pPr>
              <w:pStyle w:val="Body A"/>
              <w:spacing w:line="360" w:lineRule="auto"/>
              <w:rPr>
                <w:rFonts w:ascii="Arial" w:cs="Arial" w:hAnsi="Arial" w:eastAsia="Arial"/>
                <w:sz w:val="24"/>
                <w:szCs w:val="24"/>
              </w:rPr>
            </w:pPr>
          </w:p>
          <w:p>
            <w:pPr>
              <w:pStyle w:val="Body A"/>
              <w:spacing w:line="360" w:lineRule="auto"/>
              <w:rPr>
                <w:rFonts w:ascii="Arial" w:cs="Arial" w:hAnsi="Arial" w:eastAsia="Arial"/>
                <w:sz w:val="24"/>
                <w:szCs w:val="24"/>
              </w:rPr>
            </w:pPr>
          </w:p>
          <w:p>
            <w:pPr>
              <w:pStyle w:val="Body A"/>
              <w:spacing w:line="360" w:lineRule="auto"/>
              <w:rPr>
                <w:rFonts w:ascii="Arial" w:cs="Arial" w:hAnsi="Arial" w:eastAsia="Arial"/>
                <w:sz w:val="24"/>
                <w:szCs w:val="24"/>
              </w:rPr>
            </w:pPr>
            <w:r>
              <w:rPr>
                <w:rFonts w:ascii="Arial" w:hAnsi="Arial"/>
                <w:sz w:val="24"/>
                <w:szCs w:val="24"/>
                <w:rtl w:val="0"/>
                <w:lang w:val="en-US"/>
              </w:rPr>
              <w:t xml:space="preserve">1.i) The term </w:t>
            </w:r>
            <w:r>
              <w:rPr>
                <w:rFonts w:ascii="Arial" w:hAnsi="Arial" w:hint="default"/>
                <w:sz w:val="24"/>
                <w:szCs w:val="24"/>
                <w:rtl w:val="0"/>
                <w:lang w:val="en-US"/>
              </w:rPr>
              <w:t>‘</w:t>
            </w:r>
            <w:r>
              <w:rPr>
                <w:rFonts w:ascii="Arial" w:hAnsi="Arial"/>
                <w:sz w:val="24"/>
                <w:szCs w:val="24"/>
                <w:rtl w:val="0"/>
                <w:lang w:val="en-US"/>
              </w:rPr>
              <w:t>best evidence</w:t>
            </w:r>
            <w:r>
              <w:rPr>
                <w:rFonts w:ascii="Arial" w:hAnsi="Arial" w:hint="default"/>
                <w:sz w:val="24"/>
                <w:szCs w:val="24"/>
                <w:rtl w:val="0"/>
                <w:lang w:val="en-US"/>
              </w:rPr>
              <w:t xml:space="preserve">’ </w:t>
            </w:r>
            <w:r>
              <w:rPr>
                <w:rFonts w:ascii="Arial" w:hAnsi="Arial"/>
                <w:sz w:val="24"/>
                <w:szCs w:val="24"/>
                <w:rtl w:val="0"/>
                <w:lang w:val="en-US"/>
              </w:rPr>
              <w:t>means that all evidence submitted to the court by the investigators must be original documents and not copies. If only a copy is available then that copy must be supported with relevant evidence to prove that the contents are accurate.</w:t>
            </w:r>
          </w:p>
          <w:p>
            <w:pPr>
              <w:pStyle w:val="Body A"/>
              <w:spacing w:line="360" w:lineRule="auto"/>
              <w:rPr>
                <w:rFonts w:ascii="Arial" w:cs="Arial" w:hAnsi="Arial" w:eastAsia="Arial"/>
                <w:sz w:val="24"/>
                <w:szCs w:val="24"/>
              </w:rPr>
            </w:pPr>
          </w:p>
          <w:p>
            <w:pPr>
              <w:pStyle w:val="Body A"/>
              <w:spacing w:line="360" w:lineRule="auto"/>
              <w:rPr>
                <w:rFonts w:ascii="Arial" w:cs="Arial" w:hAnsi="Arial" w:eastAsia="Arial"/>
                <w:sz w:val="24"/>
                <w:szCs w:val="24"/>
              </w:rPr>
            </w:pPr>
          </w:p>
          <w:p>
            <w:pPr>
              <w:pStyle w:val="Body A"/>
              <w:spacing w:line="360" w:lineRule="auto"/>
              <w:rPr>
                <w:rFonts w:ascii="Arial" w:cs="Arial" w:hAnsi="Arial" w:eastAsia="Arial"/>
                <w:sz w:val="24"/>
                <w:szCs w:val="24"/>
              </w:rPr>
            </w:pPr>
            <w:r>
              <w:rPr>
                <w:rFonts w:ascii="Arial" w:hAnsi="Arial"/>
                <w:sz w:val="24"/>
                <w:szCs w:val="24"/>
                <w:rtl w:val="0"/>
                <w:lang w:val="en-US"/>
              </w:rPr>
              <w:t xml:space="preserve">1.ii) It is important to keep collected evidence in a documented manner using serial numbers so that everything is arranged in a sequential manner for future reference. </w:t>
            </w:r>
          </w:p>
          <w:p>
            <w:pPr>
              <w:pStyle w:val="Body A"/>
              <w:spacing w:line="360" w:lineRule="auto"/>
              <w:rPr>
                <w:rFonts w:ascii="Arial" w:cs="Arial" w:hAnsi="Arial" w:eastAsia="Arial"/>
                <w:sz w:val="24"/>
                <w:szCs w:val="24"/>
              </w:rPr>
            </w:pPr>
            <w:r>
              <w:rPr>
                <w:rFonts w:ascii="Arial" w:hAnsi="Arial"/>
                <w:sz w:val="24"/>
                <w:szCs w:val="24"/>
                <w:rtl w:val="0"/>
                <w:lang w:val="en-US"/>
              </w:rPr>
              <w:t xml:space="preserve">When evidence has been stolen then the serial numbers will rightly identify what has been stolen and then can find a copy of it on the system to see why it was so important to be stolen. </w:t>
            </w:r>
          </w:p>
          <w:p>
            <w:pPr>
              <w:pStyle w:val="Body A"/>
              <w:spacing w:line="360" w:lineRule="auto"/>
              <w:rPr>
                <w:rFonts w:ascii="Arial" w:cs="Arial" w:hAnsi="Arial" w:eastAsia="Arial"/>
                <w:sz w:val="24"/>
                <w:szCs w:val="24"/>
              </w:rPr>
            </w:pPr>
            <w:r>
              <w:rPr>
                <w:rFonts w:ascii="Arial" w:hAnsi="Arial"/>
                <w:sz w:val="24"/>
                <w:szCs w:val="24"/>
                <w:rtl w:val="0"/>
                <w:lang w:val="en-US"/>
              </w:rPr>
              <w:t>Even when presenting evidence in court, it will be easy for the investigator to prove his case when the evidence is arranged according to its order of importance and relevance.</w:t>
            </w:r>
          </w:p>
          <w:p>
            <w:pPr>
              <w:pStyle w:val="Body A"/>
              <w:spacing w:line="360" w:lineRule="auto"/>
              <w:rPr>
                <w:rFonts w:ascii="Arial" w:cs="Arial" w:hAnsi="Arial" w:eastAsia="Arial"/>
                <w:sz w:val="24"/>
                <w:szCs w:val="24"/>
              </w:rPr>
            </w:pPr>
          </w:p>
          <w:p>
            <w:pPr>
              <w:pStyle w:val="Body A"/>
              <w:spacing w:line="360" w:lineRule="auto"/>
              <w:rPr>
                <w:rFonts w:ascii="Arial" w:cs="Arial" w:hAnsi="Arial" w:eastAsia="Arial"/>
                <w:sz w:val="24"/>
                <w:szCs w:val="24"/>
              </w:rPr>
            </w:pPr>
          </w:p>
          <w:p>
            <w:pPr>
              <w:pStyle w:val="Body A"/>
              <w:spacing w:line="360" w:lineRule="auto"/>
              <w:rPr>
                <w:rFonts w:ascii="Arial" w:cs="Arial" w:hAnsi="Arial" w:eastAsia="Arial"/>
                <w:sz w:val="24"/>
                <w:szCs w:val="24"/>
              </w:rPr>
            </w:pPr>
            <w:r>
              <w:rPr>
                <w:rFonts w:ascii="Arial" w:hAnsi="Arial"/>
                <w:sz w:val="24"/>
                <w:szCs w:val="24"/>
                <w:rtl w:val="0"/>
                <w:lang w:val="en-US"/>
              </w:rPr>
              <w:t>1.iii) The following devices will be useful to collect evidence:</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rtl w:val="0"/>
                <w:lang w:val="en-US"/>
              </w:rPr>
              <w:t xml:space="preserve"> </w:t>
            </w:r>
            <w:r>
              <w:rPr>
                <w:rFonts w:ascii="Arial" w:hAnsi="Arial"/>
                <w:sz w:val="24"/>
                <w:szCs w:val="24"/>
                <w:u w:val="single"/>
                <w:rtl w:val="0"/>
                <w:lang w:val="en-US"/>
              </w:rPr>
              <w:t>Personal Computers:</w:t>
            </w:r>
            <w:r>
              <w:rPr>
                <w:rFonts w:ascii="Arial" w:hAnsi="Arial"/>
                <w:sz w:val="24"/>
                <w:szCs w:val="24"/>
                <w:rtl w:val="0"/>
                <w:lang w:val="en-US"/>
              </w:rPr>
              <w:t xml:space="preserve"> In this digital age, everyone uses a PC or a laptop and it is natural that this device will contain a wealth of information like emails, letters, google searches, phonebook, photos and sometimes even diary entries. </w:t>
            </w:r>
          </w:p>
          <w:p>
            <w:pPr>
              <w:pStyle w:val="Body A"/>
              <w:numPr>
                <w:ilvl w:val="0"/>
                <w:numId w:val="1"/>
              </w:numPr>
              <w:bidi w:val="0"/>
              <w:spacing w:line="360" w:lineRule="auto"/>
              <w:ind w:right="0"/>
              <w:jc w:val="left"/>
              <w:rPr>
                <w:rFonts w:ascii="Arial" w:cs="Arial" w:hAnsi="Arial" w:eastAsia="Arial"/>
                <w:sz w:val="24"/>
                <w:szCs w:val="24"/>
                <w:rtl w:val="0"/>
                <w:lang w:val="en-US"/>
              </w:rPr>
            </w:pPr>
            <w:r>
              <w:rPr>
                <w:rFonts w:ascii="Arial" w:hAnsi="Arial"/>
                <w:sz w:val="24"/>
                <w:szCs w:val="24"/>
                <w:u w:val="single"/>
                <w:rtl w:val="0"/>
                <w:lang w:val="en-US"/>
              </w:rPr>
              <w:t>ID Card Printers:</w:t>
            </w:r>
            <w:r>
              <w:rPr>
                <w:rFonts w:ascii="Arial" w:hAnsi="Arial"/>
                <w:sz w:val="24"/>
                <w:szCs w:val="24"/>
                <w:rtl w:val="0"/>
                <w:lang w:val="en-US"/>
              </w:rPr>
              <w:t xml:space="preserve"> This device is very dangerous device but at the same time very vital to detect fraud because fraudsters usually print out identity cards of different officials with a higher security clearance to gain access to sensitive information. Therefore, the history of this device will show what has been printed and can cross-reference with the HR log to verify if the corresponding request has been placed.</w:t>
            </w:r>
          </w:p>
          <w:p>
            <w:pPr>
              <w:pStyle w:val="Body A"/>
              <w:numPr>
                <w:ilvl w:val="0"/>
                <w:numId w:val="1"/>
              </w:numPr>
              <w:bidi w:val="0"/>
              <w:spacing w:line="360" w:lineRule="auto"/>
              <w:ind w:right="0"/>
              <w:jc w:val="left"/>
              <w:rPr>
                <w:rFonts w:ascii="Arial" w:cs="Arial" w:hAnsi="Arial" w:eastAsia="Arial"/>
                <w:sz w:val="24"/>
                <w:szCs w:val="24"/>
                <w:u w:val="none"/>
                <w:rtl w:val="0"/>
                <w:lang w:val="en-US"/>
              </w:rPr>
            </w:pPr>
            <w:r>
              <w:rPr>
                <w:rFonts w:ascii="Arial" w:hAnsi="Arial"/>
                <w:sz w:val="24"/>
                <w:szCs w:val="24"/>
                <w:u w:val="single"/>
                <w:rtl w:val="0"/>
                <w:lang w:val="en-US"/>
              </w:rPr>
              <w:t xml:space="preserve">Wireless and Cordless Telephones: </w:t>
            </w:r>
            <w:r>
              <w:rPr>
                <w:rFonts w:ascii="Arial" w:hAnsi="Arial"/>
                <w:sz w:val="24"/>
                <w:szCs w:val="24"/>
                <w:u w:val="none"/>
                <w:rtl w:val="0"/>
                <w:lang w:val="en-US"/>
              </w:rPr>
              <w:t>A lot of corporate telephones record conversations a lot of times for training purposes, these recordings can be used to collect evidence.</w:t>
            </w:r>
          </w:p>
          <w:p>
            <w:pPr>
              <w:pStyle w:val="Body A"/>
              <w:spacing w:line="360" w:lineRule="auto"/>
              <w:rPr>
                <w:rFonts w:ascii="Arial" w:cs="Arial" w:hAnsi="Arial" w:eastAsia="Arial"/>
                <w:sz w:val="24"/>
                <w:szCs w:val="24"/>
                <w:u w:val="none"/>
              </w:rPr>
            </w:pPr>
          </w:p>
          <w:p>
            <w:pPr>
              <w:pStyle w:val="Body A"/>
              <w:spacing w:line="360" w:lineRule="auto"/>
              <w:rPr>
                <w:rFonts w:ascii="Arial" w:cs="Arial" w:hAnsi="Arial" w:eastAsia="Arial"/>
                <w:sz w:val="24"/>
                <w:szCs w:val="24"/>
                <w:u w:val="none"/>
              </w:rPr>
            </w:pPr>
          </w:p>
          <w:p>
            <w:pPr>
              <w:pStyle w:val="Body A"/>
              <w:spacing w:line="360" w:lineRule="auto"/>
              <w:rPr>
                <w:rFonts w:ascii="Arial" w:cs="Arial" w:hAnsi="Arial" w:eastAsia="Arial"/>
                <w:sz w:val="24"/>
                <w:szCs w:val="24"/>
                <w:u w:val="none"/>
              </w:rPr>
            </w:pPr>
          </w:p>
          <w:p>
            <w:pPr>
              <w:pStyle w:val="Body A"/>
              <w:spacing w:line="360" w:lineRule="auto"/>
              <w:rPr>
                <w:rFonts w:ascii="Arial" w:cs="Arial" w:hAnsi="Arial" w:eastAsia="Arial"/>
                <w:sz w:val="24"/>
                <w:szCs w:val="24"/>
                <w:u w:val="none"/>
              </w:rPr>
            </w:pPr>
          </w:p>
          <w:p>
            <w:pPr>
              <w:pStyle w:val="Body A"/>
              <w:spacing w:line="360" w:lineRule="auto"/>
              <w:rPr>
                <w:rFonts w:ascii="Arial" w:cs="Arial" w:hAnsi="Arial" w:eastAsia="Arial"/>
                <w:sz w:val="24"/>
                <w:szCs w:val="24"/>
                <w:u w:val="none"/>
              </w:rPr>
            </w:pPr>
            <w:r>
              <w:rPr>
                <w:rFonts w:ascii="Arial" w:hAnsi="Arial"/>
                <w:sz w:val="24"/>
                <w:szCs w:val="24"/>
                <w:u w:val="none"/>
                <w:rtl w:val="0"/>
                <w:lang w:val="en-US"/>
              </w:rPr>
              <w:t>1.iv) The points to be considered are:</w:t>
            </w:r>
          </w:p>
          <w:p>
            <w:pPr>
              <w:pStyle w:val="Body A"/>
              <w:numPr>
                <w:ilvl w:val="0"/>
                <w:numId w:val="1"/>
              </w:numPr>
              <w:bidi w:val="0"/>
              <w:spacing w:line="360" w:lineRule="auto"/>
              <w:ind w:right="0"/>
              <w:jc w:val="left"/>
              <w:rPr>
                <w:rFonts w:ascii="Arial" w:cs="Arial" w:hAnsi="Arial" w:eastAsia="Arial"/>
                <w:sz w:val="24"/>
                <w:szCs w:val="24"/>
                <w:u w:val="none"/>
                <w:rtl w:val="0"/>
                <w:lang w:val="en-US"/>
              </w:rPr>
            </w:pPr>
            <w:r>
              <w:rPr>
                <w:rFonts w:ascii="Arial" w:hAnsi="Arial"/>
                <w:sz w:val="24"/>
                <w:szCs w:val="24"/>
                <w:u w:val="none"/>
                <w:rtl w:val="0"/>
                <w:lang w:val="en-US"/>
              </w:rPr>
              <w:t>Reviewing the client</w:t>
            </w:r>
            <w:r>
              <w:rPr>
                <w:rFonts w:ascii="Arial" w:hAnsi="Arial" w:hint="default"/>
                <w:sz w:val="24"/>
                <w:szCs w:val="24"/>
                <w:u w:val="none"/>
                <w:rtl w:val="0"/>
                <w:lang w:val="en-US"/>
              </w:rPr>
              <w:t>’</w:t>
            </w:r>
            <w:r>
              <w:rPr>
                <w:rFonts w:ascii="Arial" w:hAnsi="Arial"/>
                <w:sz w:val="24"/>
                <w:szCs w:val="24"/>
                <w:u w:val="none"/>
                <w:rtl w:val="0"/>
                <w:lang w:val="en-US"/>
              </w:rPr>
              <w:t>s policy on record retention and ensuring compliance cause investigators do not pick up irrelevant evidence and get sued later on.</w:t>
            </w:r>
          </w:p>
          <w:p>
            <w:pPr>
              <w:pStyle w:val="Body A"/>
              <w:numPr>
                <w:ilvl w:val="0"/>
                <w:numId w:val="1"/>
              </w:numPr>
              <w:bidi w:val="0"/>
              <w:spacing w:line="360" w:lineRule="auto"/>
              <w:ind w:right="0"/>
              <w:jc w:val="left"/>
              <w:rPr>
                <w:rFonts w:ascii="Arial" w:cs="Arial" w:hAnsi="Arial" w:eastAsia="Arial"/>
                <w:sz w:val="24"/>
                <w:szCs w:val="24"/>
                <w:u w:val="none"/>
                <w:rtl w:val="0"/>
                <w:lang w:val="en-US"/>
              </w:rPr>
            </w:pPr>
            <w:r>
              <w:rPr>
                <w:rFonts w:ascii="Arial" w:hAnsi="Arial"/>
                <w:sz w:val="24"/>
                <w:szCs w:val="24"/>
                <w:u w:val="none"/>
                <w:rtl w:val="0"/>
                <w:lang w:val="en-US"/>
              </w:rPr>
              <w:t>Ensuring the existence and storage of employee files, otherwise it would be hard to find out evidence.</w:t>
            </w:r>
          </w:p>
          <w:p>
            <w:pPr>
              <w:pStyle w:val="Body A"/>
              <w:numPr>
                <w:ilvl w:val="0"/>
                <w:numId w:val="1"/>
              </w:numPr>
              <w:bidi w:val="0"/>
              <w:spacing w:line="360" w:lineRule="auto"/>
              <w:ind w:right="0"/>
              <w:jc w:val="left"/>
              <w:rPr>
                <w:rFonts w:ascii="Arial" w:cs="Arial" w:hAnsi="Arial" w:eastAsia="Arial"/>
                <w:sz w:val="24"/>
                <w:szCs w:val="24"/>
                <w:u w:val="none"/>
                <w:rtl w:val="0"/>
                <w:lang w:val="en-US"/>
              </w:rPr>
            </w:pPr>
            <w:r>
              <w:rPr>
                <w:rFonts w:ascii="Arial" w:hAnsi="Arial"/>
                <w:sz w:val="24"/>
                <w:szCs w:val="24"/>
                <w:u w:val="none"/>
                <w:rtl w:val="0"/>
                <w:lang w:val="en-US"/>
              </w:rPr>
              <w:t>Analyzing the organizational hierarchy and understand the reporting structure so that there is clarity in the investigation.</w:t>
            </w:r>
          </w:p>
          <w:p>
            <w:pPr>
              <w:pStyle w:val="Body A"/>
              <w:numPr>
                <w:ilvl w:val="0"/>
                <w:numId w:val="1"/>
              </w:numPr>
              <w:bidi w:val="0"/>
              <w:spacing w:line="360" w:lineRule="auto"/>
              <w:ind w:right="0"/>
              <w:jc w:val="left"/>
              <w:rPr>
                <w:rFonts w:ascii="Arial" w:cs="Arial" w:hAnsi="Arial" w:eastAsia="Arial"/>
                <w:sz w:val="24"/>
                <w:szCs w:val="24"/>
                <w:u w:val="none"/>
                <w:rtl w:val="0"/>
                <w:lang w:val="en-US"/>
              </w:rPr>
            </w:pPr>
            <w:r>
              <w:rPr>
                <w:rFonts w:ascii="Arial" w:hAnsi="Arial"/>
                <w:sz w:val="24"/>
                <w:szCs w:val="24"/>
                <w:u w:val="none"/>
                <w:rtl w:val="0"/>
                <w:lang w:val="en-US"/>
              </w:rPr>
              <w:t>Checking the medium of storage of computerized records on and off site, check who has access to the storage, whether it has been encrypted and the level of access available to the investigators.</w:t>
            </w:r>
          </w:p>
          <w:p>
            <w:pPr>
              <w:pStyle w:val="Body A"/>
              <w:spacing w:line="360" w:lineRule="auto"/>
              <w:rPr>
                <w:rFonts w:ascii="Arial" w:cs="Arial" w:hAnsi="Arial" w:eastAsia="Arial"/>
                <w:sz w:val="24"/>
                <w:szCs w:val="24"/>
                <w:u w:val="none"/>
              </w:rPr>
            </w:pPr>
          </w:p>
          <w:p>
            <w:pPr>
              <w:pStyle w:val="Body A"/>
              <w:spacing w:line="360" w:lineRule="auto"/>
              <w:rPr>
                <w:rFonts w:ascii="Arial" w:cs="Arial" w:hAnsi="Arial" w:eastAsia="Arial"/>
                <w:sz w:val="24"/>
                <w:szCs w:val="24"/>
                <w:u w:val="none"/>
              </w:rPr>
            </w:pPr>
          </w:p>
          <w:p>
            <w:pPr>
              <w:pStyle w:val="Body A"/>
              <w:spacing w:line="360" w:lineRule="auto"/>
              <w:rPr>
                <w:rFonts w:ascii="Arial" w:cs="Arial" w:hAnsi="Arial" w:eastAsia="Arial"/>
                <w:sz w:val="24"/>
                <w:szCs w:val="24"/>
                <w:u w:val="none"/>
              </w:rPr>
            </w:pPr>
            <w:r>
              <w:rPr>
                <w:rFonts w:ascii="Arial" w:hAnsi="Arial"/>
                <w:sz w:val="24"/>
                <w:szCs w:val="24"/>
                <w:u w:val="none"/>
                <w:rtl w:val="0"/>
                <w:lang w:val="en-US"/>
              </w:rPr>
              <w:t xml:space="preserve">1.v) Working papers is the summarized analysis of factual information discovered in the process of investigation and this can serve as a testimony in court. It is basically a list of things that constitute to be solid evidence. The type of information that they contain are: </w:t>
            </w:r>
          </w:p>
          <w:p>
            <w:pPr>
              <w:pStyle w:val="Body A"/>
              <w:numPr>
                <w:ilvl w:val="0"/>
                <w:numId w:val="1"/>
              </w:numPr>
              <w:bidi w:val="0"/>
              <w:spacing w:line="360" w:lineRule="auto"/>
              <w:ind w:right="0"/>
              <w:jc w:val="left"/>
              <w:rPr>
                <w:rFonts w:ascii="Arial" w:cs="Arial" w:hAnsi="Arial" w:eastAsia="Arial"/>
                <w:sz w:val="24"/>
                <w:szCs w:val="24"/>
                <w:u w:val="none"/>
                <w:rtl w:val="0"/>
                <w:lang w:val="en-US"/>
              </w:rPr>
            </w:pPr>
            <w:r>
              <w:rPr>
                <w:rFonts w:ascii="Arial" w:hAnsi="Arial"/>
                <w:sz w:val="24"/>
                <w:szCs w:val="24"/>
                <w:u w:val="none"/>
                <w:rtl w:val="0"/>
                <w:lang w:val="en-US"/>
              </w:rPr>
              <w:t>Accounting records such as financial statements.</w:t>
            </w:r>
          </w:p>
          <w:p>
            <w:pPr>
              <w:pStyle w:val="Body A"/>
              <w:numPr>
                <w:ilvl w:val="0"/>
                <w:numId w:val="1"/>
              </w:numPr>
              <w:bidi w:val="0"/>
              <w:spacing w:line="360" w:lineRule="auto"/>
              <w:ind w:right="0"/>
              <w:jc w:val="left"/>
              <w:rPr>
                <w:rFonts w:ascii="Arial" w:cs="Arial" w:hAnsi="Arial" w:eastAsia="Arial"/>
                <w:sz w:val="24"/>
                <w:szCs w:val="24"/>
                <w:u w:val="none"/>
                <w:rtl w:val="0"/>
                <w:lang w:val="en-US"/>
              </w:rPr>
            </w:pPr>
            <w:r>
              <w:rPr>
                <w:rFonts w:ascii="Arial" w:hAnsi="Arial"/>
                <w:sz w:val="24"/>
                <w:szCs w:val="24"/>
                <w:u w:val="none"/>
                <w:rtl w:val="0"/>
                <w:lang w:val="en-US"/>
              </w:rPr>
              <w:t>Public record searches such as newspaper articles, hobbies, charity work, etc.</w:t>
            </w:r>
          </w:p>
          <w:p>
            <w:pPr>
              <w:pStyle w:val="Body A"/>
              <w:numPr>
                <w:ilvl w:val="0"/>
                <w:numId w:val="1"/>
              </w:numPr>
              <w:bidi w:val="0"/>
              <w:spacing w:line="360" w:lineRule="auto"/>
              <w:ind w:right="0"/>
              <w:jc w:val="left"/>
              <w:rPr>
                <w:rFonts w:ascii="Arial" w:cs="Arial" w:hAnsi="Arial" w:eastAsia="Arial"/>
                <w:sz w:val="24"/>
                <w:szCs w:val="24"/>
                <w:u w:val="none"/>
                <w:rtl w:val="0"/>
                <w:lang w:val="en-US"/>
              </w:rPr>
            </w:pPr>
            <w:r>
              <w:rPr>
                <w:rFonts w:ascii="Arial" w:hAnsi="Arial"/>
                <w:sz w:val="24"/>
                <w:szCs w:val="24"/>
                <w:u w:val="none"/>
                <w:rtl w:val="0"/>
                <w:lang w:val="en-US"/>
              </w:rPr>
              <w:t>Interview notes and audio recordings like notes taken by investigators when interviewing witnesses, suspects and victims.</w:t>
            </w:r>
          </w:p>
          <w:p>
            <w:pPr>
              <w:pStyle w:val="Body A"/>
              <w:numPr>
                <w:ilvl w:val="0"/>
                <w:numId w:val="1"/>
              </w:numPr>
              <w:bidi w:val="0"/>
              <w:spacing w:line="360" w:lineRule="auto"/>
              <w:ind w:right="0"/>
              <w:jc w:val="left"/>
              <w:rPr>
                <w:rFonts w:ascii="Arial" w:cs="Arial" w:hAnsi="Arial" w:eastAsia="Arial"/>
                <w:sz w:val="24"/>
                <w:szCs w:val="24"/>
                <w:u w:val="none"/>
                <w:rtl w:val="0"/>
                <w:lang w:val="en-US"/>
              </w:rPr>
            </w:pPr>
            <w:r>
              <w:rPr>
                <w:rFonts w:ascii="Arial" w:hAnsi="Arial"/>
                <w:sz w:val="24"/>
                <w:szCs w:val="24"/>
                <w:u w:val="none"/>
                <w:rtl w:val="0"/>
                <w:lang w:val="en-US"/>
              </w:rPr>
              <w:t xml:space="preserve">Court pleadings and deposition transcripts. </w:t>
            </w:r>
          </w:p>
          <w:p>
            <w:pPr>
              <w:pStyle w:val="Body A"/>
              <w:spacing w:line="360" w:lineRule="auto"/>
              <w:rPr>
                <w:rFonts w:ascii="Arial" w:cs="Arial" w:hAnsi="Arial" w:eastAsia="Arial"/>
                <w:sz w:val="24"/>
                <w:szCs w:val="24"/>
                <w:u w:val="none"/>
              </w:rPr>
            </w:pPr>
          </w:p>
          <w:p>
            <w:pPr>
              <w:pStyle w:val="Body A"/>
              <w:spacing w:line="360" w:lineRule="auto"/>
              <w:rPr>
                <w:rFonts w:ascii="Arial" w:cs="Arial" w:hAnsi="Arial" w:eastAsia="Arial"/>
                <w:sz w:val="24"/>
                <w:szCs w:val="24"/>
                <w:u w:val="none"/>
              </w:rPr>
            </w:pPr>
          </w:p>
          <w:p>
            <w:pPr>
              <w:pStyle w:val="Body A"/>
              <w:spacing w:line="360" w:lineRule="auto"/>
              <w:rPr>
                <w:rFonts w:ascii="Arial" w:cs="Arial" w:hAnsi="Arial" w:eastAsia="Arial"/>
                <w:sz w:val="24"/>
                <w:szCs w:val="24"/>
                <w:u w:val="none"/>
              </w:rPr>
            </w:pPr>
          </w:p>
          <w:p>
            <w:pPr>
              <w:pStyle w:val="Body A"/>
              <w:spacing w:line="360" w:lineRule="auto"/>
              <w:rPr>
                <w:rFonts w:ascii="Arial" w:cs="Arial" w:hAnsi="Arial" w:eastAsia="Arial"/>
                <w:sz w:val="24"/>
                <w:szCs w:val="24"/>
                <w:u w:val="none"/>
              </w:rPr>
            </w:pPr>
            <w:r>
              <w:rPr>
                <w:rFonts w:ascii="Arial" w:hAnsi="Arial"/>
                <w:sz w:val="24"/>
                <w:szCs w:val="24"/>
                <w:u w:val="none"/>
                <w:rtl w:val="0"/>
                <w:lang w:val="en-US"/>
              </w:rPr>
              <w:t>1.vi) The main steps involved in evidence gathering are:</w:t>
            </w:r>
          </w:p>
          <w:p>
            <w:pPr>
              <w:pStyle w:val="Body A"/>
              <w:numPr>
                <w:ilvl w:val="0"/>
                <w:numId w:val="1"/>
              </w:numPr>
              <w:bidi w:val="0"/>
              <w:spacing w:line="360" w:lineRule="auto"/>
              <w:ind w:right="0"/>
              <w:jc w:val="left"/>
              <w:rPr>
                <w:rFonts w:ascii="Arial" w:cs="Arial" w:hAnsi="Arial" w:eastAsia="Arial"/>
                <w:sz w:val="24"/>
                <w:szCs w:val="24"/>
                <w:u w:val="none"/>
                <w:rtl w:val="0"/>
                <w:lang w:val="en-US"/>
              </w:rPr>
            </w:pPr>
            <w:r>
              <w:rPr>
                <w:rFonts w:ascii="Arial" w:hAnsi="Arial"/>
                <w:sz w:val="24"/>
                <w:szCs w:val="24"/>
                <w:u w:val="single"/>
                <w:rtl w:val="0"/>
                <w:lang w:val="en-US"/>
              </w:rPr>
              <w:t>Document Retention Gathering</w:t>
            </w:r>
            <w:r>
              <w:rPr>
                <w:rFonts w:ascii="Arial" w:hAnsi="Arial"/>
                <w:sz w:val="24"/>
                <w:szCs w:val="24"/>
                <w:u w:val="none"/>
                <w:rtl w:val="0"/>
                <w:lang w:val="en-US"/>
              </w:rPr>
              <w:t>: It is important to preserve evidence during the course of the investigation because transactions keep taking place and there will be modifications. Investigators should have a clear understanding with their clients so that the investigation can be taken forward according to the company</w:t>
            </w:r>
            <w:r>
              <w:rPr>
                <w:rFonts w:ascii="Arial" w:hAnsi="Arial" w:hint="default"/>
                <w:sz w:val="24"/>
                <w:szCs w:val="24"/>
                <w:u w:val="none"/>
                <w:rtl w:val="0"/>
                <w:lang w:val="en-US"/>
              </w:rPr>
              <w:t>’</w:t>
            </w:r>
            <w:r>
              <w:rPr>
                <w:rFonts w:ascii="Arial" w:hAnsi="Arial"/>
                <w:sz w:val="24"/>
                <w:szCs w:val="24"/>
                <w:u w:val="none"/>
                <w:rtl w:val="0"/>
                <w:lang w:val="en-US"/>
              </w:rPr>
              <w:t>s policies.</w:t>
            </w:r>
          </w:p>
          <w:p>
            <w:pPr>
              <w:pStyle w:val="Body A"/>
              <w:numPr>
                <w:ilvl w:val="0"/>
                <w:numId w:val="1"/>
              </w:numPr>
              <w:bidi w:val="0"/>
              <w:spacing w:line="360" w:lineRule="auto"/>
              <w:ind w:right="0"/>
              <w:jc w:val="left"/>
              <w:rPr>
                <w:rFonts w:ascii="Arial" w:cs="Arial" w:hAnsi="Arial" w:eastAsia="Arial"/>
                <w:sz w:val="24"/>
                <w:szCs w:val="24"/>
                <w:u w:val="none"/>
                <w:rtl w:val="0"/>
                <w:lang w:val="en-US"/>
              </w:rPr>
            </w:pPr>
            <w:r>
              <w:rPr>
                <w:rFonts w:ascii="Arial" w:hAnsi="Arial"/>
                <w:sz w:val="24"/>
                <w:szCs w:val="24"/>
                <w:u w:val="single"/>
                <w:rtl w:val="0"/>
                <w:lang w:val="en-US"/>
              </w:rPr>
              <w:t xml:space="preserve">Planning Considerations: </w:t>
            </w:r>
            <w:r>
              <w:rPr>
                <w:rFonts w:ascii="Arial" w:hAnsi="Arial"/>
                <w:sz w:val="24"/>
                <w:szCs w:val="24"/>
                <w:u w:val="none"/>
                <w:rtl w:val="0"/>
                <w:lang w:val="en-US"/>
              </w:rPr>
              <w:t>Prior planning will indicate the scope of the investigation and be a helpful tool to prove that the documents sought were relevant to the investigation, this will avoid unnecessary hoarding of information which would save time and money. This way a more focussed approach is adopted.</w:t>
            </w:r>
          </w:p>
          <w:p>
            <w:pPr>
              <w:pStyle w:val="Body A"/>
              <w:numPr>
                <w:ilvl w:val="0"/>
                <w:numId w:val="1"/>
              </w:numPr>
              <w:bidi w:val="0"/>
              <w:spacing w:line="360" w:lineRule="auto"/>
              <w:ind w:right="0"/>
              <w:jc w:val="left"/>
              <w:rPr>
                <w:rFonts w:ascii="Arial" w:cs="Arial" w:hAnsi="Arial" w:eastAsia="Arial"/>
                <w:sz w:val="24"/>
                <w:szCs w:val="24"/>
                <w:u w:val="none"/>
                <w:rtl w:val="0"/>
                <w:lang w:val="en-US"/>
              </w:rPr>
            </w:pPr>
            <w:r>
              <w:rPr>
                <w:rFonts w:ascii="Arial" w:hAnsi="Arial"/>
                <w:sz w:val="24"/>
                <w:szCs w:val="24"/>
                <w:u w:val="single"/>
                <w:rtl w:val="0"/>
                <w:lang w:val="en-US"/>
              </w:rPr>
              <w:t xml:space="preserve">Creating a Chain of Custody: </w:t>
            </w:r>
            <w:r>
              <w:rPr>
                <w:rFonts w:ascii="Arial" w:hAnsi="Arial"/>
                <w:sz w:val="24"/>
                <w:szCs w:val="24"/>
                <w:u w:val="none"/>
                <w:rtl w:val="0"/>
                <w:lang w:val="en-US"/>
              </w:rPr>
              <w:t>It serves as proof to the court or any regulatory body that the evidence has been properly preserved from alteration and damage from time to time from when it was collected till when it has been presented.</w:t>
            </w:r>
          </w:p>
          <w:p>
            <w:pPr>
              <w:pStyle w:val="Body A"/>
              <w:spacing w:line="360" w:lineRule="auto"/>
              <w:rPr>
                <w:rFonts w:ascii="Arial" w:cs="Arial" w:hAnsi="Arial" w:eastAsia="Arial"/>
                <w:sz w:val="24"/>
                <w:szCs w:val="24"/>
                <w:u w:val="none"/>
              </w:rPr>
            </w:pPr>
          </w:p>
          <w:p>
            <w:pPr>
              <w:pStyle w:val="Body A"/>
              <w:spacing w:line="360" w:lineRule="auto"/>
              <w:rPr>
                <w:rFonts w:ascii="Arial" w:cs="Arial" w:hAnsi="Arial" w:eastAsia="Arial"/>
                <w:sz w:val="24"/>
                <w:szCs w:val="24"/>
                <w:u w:val="none"/>
              </w:rPr>
            </w:pPr>
          </w:p>
          <w:p>
            <w:pPr>
              <w:pStyle w:val="Body A"/>
              <w:spacing w:line="360" w:lineRule="auto"/>
              <w:rPr>
                <w:rFonts w:ascii="Arial" w:cs="Arial" w:hAnsi="Arial" w:eastAsia="Arial"/>
                <w:sz w:val="24"/>
                <w:szCs w:val="24"/>
                <w:u w:val="none"/>
              </w:rPr>
            </w:pPr>
            <w:r>
              <w:rPr>
                <w:rFonts w:ascii="Arial" w:hAnsi="Arial"/>
                <w:sz w:val="24"/>
                <w:szCs w:val="24"/>
                <w:u w:val="none"/>
                <w:rtl w:val="0"/>
                <w:lang w:val="en-US"/>
              </w:rPr>
              <w:t>1.vii) The types of documents to expect and their sources are:</w:t>
            </w:r>
          </w:p>
          <w:p>
            <w:pPr>
              <w:pStyle w:val="Body A"/>
              <w:numPr>
                <w:ilvl w:val="0"/>
                <w:numId w:val="1"/>
              </w:numPr>
              <w:bidi w:val="0"/>
              <w:spacing w:line="360" w:lineRule="auto"/>
              <w:ind w:right="0"/>
              <w:jc w:val="left"/>
              <w:rPr>
                <w:rFonts w:ascii="Arial" w:cs="Arial" w:hAnsi="Arial" w:eastAsia="Arial"/>
                <w:sz w:val="24"/>
                <w:szCs w:val="24"/>
                <w:u w:val="none"/>
                <w:rtl w:val="0"/>
                <w:lang w:val="en-US"/>
              </w:rPr>
            </w:pPr>
            <w:r>
              <w:rPr>
                <w:rFonts w:ascii="Arial" w:hAnsi="Arial"/>
                <w:sz w:val="24"/>
                <w:szCs w:val="24"/>
                <w:u w:val="none"/>
                <w:rtl w:val="0"/>
                <w:lang w:val="en-US"/>
              </w:rPr>
              <w:t xml:space="preserve">Signed statements: It is useful to obtain written and signed statements from the witnesses and complainants, this will outline what is likely to be said at their court testimony. This kind of evidence will be provided by the victim. </w:t>
            </w:r>
          </w:p>
          <w:p>
            <w:pPr>
              <w:pStyle w:val="Body A"/>
              <w:numPr>
                <w:ilvl w:val="0"/>
                <w:numId w:val="1"/>
              </w:numPr>
              <w:bidi w:val="0"/>
              <w:spacing w:line="360" w:lineRule="auto"/>
              <w:ind w:right="0"/>
              <w:jc w:val="left"/>
              <w:rPr>
                <w:rFonts w:ascii="Arial" w:cs="Arial" w:hAnsi="Arial" w:eastAsia="Arial"/>
                <w:sz w:val="24"/>
                <w:szCs w:val="24"/>
                <w:u w:val="none"/>
                <w:rtl w:val="0"/>
                <w:lang w:val="en-US"/>
              </w:rPr>
            </w:pPr>
            <w:r>
              <w:rPr>
                <w:rFonts w:ascii="Arial" w:hAnsi="Arial"/>
                <w:sz w:val="24"/>
                <w:szCs w:val="24"/>
                <w:u w:val="none"/>
                <w:rtl w:val="0"/>
                <w:lang w:val="en-US"/>
              </w:rPr>
              <w:t xml:space="preserve">Transactional paperwork: Every business operates in a different manner, but the investigators must always look out for paper trails like invoices, vouchers, original records etc, to indicate the flow of money. </w:t>
            </w:r>
          </w:p>
          <w:p>
            <w:pPr>
              <w:pStyle w:val="Body A"/>
              <w:numPr>
                <w:ilvl w:val="0"/>
                <w:numId w:val="1"/>
              </w:numPr>
              <w:bidi w:val="0"/>
              <w:spacing w:line="360" w:lineRule="auto"/>
              <w:ind w:right="0"/>
              <w:jc w:val="left"/>
              <w:rPr>
                <w:rFonts w:ascii="Arial" w:cs="Arial" w:hAnsi="Arial" w:eastAsia="Arial"/>
                <w:sz w:val="24"/>
                <w:szCs w:val="24"/>
                <w:u w:val="none"/>
                <w:rtl w:val="0"/>
                <w:lang w:val="en-US"/>
              </w:rPr>
            </w:pPr>
            <w:r>
              <w:rPr>
                <w:rFonts w:ascii="Arial" w:hAnsi="Arial"/>
                <w:sz w:val="24"/>
                <w:szCs w:val="24"/>
                <w:u w:val="none"/>
                <w:rtl w:val="0"/>
                <w:lang w:val="en-US"/>
              </w:rPr>
              <w:t>Intranet sources: Intranet boosts productivity in an organization and serves as valuable information because informal communication takes place over chat rooms, a lot of gossips and rumors fly around using this medium.</w:t>
            </w:r>
          </w:p>
          <w:p>
            <w:pPr>
              <w:pStyle w:val="Body A"/>
              <w:numPr>
                <w:ilvl w:val="0"/>
                <w:numId w:val="1"/>
              </w:numPr>
              <w:bidi w:val="0"/>
              <w:spacing w:line="360" w:lineRule="auto"/>
              <w:ind w:right="0"/>
              <w:jc w:val="left"/>
              <w:rPr>
                <w:rFonts w:ascii="Arial" w:cs="Arial" w:hAnsi="Arial" w:eastAsia="Arial"/>
                <w:sz w:val="24"/>
                <w:szCs w:val="24"/>
                <w:u w:val="none"/>
                <w:rtl w:val="0"/>
                <w:lang w:val="en-US"/>
              </w:rPr>
            </w:pPr>
            <w:r>
              <w:rPr>
                <w:rFonts w:ascii="Arial" w:hAnsi="Arial"/>
                <w:sz w:val="24"/>
                <w:szCs w:val="24"/>
                <w:u w:val="none"/>
                <w:rtl w:val="0"/>
                <w:lang w:val="en-US"/>
              </w:rPr>
              <w:t>Emails: This is a mode of both formal and informal communication and is very commonly used by everyone, most emails are saved on the corporate server which is helpful in investigations. This kind of evidence will point towards the suspect.</w:t>
            </w:r>
          </w:p>
          <w:p>
            <w:pPr>
              <w:pStyle w:val="Body A"/>
              <w:spacing w:line="360" w:lineRule="auto"/>
              <w:rPr>
                <w:rFonts w:ascii="Arial" w:cs="Arial" w:hAnsi="Arial" w:eastAsia="Arial"/>
                <w:sz w:val="24"/>
                <w:szCs w:val="24"/>
                <w:u w:val="none"/>
              </w:rPr>
            </w:pPr>
          </w:p>
          <w:p>
            <w:pPr>
              <w:pStyle w:val="Body A"/>
              <w:spacing w:line="360" w:lineRule="auto"/>
              <w:rPr>
                <w:rFonts w:ascii="Arial" w:cs="Arial" w:hAnsi="Arial" w:eastAsia="Arial"/>
                <w:sz w:val="24"/>
                <w:szCs w:val="24"/>
                <w:u w:val="none"/>
              </w:rPr>
            </w:pPr>
          </w:p>
          <w:p>
            <w:pPr>
              <w:pStyle w:val="Body A"/>
              <w:spacing w:line="360" w:lineRule="auto"/>
              <w:rPr>
                <w:rFonts w:ascii="Arial" w:cs="Arial" w:hAnsi="Arial" w:eastAsia="Arial"/>
                <w:sz w:val="24"/>
                <w:szCs w:val="24"/>
                <w:u w:val="none"/>
              </w:rPr>
            </w:pPr>
            <w:r>
              <w:rPr>
                <w:rFonts w:ascii="Arial" w:hAnsi="Arial"/>
                <w:sz w:val="24"/>
                <w:szCs w:val="24"/>
                <w:u w:val="none"/>
                <w:rtl w:val="0"/>
                <w:lang w:val="en-US"/>
              </w:rPr>
              <w:t>2) The various types of evidence gathered in financial crime investigations are:</w:t>
            </w:r>
          </w:p>
          <w:p>
            <w:pPr>
              <w:pStyle w:val="Body A"/>
              <w:numPr>
                <w:ilvl w:val="0"/>
                <w:numId w:val="1"/>
              </w:numPr>
              <w:bidi w:val="0"/>
              <w:spacing w:line="360" w:lineRule="auto"/>
              <w:ind w:right="0"/>
              <w:jc w:val="left"/>
              <w:rPr>
                <w:rFonts w:ascii="Arial" w:cs="Arial" w:hAnsi="Arial" w:eastAsia="Arial"/>
                <w:sz w:val="24"/>
                <w:szCs w:val="24"/>
                <w:u w:val="none"/>
                <w:rtl w:val="0"/>
                <w:lang w:val="en-US"/>
              </w:rPr>
            </w:pPr>
            <w:r>
              <w:rPr>
                <w:rFonts w:ascii="Arial" w:hAnsi="Arial"/>
                <w:sz w:val="24"/>
                <w:szCs w:val="24"/>
                <w:u w:val="single"/>
                <w:rtl w:val="0"/>
                <w:lang w:val="en-US"/>
              </w:rPr>
              <w:t xml:space="preserve">Investigation of Vendors: </w:t>
            </w:r>
            <w:r>
              <w:rPr>
                <w:rFonts w:ascii="Arial" w:hAnsi="Arial"/>
                <w:sz w:val="24"/>
                <w:szCs w:val="24"/>
                <w:u w:val="none"/>
                <w:rtl w:val="0"/>
                <w:lang w:val="en-US"/>
              </w:rPr>
              <w:t>This information should be centered on the disbursement of money to the vendors and finding out where it went and for what purposes it was used. This information will be stored in the company</w:t>
            </w:r>
            <w:r>
              <w:rPr>
                <w:rFonts w:ascii="Arial" w:hAnsi="Arial" w:hint="default"/>
                <w:sz w:val="24"/>
                <w:szCs w:val="24"/>
                <w:u w:val="none"/>
                <w:rtl w:val="0"/>
                <w:lang w:val="en-US"/>
              </w:rPr>
              <w:t>’</w:t>
            </w:r>
            <w:r>
              <w:rPr>
                <w:rFonts w:ascii="Arial" w:hAnsi="Arial"/>
                <w:sz w:val="24"/>
                <w:szCs w:val="24"/>
                <w:u w:val="none"/>
                <w:rtl w:val="0"/>
                <w:lang w:val="en-US"/>
              </w:rPr>
              <w:t>s master file data for accounts payable, contracts, purchase orders, invoices and documents used to obtain payment approvals.  Internal feedback regarding vendor quality must be taken and public record searches should be done.</w:t>
            </w:r>
          </w:p>
          <w:p>
            <w:pPr>
              <w:pStyle w:val="Body A"/>
              <w:numPr>
                <w:ilvl w:val="0"/>
                <w:numId w:val="1"/>
              </w:numPr>
              <w:bidi w:val="0"/>
              <w:spacing w:line="360" w:lineRule="auto"/>
              <w:ind w:right="0"/>
              <w:jc w:val="left"/>
              <w:rPr>
                <w:rFonts w:ascii="Arial" w:cs="Arial" w:hAnsi="Arial" w:eastAsia="Arial"/>
                <w:sz w:val="24"/>
                <w:szCs w:val="24"/>
                <w:u w:val="none"/>
                <w:rtl w:val="0"/>
                <w:lang w:val="en-US"/>
              </w:rPr>
            </w:pPr>
            <w:r>
              <w:rPr>
                <w:rFonts w:ascii="Arial" w:hAnsi="Arial"/>
                <w:sz w:val="24"/>
                <w:szCs w:val="24"/>
                <w:u w:val="single"/>
                <w:rtl w:val="0"/>
                <w:lang w:val="en-US"/>
              </w:rPr>
              <w:t xml:space="preserve">Investigations of the Foreign Corrupt Practices Act Violations: </w:t>
            </w:r>
            <w:r>
              <w:rPr>
                <w:rFonts w:ascii="Arial" w:hAnsi="Arial"/>
                <w:sz w:val="24"/>
                <w:szCs w:val="24"/>
                <w:u w:val="none"/>
                <w:rtl w:val="0"/>
                <w:lang w:val="en-US"/>
              </w:rPr>
              <w:t xml:space="preserve">This usually concern disbursements and focus on the interviewing technique. </w:t>
            </w:r>
          </w:p>
          <w:p>
            <w:pPr>
              <w:pStyle w:val="Body A"/>
              <w:numPr>
                <w:ilvl w:val="0"/>
                <w:numId w:val="1"/>
              </w:numPr>
              <w:bidi w:val="0"/>
              <w:spacing w:line="360" w:lineRule="auto"/>
              <w:ind w:right="0"/>
              <w:jc w:val="left"/>
              <w:rPr>
                <w:rFonts w:ascii="Arial" w:cs="Arial" w:hAnsi="Arial" w:eastAsia="Arial"/>
                <w:sz w:val="24"/>
                <w:szCs w:val="24"/>
                <w:u w:val="none"/>
                <w:rtl w:val="0"/>
                <w:lang w:val="en-US"/>
              </w:rPr>
            </w:pPr>
            <w:r>
              <w:rPr>
                <w:rFonts w:ascii="Arial" w:hAnsi="Arial"/>
                <w:sz w:val="24"/>
                <w:szCs w:val="24"/>
                <w:u w:val="single"/>
                <w:rtl w:val="0"/>
                <w:lang w:val="en-US"/>
              </w:rPr>
              <w:t xml:space="preserve">Investigations of Improper Related-Party Activity: </w:t>
            </w:r>
            <w:r>
              <w:rPr>
                <w:rFonts w:ascii="Arial" w:hAnsi="Arial"/>
                <w:sz w:val="24"/>
                <w:szCs w:val="24"/>
                <w:u w:val="none"/>
                <w:rtl w:val="0"/>
                <w:lang w:val="en-US"/>
              </w:rPr>
              <w:t xml:space="preserve">These require documents concerning the nature of the relationship between the parties involved in the transactions. These documents include interview notes, internal control policies, emails, public record searches, and any other documents useful in the analysis of fair value economic exchange. </w:t>
            </w:r>
          </w:p>
          <w:p>
            <w:pPr>
              <w:pStyle w:val="Body A"/>
              <w:numPr>
                <w:ilvl w:val="0"/>
                <w:numId w:val="1"/>
              </w:numPr>
              <w:bidi w:val="0"/>
              <w:spacing w:line="360" w:lineRule="auto"/>
              <w:ind w:right="0"/>
              <w:jc w:val="left"/>
              <w:rPr>
                <w:rFonts w:ascii="Arial" w:cs="Arial" w:hAnsi="Arial" w:eastAsia="Arial"/>
                <w:sz w:val="24"/>
                <w:szCs w:val="24"/>
                <w:u w:val="none"/>
                <w:rtl w:val="0"/>
                <w:lang w:val="en-US"/>
              </w:rPr>
            </w:pPr>
            <w:r>
              <w:rPr>
                <w:rFonts w:ascii="Arial" w:hAnsi="Arial"/>
                <w:sz w:val="24"/>
                <w:szCs w:val="24"/>
                <w:u w:val="single"/>
                <w:rtl w:val="0"/>
                <w:lang w:val="en-US"/>
              </w:rPr>
              <w:t xml:space="preserve">Investigations of Employee Misappropriations: </w:t>
            </w:r>
            <w:r>
              <w:rPr>
                <w:rFonts w:ascii="Arial" w:hAnsi="Arial"/>
                <w:sz w:val="24"/>
                <w:szCs w:val="24"/>
                <w:u w:val="none"/>
                <w:rtl w:val="0"/>
                <w:lang w:val="en-US"/>
              </w:rPr>
              <w:t>They are usually focussed on the employee in question, they include desk files, computer data, e-mails, records of the employee access corporate computer systems.</w:t>
            </w:r>
          </w:p>
          <w:p>
            <w:pPr>
              <w:pStyle w:val="Body A"/>
              <w:numPr>
                <w:ilvl w:val="0"/>
                <w:numId w:val="1"/>
              </w:numPr>
              <w:bidi w:val="0"/>
              <w:spacing w:line="360" w:lineRule="auto"/>
              <w:ind w:right="0"/>
              <w:jc w:val="left"/>
              <w:rPr>
                <w:rFonts w:ascii="Arial" w:cs="Arial" w:hAnsi="Arial" w:eastAsia="Arial"/>
                <w:sz w:val="24"/>
                <w:szCs w:val="24"/>
                <w:u w:val="none"/>
                <w:rtl w:val="0"/>
                <w:lang w:val="en-US"/>
              </w:rPr>
            </w:pPr>
            <w:r>
              <w:rPr>
                <w:rFonts w:ascii="Arial" w:hAnsi="Arial"/>
                <w:sz w:val="24"/>
                <w:szCs w:val="24"/>
                <w:u w:val="single"/>
                <w:rtl w:val="0"/>
                <w:lang w:val="en-US"/>
              </w:rPr>
              <w:t xml:space="preserve">Investigations of Specific Allegations: </w:t>
            </w:r>
            <w:r>
              <w:rPr>
                <w:rFonts w:ascii="Arial" w:hAnsi="Arial"/>
                <w:sz w:val="24"/>
                <w:szCs w:val="24"/>
                <w:u w:val="none"/>
                <w:rtl w:val="0"/>
                <w:lang w:val="en-US"/>
              </w:rPr>
              <w:t>There may be various sources triggering investigation of specific allegations such as anonymous letters and tips, hotlines, and exit interviews. it is useful to take all allegations seriously, although some are just unfounded allegations by disgruntled employees.</w:t>
            </w:r>
          </w:p>
          <w:p>
            <w:pPr>
              <w:pStyle w:val="Body A"/>
              <w:numPr>
                <w:ilvl w:val="0"/>
                <w:numId w:val="1"/>
              </w:numPr>
              <w:bidi w:val="0"/>
              <w:spacing w:line="360" w:lineRule="auto"/>
              <w:ind w:right="0"/>
              <w:jc w:val="left"/>
              <w:rPr>
                <w:rFonts w:ascii="Arial" w:cs="Arial" w:hAnsi="Arial" w:eastAsia="Arial"/>
                <w:sz w:val="24"/>
                <w:szCs w:val="24"/>
                <w:u w:val="none"/>
                <w:rtl w:val="0"/>
                <w:lang w:val="en-US"/>
              </w:rPr>
            </w:pPr>
            <w:r>
              <w:rPr>
                <w:rFonts w:ascii="Arial" w:hAnsi="Arial"/>
                <w:sz w:val="24"/>
                <w:szCs w:val="24"/>
                <w:u w:val="single"/>
                <w:rtl w:val="0"/>
                <w:lang w:val="en-US"/>
              </w:rPr>
              <w:t xml:space="preserve">Investigations of Financial Statement Errors: </w:t>
            </w:r>
            <w:r>
              <w:rPr>
                <w:rFonts w:ascii="Arial" w:hAnsi="Arial"/>
                <w:sz w:val="24"/>
                <w:szCs w:val="24"/>
                <w:u w:val="none"/>
                <w:rtl w:val="0"/>
                <w:lang w:val="en-US"/>
              </w:rPr>
              <w:t xml:space="preserve"> They require access to and review of all reports, statements and documents involved in the company</w:t>
            </w:r>
            <w:r>
              <w:rPr>
                <w:rFonts w:ascii="Arial" w:hAnsi="Arial" w:hint="default"/>
                <w:sz w:val="24"/>
                <w:szCs w:val="24"/>
                <w:u w:val="none"/>
                <w:rtl w:val="0"/>
                <w:lang w:val="en-US"/>
              </w:rPr>
              <w:t>’</w:t>
            </w:r>
            <w:r>
              <w:rPr>
                <w:rFonts w:ascii="Arial" w:hAnsi="Arial"/>
                <w:sz w:val="24"/>
                <w:szCs w:val="24"/>
                <w:u w:val="none"/>
                <w:rtl w:val="0"/>
                <w:lang w:val="en-US"/>
              </w:rPr>
              <w:t>s financial accounting transactions and business records, employee files, and e-mails of all parties involved in the transaction.</w:t>
            </w:r>
          </w:p>
          <w:p>
            <w:pPr>
              <w:pStyle w:val="Body A"/>
              <w:spacing w:line="360" w:lineRule="auto"/>
              <w:rPr>
                <w:rFonts w:ascii="Arial" w:cs="Arial" w:hAnsi="Arial" w:eastAsia="Arial"/>
                <w:sz w:val="24"/>
                <w:szCs w:val="24"/>
                <w:u w:val="none"/>
              </w:rPr>
            </w:pPr>
          </w:p>
          <w:p>
            <w:pPr>
              <w:pStyle w:val="Body A"/>
              <w:spacing w:line="360" w:lineRule="auto"/>
              <w:rPr>
                <w:rFonts w:ascii="Arial" w:cs="Arial" w:hAnsi="Arial" w:eastAsia="Arial"/>
                <w:sz w:val="24"/>
                <w:szCs w:val="24"/>
                <w:u w:val="none"/>
              </w:rPr>
            </w:pPr>
          </w:p>
          <w:p>
            <w:pPr>
              <w:pStyle w:val="Body A"/>
              <w:spacing w:line="360" w:lineRule="auto"/>
              <w:rPr>
                <w:rFonts w:ascii="Arial" w:cs="Arial" w:hAnsi="Arial" w:eastAsia="Arial"/>
                <w:sz w:val="24"/>
                <w:szCs w:val="24"/>
                <w:u w:val="none"/>
              </w:rPr>
            </w:pPr>
            <w:r>
              <w:rPr>
                <w:rFonts w:ascii="Arial" w:hAnsi="Arial"/>
                <w:sz w:val="24"/>
                <w:szCs w:val="24"/>
                <w:u w:val="none"/>
                <w:rtl w:val="0"/>
                <w:lang w:val="en-US"/>
              </w:rPr>
              <w:t xml:space="preserve">3) Financial crime cases are more complex in nature because it has been executed tactfully by making sure that all loopholes are well-utilized and their tracks are covered. Thus, the investigators have to look through all sorts of paperwork and computer evidence that consists of financial statements, documents, loan sanctions, etc. And these cases are heard in civil court. This type of crime causes financial harm but not physical harm to a company or an individual. </w:t>
            </w:r>
          </w:p>
          <w:p>
            <w:pPr>
              <w:pStyle w:val="Body A"/>
              <w:spacing w:line="360" w:lineRule="auto"/>
              <w:rPr>
                <w:rFonts w:ascii="Arial" w:cs="Arial" w:hAnsi="Arial" w:eastAsia="Arial"/>
                <w:sz w:val="24"/>
                <w:szCs w:val="24"/>
                <w:u w:val="none"/>
              </w:rPr>
            </w:pPr>
          </w:p>
          <w:p>
            <w:pPr>
              <w:pStyle w:val="Body A"/>
              <w:spacing w:line="360" w:lineRule="auto"/>
              <w:rPr>
                <w:rFonts w:ascii="Arial" w:cs="Arial" w:hAnsi="Arial" w:eastAsia="Arial"/>
                <w:sz w:val="24"/>
                <w:szCs w:val="24"/>
                <w:u w:val="none"/>
              </w:rPr>
            </w:pPr>
            <w:r>
              <w:rPr>
                <w:rFonts w:ascii="Arial" w:hAnsi="Arial"/>
                <w:sz w:val="24"/>
                <w:szCs w:val="24"/>
                <w:u w:val="none"/>
                <w:rtl w:val="0"/>
                <w:lang w:val="en-US"/>
              </w:rPr>
              <w:t xml:space="preserve">Non-financial crime cases are murder, theft, rape, assault, arson, terrorism, kidnapping etc. which intentionally causes physical harm to a person or even loss of life which is undesirable. Weapons such as guns, bombs and knives, footprints, threat notes, etc will be presented in the criminal court as hard evidence against the criminal. </w:t>
            </w:r>
          </w:p>
          <w:p>
            <w:pPr>
              <w:pStyle w:val="Body A"/>
              <w:spacing w:line="360" w:lineRule="auto"/>
              <w:rPr>
                <w:rFonts w:ascii="Arial" w:cs="Arial" w:hAnsi="Arial" w:eastAsia="Arial"/>
                <w:sz w:val="24"/>
                <w:szCs w:val="24"/>
                <w:u w:val="none"/>
              </w:rPr>
            </w:pPr>
          </w:p>
          <w:p>
            <w:pPr>
              <w:pStyle w:val="Body A"/>
              <w:spacing w:line="360" w:lineRule="auto"/>
              <w:rPr>
                <w:rFonts w:ascii="Arial" w:cs="Arial" w:hAnsi="Arial" w:eastAsia="Arial"/>
                <w:sz w:val="24"/>
                <w:szCs w:val="24"/>
                <w:u w:val="none"/>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rPr>
                <w:b w:val="1"/>
                <w:bCs w:val="1"/>
                <w:lang w:val="en-US"/>
              </w:rPr>
            </w:pPr>
          </w:p>
          <w:p>
            <w:pPr>
              <w:pStyle w:val="Body"/>
              <w:spacing w:after="0" w:line="240" w:lineRule="auto"/>
            </w:pPr>
            <w:r>
              <w:rPr>
                <w:b w:val="1"/>
                <w:bCs w:val="1"/>
                <w:lang w:val="en-US"/>
              </w:rPr>
            </w:r>
          </w:p>
        </w:tc>
      </w:tr>
    </w:tbl>
    <w:p>
      <w:pPr>
        <w:pStyle w:val="Body"/>
        <w:widowControl w:val="0"/>
        <w:spacing w:line="240" w:lineRule="auto"/>
      </w:pPr>
    </w:p>
    <w:p>
      <w:pPr>
        <w:pStyle w:val="Body"/>
        <w:spacing w:after="0" w:line="240" w:lineRule="auto"/>
        <w:rPr>
          <w:b w:val="1"/>
          <w:bCs w:val="1"/>
          <w:color w:val="002060"/>
          <w:sz w:val="28"/>
          <w:szCs w:val="28"/>
          <w:u w:color="002060"/>
          <w:lang w:val="en-US"/>
        </w:rPr>
      </w:pPr>
    </w:p>
    <w:p>
      <w:pPr>
        <w:pStyle w:val="Body"/>
        <w:spacing w:after="0" w:line="240" w:lineRule="auto"/>
        <w:rPr>
          <w:b w:val="1"/>
          <w:bCs w:val="1"/>
          <w:color w:val="002060"/>
          <w:sz w:val="28"/>
          <w:szCs w:val="28"/>
          <w:u w:color="002060"/>
        </w:rPr>
      </w:pPr>
      <w:r>
        <w:rPr>
          <w:b w:val="1"/>
          <w:bCs w:val="1"/>
          <w:color w:val="002060"/>
          <w:sz w:val="28"/>
          <w:szCs w:val="28"/>
          <w:u w:color="002060"/>
          <w:rtl w:val="0"/>
          <w:lang w:val="en-US"/>
        </w:rPr>
        <w:t>Student Statement:</w:t>
      </w:r>
    </w:p>
    <w:p>
      <w:pPr>
        <w:pStyle w:val="Body"/>
        <w:spacing w:after="0" w:line="240" w:lineRule="auto"/>
        <w:rPr>
          <w:b w:val="1"/>
          <w:bCs w:val="1"/>
          <w:color w:val="001ae6"/>
          <w:u w:color="001ae6"/>
          <w:lang w:val="en-US"/>
        </w:rPr>
      </w:pPr>
    </w:p>
    <w:p>
      <w:pPr>
        <w:pStyle w:val="Body"/>
        <w:spacing w:after="0" w:line="240" w:lineRule="auto"/>
        <w:rPr>
          <w:color w:val="000000"/>
          <w:u w:color="000000"/>
        </w:rPr>
      </w:pPr>
      <w:r>
        <w:rPr>
          <w:color w:val="000000"/>
          <w:u w:color="000000"/>
          <w:rtl w:val="0"/>
          <w:lang w:val="en-US"/>
        </w:rPr>
        <w:t>By submitting this assignment, I confirm that this is my own work.</w:t>
      </w:r>
    </w:p>
    <w:p>
      <w:pPr>
        <w:pStyle w:val="Body"/>
        <w:spacing w:after="0" w:line="240" w:lineRule="auto"/>
        <w:rPr>
          <w:color w:val="000000"/>
          <w:u w:color="000000"/>
          <w:lang w:val="en-US"/>
        </w:rPr>
      </w:pPr>
    </w:p>
    <w:p>
      <w:pPr>
        <w:pStyle w:val="Body"/>
        <w:spacing w:after="0" w:line="240" w:lineRule="auto"/>
        <w:rPr>
          <w:color w:val="000000"/>
          <w:u w:color="000000"/>
          <w:lang w:val="en-US"/>
        </w:rPr>
      </w:pPr>
    </w:p>
    <w:p>
      <w:pPr>
        <w:pStyle w:val="Body"/>
        <w:spacing w:after="0" w:line="240" w:lineRule="auto"/>
        <w:rPr>
          <w:color w:val="000000"/>
          <w:u w:color="000000"/>
          <w:lang w:val="en-US"/>
        </w:rPr>
      </w:pP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2310"/>
        <w:gridCol w:w="4035"/>
        <w:gridCol w:w="1276"/>
        <w:gridCol w:w="1621"/>
      </w:tblGrid>
      <w:tr>
        <w:tblPrEx>
          <w:shd w:val="clear" w:color="auto" w:fill="ced7e7"/>
        </w:tblPrEx>
        <w:trPr>
          <w:trHeight w:val="250" w:hRule="atLeast"/>
        </w:trPr>
        <w:tc>
          <w:tcPr>
            <w:tcW w:type="dxa" w:w="2310"/>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rtl w:val="0"/>
                <w:lang w:val="en-US"/>
              </w:rPr>
              <w:t>Student Signature</w:t>
            </w:r>
          </w:p>
        </w:tc>
        <w:tc>
          <w:tcPr>
            <w:tcW w:type="dxa" w:w="4035"/>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Rebecca Daniel Thomas</w:t>
            </w:r>
          </w:p>
        </w:tc>
        <w:tc>
          <w:tcPr>
            <w:tcW w:type="dxa" w:w="1276"/>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rtl w:val="0"/>
                <w:lang w:val="en-US"/>
              </w:rPr>
              <w:t>Date</w:t>
            </w:r>
          </w:p>
        </w:tc>
        <w:tc>
          <w:tcPr>
            <w:tcW w:type="dxa" w:w="1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pPr>
              <w:keepNext w:val="0"/>
              <w:keepLines w:val="0"/>
              <w:pageBreakBefore w:val="0"/>
              <w:widowControl w:val="1"/>
              <w:shd w:val="clear" w:color="auto" w:fill="auto"/>
              <w:suppressAutoHyphens w:val="0"/>
              <w:bidi w:val="0"/>
              <w:spacing w:before="0" w:after="0" w:line="240" w:lineRule="auto"/>
              <w:ind w:left="0" w:right="0" w:firstLine="0"/>
              <w:jc w:val="left"/>
              <w:outlineLvl w:val="9"/>
              <w:rPr>
                <w:rtl w:val="0"/>
              </w:rPr>
            </w:pPr>
            <w: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tl w:val="0"/>
              </w:rPr>
              <w:t>29.12.16</w:t>
            </w:r>
          </w:p>
        </w:tc>
      </w:tr>
    </w:tbl>
    <w:p>
      <w:pPr>
        <w:pStyle w:val="Body"/>
        <w:widowControl w:val="0"/>
        <w:spacing w:after="0" w:line="240" w:lineRule="auto"/>
        <w:rPr>
          <w:color w:val="000000"/>
          <w:u w:color="000000"/>
          <w:lang w:val="en-US"/>
        </w:rPr>
      </w:pPr>
    </w:p>
    <w:p>
      <w:pPr>
        <w:pStyle w:val="Body"/>
        <w:rPr>
          <w:color w:val="000000"/>
          <w:u w:color="000000"/>
          <w:lang w:val="en-US"/>
        </w:rPr>
      </w:pPr>
    </w:p>
    <w:p>
      <w:pPr>
        <w:pStyle w:val="Body"/>
        <w:rPr>
          <w:color w:val="000000"/>
          <w:u w:color="000000"/>
          <w:lang w:val="en-US"/>
        </w:rPr>
      </w:pPr>
    </w:p>
    <w:p>
      <w:pPr>
        <w:pStyle w:val="Body"/>
        <w:shd w:val="clear" w:color="auto" w:fill="d9d9d9"/>
        <w:rPr>
          <w:b w:val="1"/>
          <w:bCs w:val="1"/>
          <w:sz w:val="32"/>
          <w:szCs w:val="32"/>
        </w:rPr>
      </w:pPr>
      <w:r>
        <w:rPr>
          <w:b w:val="1"/>
          <w:bCs w:val="1"/>
          <w:sz w:val="28"/>
          <w:szCs w:val="28"/>
          <w:rtl w:val="0"/>
          <w:lang w:val="en-US"/>
        </w:rPr>
        <w:t>For Tutor / Assessor Use Only</w:t>
      </w:r>
    </w:p>
    <w:tbl>
      <w:tblPr>
        <w:tblW w:w="9242" w:type="dxa"/>
        <w:jc w:val="left"/>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4621"/>
        <w:gridCol w:w="4621"/>
      </w:tblGrid>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pPr>
            <w:r>
              <w:rPr>
                <w:b w:val="1"/>
                <w:bCs w:val="1"/>
                <w:color w:val="002060"/>
                <w:u w:color="002060"/>
                <w:rtl w:val="0"/>
                <w:lang w:val="en-US"/>
              </w:rPr>
              <w:t>Total Marks</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Marks Obtained</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r>
        <w:tblPrEx>
          <w:shd w:val="clear" w:color="auto" w:fill="ced7e7"/>
        </w:tblPrEx>
        <w:trPr>
          <w:trHeight w:val="250" w:hRule="atLeast"/>
        </w:trPr>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d9d9d9"/>
            <w:tcMar>
              <w:top w:type="dxa" w:w="80"/>
              <w:left w:type="dxa" w:w="80"/>
              <w:bottom w:type="dxa" w:w="80"/>
              <w:right w:type="dxa" w:w="80"/>
            </w:tcMar>
            <w:vAlign w:val="top"/>
          </w:tcPr>
          <w:p>
            <w:pPr>
              <w:pStyle w:val="Body"/>
              <w:spacing w:after="0" w:line="240" w:lineRule="auto"/>
            </w:pPr>
            <w:r>
              <w:rPr>
                <w:b w:val="1"/>
                <w:bCs w:val="1"/>
                <w:color w:val="002060"/>
                <w:u w:color="002060"/>
                <w:rtl w:val="0"/>
                <w:lang w:val="en-US"/>
              </w:rPr>
              <w:t>Percentage / Grade</w:t>
            </w:r>
          </w:p>
        </w:tc>
        <w:tc>
          <w:tcPr>
            <w:tcW w:type="dxa" w:w="4621"/>
            <w:tcBorders>
              <w:top w:val="single" w:color="000000" w:sz="4" w:space="0" w:shadow="0" w:frame="0"/>
              <w:left w:val="single" w:color="000000" w:sz="4" w:space="0" w:shadow="0" w:frame="0"/>
              <w:bottom w:val="single" w:color="000000" w:sz="4" w:space="0" w:shadow="0" w:frame="0"/>
              <w:right w:val="single" w:color="000000" w:sz="4" w:space="0" w:shadow="0" w:frame="0"/>
            </w:tcBorders>
            <w:shd w:val="clear" w:color="auto" w:fill="auto"/>
            <w:tcMar>
              <w:top w:type="dxa" w:w="80"/>
              <w:left w:type="dxa" w:w="80"/>
              <w:bottom w:type="dxa" w:w="80"/>
              <w:right w:type="dxa" w:w="80"/>
            </w:tcMar>
            <w:vAlign w:val="top"/>
          </w:tcPr>
          <w:p/>
        </w:tc>
      </w:tr>
    </w:tbl>
    <w:p>
      <w:pPr>
        <w:pStyle w:val="Body"/>
        <w:widowControl w:val="0"/>
        <w:shd w:val="clear" w:color="auto" w:fill="d9d9d9"/>
        <w:spacing w:line="240" w:lineRule="auto"/>
        <w:rPr>
          <w:b w:val="1"/>
          <w:bCs w:val="1"/>
          <w:sz w:val="32"/>
          <w:szCs w:val="32"/>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rPr>
          <w:sz w:val="24"/>
          <w:szCs w:val="24"/>
        </w:rPr>
      </w:pPr>
    </w:p>
    <w:p>
      <w:pPr>
        <w:pStyle w:val="Body"/>
      </w:pPr>
      <w:r>
        <w:rPr>
          <w:sz w:val="24"/>
          <w:szCs w:val="24"/>
        </w:rPr>
      </w:r>
    </w:p>
    <w:sectPr>
      <w:headerReference w:type="default" r:id="rId5"/>
      <w:footerReference w:type="default" r:id="rId6"/>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Helvetica">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lvl w:ilvl="0">
      <w:start w:val="1"/>
      <w:numFmt w:val="bullet"/>
      <w:suff w:val="tab"/>
      <w:lvlText w:val="•"/>
      <w:lvlJc w:val="left"/>
      <w:pPr>
        <w:ind w:left="196" w:hanging="196"/>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1">
      <w:start w:val="1"/>
      <w:numFmt w:val="bullet"/>
      <w:suff w:val="tab"/>
      <w:lvlText w:val="•"/>
      <w:lvlJc w:val="left"/>
      <w:pPr>
        <w:ind w:left="376" w:hanging="196"/>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2">
      <w:start w:val="1"/>
      <w:numFmt w:val="bullet"/>
      <w:suff w:val="tab"/>
      <w:lvlText w:val="•"/>
      <w:lvlJc w:val="left"/>
      <w:pPr>
        <w:ind w:left="556" w:hanging="196"/>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3">
      <w:start w:val="1"/>
      <w:numFmt w:val="bullet"/>
      <w:suff w:val="tab"/>
      <w:lvlText w:val="•"/>
      <w:lvlJc w:val="left"/>
      <w:pPr>
        <w:ind w:left="736" w:hanging="196"/>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4">
      <w:start w:val="1"/>
      <w:numFmt w:val="bullet"/>
      <w:suff w:val="tab"/>
      <w:lvlText w:val="•"/>
      <w:lvlJc w:val="left"/>
      <w:pPr>
        <w:ind w:left="916" w:hanging="196"/>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5">
      <w:start w:val="1"/>
      <w:numFmt w:val="bullet"/>
      <w:suff w:val="tab"/>
      <w:lvlText w:val="•"/>
      <w:lvlJc w:val="left"/>
      <w:pPr>
        <w:ind w:left="1096" w:hanging="196"/>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6">
      <w:start w:val="1"/>
      <w:numFmt w:val="bullet"/>
      <w:suff w:val="tab"/>
      <w:lvlText w:val="•"/>
      <w:lvlJc w:val="left"/>
      <w:pPr>
        <w:ind w:left="1276" w:hanging="196"/>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7">
      <w:start w:val="1"/>
      <w:numFmt w:val="bullet"/>
      <w:suff w:val="tab"/>
      <w:lvlText w:val="•"/>
      <w:lvlJc w:val="left"/>
      <w:pPr>
        <w:ind w:left="1456" w:hanging="196"/>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lvl w:ilvl="8">
      <w:start w:val="1"/>
      <w:numFmt w:val="bullet"/>
      <w:suff w:val="tab"/>
      <w:lvlText w:val="•"/>
      <w:lvlJc w:val="left"/>
      <w:pPr>
        <w:ind w:left="1636" w:hanging="196"/>
      </w:pPr>
      <w:rPr>
        <w:rFonts w:ascii="Arial" w:cs="Arial" w:hAnsi="Arial" w:eastAsia="Arial"/>
        <w:b w:val="0"/>
        <w:bCs w:val="0"/>
        <w:i w:val="0"/>
        <w:iCs w:val="0"/>
        <w:caps w:val="0"/>
        <w:smallCaps w:val="0"/>
        <w:strike w:val="0"/>
        <w:dstrike w:val="0"/>
        <w:outline w:val="0"/>
        <w:emboss w:val="0"/>
        <w:imprint w:val="0"/>
        <w:spacing w:val="0"/>
        <w:w w:val="100"/>
        <w:kern w:val="0"/>
        <w:position w:val="0"/>
        <w:highlight w:val="none"/>
        <w:vertAlign w:val="baseline"/>
      </w:rPr>
    </w:lvl>
  </w:abstractNum>
  <w:num w:numId="1">
    <w:abstractNumId w:val="0"/>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Default">
    <w:name w:val="Default"/>
    <w:next w:val="Default"/>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4"/>
      <w:szCs w:val="24"/>
      <w:u w:val="none" w:color="000000"/>
      <w:vertAlign w:val="baseline"/>
      <w:lang w:val="en-US"/>
    </w:rPr>
  </w:style>
  <w:style w:type="paragraph" w:styleId="Body">
    <w:name w:val="Body"/>
    <w:next w:val="Body"/>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rPr>
  </w:style>
  <w:style w:type="paragraph" w:styleId="Body A">
    <w:name w:val="Body A"/>
    <w:next w:val="Body A"/>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Helvetica" w:hAnsi="Helvetica" w:eastAsia="Helvetica"/>
      <w:b w:val="0"/>
      <w:bCs w:val="0"/>
      <w:i w:val="0"/>
      <w:iCs w:val="0"/>
      <w:caps w:val="0"/>
      <w:smallCaps w:val="0"/>
      <w:strike w:val="0"/>
      <w:dstrike w:val="0"/>
      <w:outline w:val="0"/>
      <w:color w:val="000000"/>
      <w:spacing w:val="0"/>
      <w:kern w:val="0"/>
      <w:position w:val="0"/>
      <w:sz w:val="22"/>
      <w:szCs w:val="22"/>
      <w:u w:val="none" w:color="000000"/>
      <w:vertAlign w:val="baseline"/>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header" Target="header1.xml"/><Relationship Id="rId6" Type="http://schemas.openxmlformats.org/officeDocument/2006/relationships/footer" Target="footer1.xml"/><Relationship Id="rId7" Type="http://schemas.openxmlformats.org/officeDocument/2006/relationships/numbering" Target="numbering.xml"/><Relationship Id="rId8"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