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Default Extension="jpg" ContentType="image/jpeg"/>
  <Default Extension="jpeg" ContentType="image/jpeg"/>
  <Default Extension="tiff" ContentType="image/tiff"/>
  <Default Extension="gif" ContentType="image/gif"/>
  <Default Extension="wmf" ContentType="image/x-wmf"/>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http://schemas.openxmlformats.org/officeDocument/2006/math"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xmlns:wp="http://schemas.openxmlformats.org/drawingml/2006/wordprocessingDrawing">
  <w:body>
    <w:p w:rsidR="00A851DA" w:rsidRDefault="00607874" w:rsidP="00A851DA" w:rsidRPr="00B0415E">
      <w:pPr>
        <w:rFonts w:hAnsiTheme="minorHAnsi"/>
        <w:pStyle w:val="Default"/>
        <w:rPr>
          <w:rFonts w:ascii="Calibri"/>
        </w:rPr>
      </w:pPr>
      <w:r>
        <w:rPr>
          <w:noProof/>
        </w:rPr>
        <w:drawing>
          <wp:anchor distT="0" distB="0" distR="114300" distL="114300" behindDoc="0" allowOverlap="1" layoutInCell="1" locked="0" relativeHeight="251658240" simplePos="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a:srcRect t="20000" b="32001" l="20320" r="23669"/>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hAnsiTheme="minorHAnsi"/>
          <w:rFonts w:ascii="Calibri"/>
        </w:rPr>
        <w:t xml:space="preserve">                                                             </w:t>
      </w:r>
      <w:r w:rsidR="00405895" w:rsidRPr="00B0415E">
        <w:rPr>
          <w:rFonts w:hAnsiTheme="minorHAnsi"/>
          <w:rFonts w:ascii="Calibri"/>
        </w:rPr>
        <w:t xml:space="preserve">     </w:t>
      </w:r>
    </w:p>
    <w:p w:rsidR="00607874" w:rsidRDefault="00200C92"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Style w:val="TableGrid"/>
        <w:tblLook w:firstRow="1" w:lastRow="0" w:firstColumn="1" w:lastColumn="0" w:noHBand="0" w:noVBand="1"/>
      </w:tblPr>
      <w:tblGrid>
        <w:gridCol w:w="2566"/>
        <w:gridCol w:w="6676"/>
      </w:tblGrid>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Name: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Nothando Magagula</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Number:</w:t>
            </w:r>
          </w:p>
        </w:tc>
        <w:tc>
          <w:tcPr>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3061</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Course: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Certificate in Public Relations Level 1</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Assignment NO:</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r>
              <w:t>Assessment # 2</w:t>
            </w:r>
          </w:p>
        </w:tc>
      </w:tr>
    </w:tbl>
    <w:p w:rsidR="00CC2FB3" w:rsidRDefault="00CC2FB3" w:rsidP="00A851DA">
      <w:pPr>
        <w:rPr>
          <w:lang w:val="en-US"/>
          <w:b/>
        </w:rPr>
      </w:pPr>
    </w:p>
    <w:p w:rsidR="00443E6F" w:rsidRDefault="00527C11" w:rsidP="00A851DA">
      <w:pPr>
        <w:rPr>
          <w:lang w:val="en-US"/>
          <w:b/>
          <w:sz w:val="28"/>
        </w:rPr>
      </w:pPr>
      <w:r w:rsidRPr="00443E6F">
        <w:rPr>
          <w:lang w:val="en-US"/>
          <w:b/>
          <w:sz w:val="28"/>
        </w:rPr>
        <w:t>Marking Criteria:</w:t>
      </w:r>
    </w:p>
    <w:p w:rsidR="00443E6F" w:rsidRDefault="00527C11" w:rsidP="00A851DA">
      <w:pPr>
        <w:rPr>
          <w:lang w:val="en-US"/>
        </w:rPr>
      </w:pPr>
      <w:r>
        <w:rPr>
          <w:lang w:val="en-US"/>
          <w:b/>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rsidRPr="00443E6F">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Style w:val="TableGrid"/>
        <w:tblLook w:firstRow="1" w:lastRow="0" w:firstColumn="1" w:lastColumn="0" w:noHBand="0" w:noVBand="1"/>
      </w:tblPr>
      <w:tblGrid>
        <w:gridCol w:w="9242"/>
      </w:tblGrid>
      <w:tr w:rsidR="00CC2FB3" w:rsidTr="00CC2FB3">
        <w:tc>
          <w:tcPr>
            <w:tcW w:w="9242" w:type="dxa"/>
          </w:tcPr>
          <w:p w:rsidR="00CC2FB3" w:rsidRDefault="00CC2FB3" w:rsidP="00A851DA" w:rsidRPr="00CC2FB3">
            <w:pPr>
              <w:rPr>
                <w:rFonts w:ascii="Arial" w:cs="Arial" w:hAnsi="Arial"/>
                <w:sz w:val="24"/>
                <w:szCs w:val="24"/>
              </w:rPr>
            </w:pPr>
            <w:r>
              <w:rPr>
                <w:rFonts w:ascii="Arial"/>
                <w:sz w:val="24"/>
              </w:rPr>
              <w:t xml:space="preserve">1. Public relations within an organisations has the obligation to make estimations about the environment because of the impact it has on the organisation. Ordinarily, organisations are affected by two types of pressures; remote / </w:t>
            </w:r>
            <w:r>
              <w:rPr>
                <w:b/>
                <w:rFonts w:ascii="Arial"/>
                <w:sz w:val="24"/>
              </w:rPr>
              <w:t>macro-environment</w:t>
            </w:r>
            <w:r>
              <w:rPr>
                <w:rFonts w:ascii="Arial"/>
                <w:sz w:val="24"/>
              </w:rPr>
              <w:t xml:space="preserve"> which are outside the control of the organisation and </w:t>
            </w:r>
            <w:r>
              <w:rPr>
                <w:b/>
                <w:rFonts w:ascii="Arial"/>
                <w:sz w:val="24"/>
              </w:rPr>
              <w:t>task environment. Macro-environment</w:t>
            </w:r>
            <w:r>
              <w:rPr>
                <w:b w:val="0"/>
                <w:rFonts w:ascii="Arial"/>
                <w:sz w:val="24"/>
              </w:rPr>
              <w:t xml:space="preserve">, has categories relating to the the tool </w:t>
            </w:r>
            <w:r>
              <w:rPr>
                <w:b/>
                <w:rFonts w:ascii="Arial"/>
                <w:sz w:val="24"/>
              </w:rPr>
              <w:t>PEST.</w:t>
            </w:r>
          </w:p>
          <w:p>
            <w:pPr>
              <w:numPr>
                <w:ilvl w:val="0"/>
                <w:numId w:val="10121982"/>
              </w:numPr>
            </w:pPr>
            <w:r>
              <w:rPr>
                <w:b/>
                <w:rFonts w:ascii="Arial"/>
                <w:sz w:val="24"/>
              </w:rPr>
              <w:t xml:space="preserve">Political / </w:t>
            </w:r>
            <w:r>
              <w:rPr>
                <w:rFonts w:ascii="Arial"/>
                <w:sz w:val="24"/>
              </w:rPr>
              <w:t>classifies areas of comparison sites for electricity companies required to reveal most suitable tariffs to customer. Thoughtfully, the British government, proposes fines for neglecting to do so, perhaps a levy on the business dealing with fossil fuels will enhance regulation {trade}.</w:t>
            </w:r>
          </w:p>
          <w:p>
            <w:pPr>
              <w:numPr>
                <w:ilvl w:val="0"/>
                <w:numId w:val="10121982"/>
              </w:numPr>
            </w:pPr>
            <w:r>
              <w:rPr>
                <w:b/>
                <w:rFonts w:ascii="Arial"/>
                <w:sz w:val="24"/>
              </w:rPr>
              <w:t xml:space="preserve">Economic / </w:t>
            </w:r>
            <w:r>
              <w:rPr>
                <w:b w:val="0"/>
                <w:rFonts w:ascii="Arial"/>
                <w:sz w:val="24"/>
              </w:rPr>
              <w:t>includes interest rates that affect the cap also; Halifax Bank. Transport for London offer the proceeds from the cap towards subsidised season tickets for national football. TFL buses were often seen with billboard facility showing greater cuts to the cost of fares.</w:t>
            </w:r>
          </w:p>
          <w:p>
            <w:pPr>
              <w:numPr>
                <w:ilvl w:val="0"/>
                <w:numId w:val="10121982"/>
              </w:numPr>
            </w:pPr>
            <w:r>
              <w:rPr>
                <w:b/>
                <w:rFonts w:ascii="Arial"/>
                <w:sz w:val="24"/>
              </w:rPr>
              <w:t xml:space="preserve">Social / </w:t>
            </w:r>
            <w:r>
              <w:rPr>
                <w:rFonts w:ascii="Arial"/>
                <w:sz w:val="24"/>
              </w:rPr>
              <w:t>solar power has been a major feature of the Zimbabweans life. The opportunity Underpins a social attitude to treat each other , their children to come and the environment with respect as shared by interested organisations. Schools were also required to study about the areas at Primary school level in lessons called environmental science.</w:t>
            </w:r>
          </w:p>
          <w:p>
            <w:pPr>
              <w:numPr>
                <w:ilvl w:val="0"/>
                <w:numId w:val="10121982"/>
              </w:numPr>
            </w:pPr>
            <w:r>
              <w:rPr>
                <w:b/>
                <w:rFonts w:ascii="Arial"/>
                <w:sz w:val="24"/>
              </w:rPr>
              <w:t xml:space="preserve">Technological / </w:t>
            </w:r>
            <w:r>
              <w:rPr>
                <w:b w:val="0"/>
                <w:rFonts w:ascii="Arial"/>
                <w:sz w:val="24"/>
              </w:rPr>
              <w:t>the advent of internet has permitted the customer to give feedback because the desire CV-Library has is to better there relationship with the users. The facility is free as is sound which cannot be possessed.</w:t>
            </w:r>
          </w:p>
          <w:p>
            <w:r>
              <w:rPr>
                <w:rFonts w:ascii="Arial"/>
                <w:sz w:val="24"/>
              </w:rPr>
            </w:r>
          </w:p>
          <w:p>
            <w:pPr/>
            <w:r>
              <w:rPr>
                <w:rFonts w:ascii="Arial"/>
                <w:sz w:val="24"/>
              </w:rPr>
              <w:t>2. Confidentiality forms the main part that a lawyer has with an organisation. Hence, communication is required to help the Public view the business with trust. A Public Relations practitioner often networks with the lawyer devoted not to create liability or other concerns affiliated with further disturbances due to a crisis. The reputation held by the business is a direct derivative of its culture / the job specification reveal how the owner of the business wants an employer to behave {like the owner or others the owner designates, such as management}.</w:t>
            </w:r>
          </w:p>
          <w:p>
            <w:r>
              <w:rPr>
                <w:rFonts w:ascii="Arial"/>
                <w:sz w:val="24"/>
              </w:rPr>
            </w:r>
          </w:p>
          <w:p>
            <w:r>
              <w:rPr>
                <w:rFonts w:ascii="Arial"/>
                <w:sz w:val="24"/>
              </w:rPr>
              <w:t>3. The communication manager, has duties that fall into a usual three categories / management styles;</w:t>
            </w:r>
          </w:p>
          <w:p>
            <w:pPr>
              <w:numPr>
                <w:ilvl w:val="0"/>
                <w:numId w:val="10121982"/>
              </w:numPr>
            </w:pPr>
            <w:r>
              <w:rPr>
                <w:rFonts w:ascii="Arial"/>
                <w:sz w:val="24"/>
              </w:rPr>
              <w:t>Prescription of the organisations communication focus, programme development, such as The UKCC that offered a 'code of conduct' to nurses that included them with the public. Hence the nursing staff shared the same adjectives / governance with the World Health Organisation and public. Astute goals towards fair and standardised healthcare were a result.</w:t>
            </w:r>
          </w:p>
          <w:p>
            <w:pPr>
              <w:numPr>
                <w:ilvl w:val="0"/>
                <w:numId w:val="10121982"/>
              </w:numPr>
            </w:pPr>
            <w:r>
              <w:rPr>
                <w:rFonts w:ascii="Arial"/>
                <w:sz w:val="24"/>
              </w:rPr>
              <w:t>Evaluation can have a heavier weight towards a communication manager role. Many reality style television offer free advice in the sale of property. Viewing a house is free and Foxtons has a registered buyer service so as customers make informed decisions.</w:t>
            </w:r>
          </w:p>
          <w:p>
            <w:pPr>
              <w:numPr>
                <w:ilvl w:val="0"/>
                <w:numId w:val="10121982"/>
              </w:numPr>
            </w:pPr>
            <w:r>
              <w:rPr>
                <w:rFonts w:ascii="Arial"/>
                <w:sz w:val="24"/>
              </w:rPr>
              <w:t>Once an evaluation this type of communication manager helps to integrate the desirable aspects of the relationship with public into the organisations infrastructure and repeat these again with the public.</w:t>
            </w:r>
          </w:p>
          <w:p>
            <w:r>
              <w:rPr>
                <w:rFonts w:ascii="Arial"/>
                <w:sz w:val="24"/>
              </w:rPr>
            </w:r>
          </w:p>
          <w:p>
            <w:pPr/>
            <w:r>
              <w:rPr>
                <w:rFonts w:ascii="Arial"/>
                <w:sz w:val="24"/>
              </w:rPr>
              <w:t>4. Startups, somewhat like a brain-storming stage, give the business owner time to meet, establish and market his status in the market, communicate effectively within the business with stakeholders, employees, customers and suppliers, e.g.</w:t>
            </w:r>
          </w:p>
          <w:p>
            <w:pPr>
              <w:numPr>
                <w:ilvl w:val="0"/>
                <w:numId w:val="10121982"/>
              </w:numPr>
            </w:pPr>
            <w:r>
              <w:rPr>
                <w:rFonts w:ascii="Arial"/>
                <w:sz w:val="24"/>
              </w:rPr>
              <w:t>parties</w:t>
            </w:r>
          </w:p>
          <w:p>
            <w:pPr>
              <w:numPr>
                <w:ilvl w:val="0"/>
                <w:numId w:val="10121982"/>
              </w:numPr>
            </w:pPr>
            <w:r>
              <w:rPr>
                <w:rFonts w:ascii="Arial"/>
                <w:sz w:val="24"/>
              </w:rPr>
              <w:t>hotels that help with resumes</w:t>
            </w:r>
          </w:p>
          <w:p>
            <w:pPr>
              <w:numPr>
                <w:ilvl w:val="0"/>
                <w:numId w:val="10121982"/>
              </w:numPr>
            </w:pPr>
            <w:r>
              <w:rPr>
                <w:rFonts w:ascii="Arial"/>
                <w:sz w:val="24"/>
              </w:rPr>
              <w:t xml:space="preserve">travel guides that include marketing; </w:t>
            </w:r>
            <w:r>
              <w:rPr>
                <w:rFonts w:ascii="Arial"/>
                <w:sz w:val="24"/>
              </w:rPr>
              <w:t>t</w:t>
            </w:r>
            <w:r>
              <w:rPr>
                <w:rFonts w:ascii="Arial"/>
                <w:sz w:val="24"/>
              </w:rPr>
              <w:t>he business must identify the group and this will involve marketing.</w:t>
            </w:r>
          </w:p>
          <w:p>
            <w:r>
              <w:rPr>
                <w:rFonts w:ascii="Arial"/>
                <w:sz w:val="24"/>
              </w:rPr>
            </w:r>
          </w:p>
          <w:p>
            <w:pPr>
              <w:rPr>
                <w:rFonts w:ascii="Arial"/>
                <w:sz w:val="24"/>
              </w:rPr>
            </w:pPr>
            <w:r>
              <w:rPr>
                <w:rFonts w:ascii="Arial"/>
                <w:sz w:val="24"/>
              </w:rPr>
              <w:t>Growth, pertains to the integration of an evaluation with the communication programme. Drive to inform the internal organisation and maintain communication and marketing have examples;</w:t>
            </w:r>
          </w:p>
          <w:p>
            <w:pPr>
              <w:numPr>
                <w:ilvl w:val="0"/>
                <w:numId w:val="10121982"/>
              </w:numPr>
            </w:pPr>
            <w:r>
              <w:rPr>
                <w:rFonts w:ascii="Arial"/>
                <w:sz w:val="24"/>
              </w:rPr>
              <w:t>an internal magazine</w:t>
            </w:r>
          </w:p>
          <w:p>
            <w:pPr>
              <w:numPr>
                <w:ilvl w:val="0"/>
                <w:numId w:val="10121982"/>
              </w:numPr>
            </w:pPr>
            <w:r>
              <w:rPr>
                <w:rFonts w:ascii="Arial"/>
                <w:sz w:val="24"/>
              </w:rPr>
              <w:t>a forum for a company product</w:t>
            </w:r>
          </w:p>
          <w:p>
            <w:pPr>
              <w:numPr>
                <w:ilvl w:val="0"/>
                <w:numId w:val="10121982"/>
              </w:numPr>
            </w:pPr>
            <w:r>
              <w:rPr>
                <w:rFonts w:ascii="Arial"/>
                <w:sz w:val="24"/>
              </w:rPr>
              <w:t>partnership with celebrities using a company brand</w:t>
            </w:r>
          </w:p>
          <w:p>
            <w:pPr/>
            <w:r>
              <w:t xml:space="preserve"> </w:t>
            </w:r>
          </w:p>
          <w:p>
            <w:r>
              <w:rPr>
                <w:rFonts w:ascii="Arial"/>
                <w:sz w:val="24"/>
              </w:rPr>
              <w:t>M</w:t>
            </w:r>
            <w:r>
              <w:rPr>
                <w:rFonts w:ascii="Arial"/>
                <w:sz w:val="24"/>
              </w:rPr>
              <w:t>aturity within of the organisation suggests the internal market must expect to report business-wise to the public, keep marketing whilst maintain their affairs and communication-style with each individual that had previous contact with them and establish a trusting relationship.</w:t>
            </w:r>
          </w:p>
          <w:p>
            <w:pPr>
              <w:numPr>
                <w:ilvl w:val="0"/>
                <w:numId w:val="10121982"/>
              </w:numPr>
            </w:pPr>
            <w:r>
              <w:rPr>
                <w:rFonts w:ascii="Arial"/>
                <w:sz w:val="24"/>
              </w:rPr>
              <w:t>partaking at an international trade fair</w:t>
            </w:r>
          </w:p>
          <w:p>
            <w:pPr>
              <w:numPr>
                <w:ilvl w:val="0"/>
                <w:numId w:val="10121982"/>
              </w:numPr>
            </w:pPr>
            <w:r>
              <w:rPr>
                <w:rFonts w:ascii="Arial"/>
                <w:sz w:val="24"/>
              </w:rPr>
              <w:t>voluntary giving</w:t>
            </w:r>
          </w:p>
          <w:p>
            <w:r>
              <w:rPr>
                <w:rFonts w:ascii="Arial"/>
                <w:sz w:val="24"/>
              </w:rPr>
            </w:r>
          </w:p>
          <w:p>
            <w:pPr/>
            <w:r>
              <w:rPr>
                <w:rFonts w:ascii="Arial"/>
                <w:sz w:val="24"/>
              </w:rPr>
              <w:t>However later stages in the growth of a business may include, difficulty with relationships. A responsible business must explain to investors, employees and the community that they may have financial restraints / Decline.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rsidRPr="00B0415E">
      <w:pPr>
        <w:autoSpaceDE w:val="0"/>
        <w:autoSpaceDN w:val="0"/>
        <w:adjustRightInd w:val="0"/>
        <w:spacing w:after="0" w:line="240" w:lineRule="auto"/>
        <w:rPr>
          <w:bCs/>
          <w:lang w:val="en-US"/>
          <w:b/>
          <w:color w:val="002060"/>
          <w:rFonts w:cs="CalvertMT-Bold"/>
          <w:sz w:val="28"/>
        </w:rPr>
      </w:pPr>
    </w:p>
    <w:p w:rsidR="00A851DA" w:rsidRDefault="00AE1481" w:rsidP="00A851DA" w:rsidRPr="00B0415E">
      <w:pPr>
        <w:autoSpaceDE w:val="0"/>
        <w:autoSpaceDN w:val="0"/>
        <w:adjustRightInd w:val="0"/>
        <w:spacing w:after="0" w:line="240" w:lineRule="auto"/>
        <w:rPr>
          <w:bCs/>
          <w:lang w:val="en-US"/>
          <w:b/>
          <w:color w:val="002060"/>
          <w:rFonts w:cs="CalvertMT-Bold"/>
          <w:sz w:val="28"/>
        </w:rPr>
      </w:pPr>
      <w:r>
        <w:rPr>
          <w:bCs/>
          <w:lang w:val="en-US"/>
          <w:b/>
          <w:color w:val="002060"/>
          <w:rFonts w:cs="CalvertMT-Bold"/>
          <w:sz w:val="28"/>
        </w:rPr>
        <w:t>Student</w:t>
      </w:r>
      <w:r w:rsidR="00A851DA" w:rsidRPr="00B0415E">
        <w:rPr>
          <w:bCs/>
          <w:lang w:val="en-US"/>
          <w:b/>
          <w:color w:val="002060"/>
          <w:rFonts w:cs="CalvertMT-Bold"/>
          <w:sz w:val="28"/>
        </w:rPr>
        <w:t xml:space="preserve"> Statement:</w:t>
      </w:r>
    </w:p>
    <w:p w:rsidR="00A851DA" w:rsidRDefault="00A851DA" w:rsidP="00A851DA" w:rsidRPr="00B0415E">
      <w:pPr>
        <w:autoSpaceDE w:val="0"/>
        <w:autoSpaceDN w:val="0"/>
        <w:adjustRightInd w:val="0"/>
        <w:spacing w:after="0" w:line="240" w:lineRule="auto"/>
        <w:rPr>
          <w:bCs/>
          <w:lang w:val="en-US"/>
          <w:b/>
          <w:color w:val="001AE6"/>
          <w:rFonts w:cs="CalvertMT-Bold"/>
        </w:rPr>
      </w:pPr>
    </w:p>
    <w:p w:rsidR="00A851DA" w:rsidRDefault="00405895" w:rsidP="00A851DA" w:rsidRPr="00B0415E">
      <w:pPr>
        <w:autoSpaceDE w:val="0"/>
        <w:autoSpaceDN w:val="0"/>
        <w:adjustRightInd w:val="0"/>
        <w:spacing w:after="0" w:line="240" w:lineRule="auto"/>
        <w:rPr>
          <w:lang w:val="en-US"/>
          <w:color w:val="000000"/>
          <w:rFonts w:cs="Bliss-Regular"/>
        </w:rPr>
      </w:pPr>
      <w:r w:rsidRPr="00B0415E">
        <w:rPr>
          <w:lang w:val="en-US"/>
          <w:color w:val="000000"/>
          <w:rFonts w:cs="Bliss-Regular"/>
        </w:rPr>
        <w:t>By submitting this assignment, I confirm that this is my own work.</w:t>
      </w:r>
    </w:p>
    <w:p w:rsidR="00503D7E" w:rsidRDefault="00503D7E" w:rsidP="00A851DA" w:rsidRPr="00B0415E">
      <w:pPr>
        <w:autoSpaceDE w:val="0"/>
        <w:autoSpaceDN w:val="0"/>
        <w:adjustRightInd w:val="0"/>
        <w:spacing w:after="0" w:line="240" w:lineRule="auto"/>
        <w:rPr>
          <w:lang w:val="en-US"/>
          <w:color w:val="000000"/>
          <w:rFonts w:cs="Bliss-Regular"/>
        </w:rPr>
      </w:pPr>
    </w:p>
    <w:p w:rsidR="00503D7E" w:rsidRDefault="00503D7E" w:rsidP="00A851DA" w:rsidRPr="00B0415E">
      <w:pPr>
        <w:autoSpaceDE w:val="0"/>
        <w:autoSpaceDN w:val="0"/>
        <w:adjustRightInd w:val="0"/>
        <w:spacing w:after="0" w:line="240" w:lineRule="auto"/>
        <w:rPr>
          <w:lang w:val="en-US"/>
          <w:color w:val="000000"/>
          <w:rFonts w:cs="Bliss-Regular"/>
        </w:rPr>
      </w:pPr>
    </w:p>
    <w:p w:rsidR="00A851DA" w:rsidRDefault="00A851DA" w:rsidP="00A851DA" w:rsidRPr="00B0415E">
      <w:pPr>
        <w:autoSpaceDE w:val="0"/>
        <w:autoSpaceDN w:val="0"/>
        <w:adjustRightInd w:val="0"/>
        <w:spacing w:after="0" w:line="240" w:lineRule="auto"/>
        <w:rPr>
          <w:lang w:val="en-US"/>
          <w:color w:val="000000"/>
          <w:rFonts w:cs="Bliss-Regular"/>
        </w:rPr>
      </w:pPr>
    </w:p>
    <w:tbl>
      <w:tblPr>
        <w:tblW w:w="0" w:type="auto"/>
        <w:tblStyle w:val="TableGrid"/>
        <w:tblLook w:firstRow="1" w:lastRow="0" w:firstColumn="1" w:lastColumn="0" w:noHBand="0" w:noVBand="1"/>
      </w:tblPr>
      <w:tblGrid>
        <w:gridCol w:w="2310"/>
        <w:gridCol w:w="4035"/>
        <w:gridCol w:w="1276"/>
        <w:gridCol w:w="1621"/>
      </w:tblGrid>
      <w:tr w:rsidR="00405895" w:rsidRPr="00B0415E" w:rsidTr="00405895">
        <w:tc>
          <w:tcPr>
            <w:shd w:fill="D9D9D9" w:color="auto" w:themeFill="background1" w:themeFillShade="D9" w:val="clear"/>
            <w:tcW w:w="2310" w:type="dxa"/>
          </w:tcPr>
          <w:p w:rsidR="00405895" w:rsidRDefault="00405895" w:rsidP="00A851DA" w:rsidRPr="00B0415E">
            <w:pPr>
              <w:rPr>
                <w:color w:val="000000"/>
                <w:rFonts w:cs="Bliss-Regular"/>
              </w:rPr>
            </w:pPr>
            <w:r w:rsidRPr="00B0415E">
              <w:rPr>
                <w:color w:val="000000"/>
                <w:rFonts w:cs="Bliss-Regular"/>
              </w:rPr>
              <w:t>Student Signature</w:t>
            </w:r>
          </w:p>
        </w:tc>
        <w:tc>
          <w:tcPr>
            <w:tcW w:w="4035" w:type="dxa"/>
          </w:tcPr>
          <w:p w:rsidR="00405895" w:rsidRDefault="00405895" w:rsidP="00A851DA" w:rsidRPr="00B0415E">
            <w:pPr>
              <w:rPr>
                <w:color w:val="000000"/>
                <w:rFonts w:cs="Bliss-Regular"/>
              </w:rPr>
            </w:pPr>
            <w:r>
              <w:t>Nothando Magagula</w:t>
            </w:r>
          </w:p>
        </w:tc>
        <w:tc>
          <w:tcPr>
            <w:shd w:fill="D9D9D9" w:color="auto" w:themeFill="background1" w:themeFillShade="D9" w:val="clear"/>
            <w:tcW w:w="1276" w:type="dxa"/>
          </w:tcPr>
          <w:p w:rsidR="00405895" w:rsidRDefault="00405895" w:rsidP="00A851DA" w:rsidRPr="00B0415E">
            <w:pPr>
              <w:rPr>
                <w:color w:val="000000"/>
                <w:rFonts w:cs="Bliss-Regular"/>
              </w:rPr>
            </w:pPr>
            <w:r w:rsidRPr="00B0415E">
              <w:rPr>
                <w:color w:val="000000"/>
                <w:rFonts w:cs="Bliss-Regular"/>
              </w:rPr>
              <w:t>Date</w:t>
            </w:r>
          </w:p>
        </w:tc>
        <w:tc>
          <w:tcPr>
            <w:tcW w:w="1621" w:type="dxa"/>
          </w:tcPr>
          <w:p w:rsidR="00405895" w:rsidRDefault="00405895" w:rsidP="00A851DA" w:rsidRPr="00B0415E">
            <w:pPr>
              <w:rPr>
                <w:color w:val="000000"/>
                <w:rFonts w:cs="Bliss-Regular"/>
              </w:rPr>
            </w:pPr>
            <w:r>
              <w:t>28/10/2016</w:t>
            </w:r>
          </w:p>
        </w:tc>
      </w:tr>
    </w:tbl>
    <w:p w:rsidR="00A851DA" w:rsidRDefault="00A851DA" w:rsidP="00A851DA" w:rsidRPr="00B0415E">
      <w:pPr>
        <w:rPr>
          <w:lang w:val="en-US"/>
          <w:color w:val="000000"/>
          <w:rFonts w:cs="Bliss-Regular"/>
        </w:rPr>
      </w:pPr>
    </w:p>
    <w:p w:rsidR="00A851DA" w:rsidRDefault="00A851DA" w:rsidP="00A851DA" w:rsidRPr="00B0415E">
      <w:pPr>
        <w:rPr>
          <w:lang w:val="en-US"/>
          <w:color w:val="000000"/>
          <w:rFonts w:cs="Bliss-Regular"/>
        </w:rPr>
      </w:pPr>
    </w:p>
    <w:p w:rsidR="00A851DA" w:rsidRDefault="00503D7E" w:rsidP="00503D7E" w:rsidRPr="00B0415E">
      <w:pPr>
        <w:shd w:fill="D9D9D9" w:color="auto" w:themeFill="background1" w:themeFillShade="D9" w:val="clear"/>
        <w:rPr>
          <w:lang w:val="en-US"/>
          <w:b/>
          <w:sz w:val="32"/>
        </w:rPr>
      </w:pPr>
      <w:r w:rsidRPr="00B0415E">
        <w:rPr>
          <w:lang w:val="en-US"/>
          <w:b/>
          <w:sz w:val="28"/>
        </w:rPr>
        <w:t>For Tutor / Assessor Use Only</w:t>
        <w:lastRenderedPageBreak/>
      </w:r>
    </w:p>
    <w:tbl>
      <w:tblPr>
        <w:tblW w:w="0" w:type="auto"/>
        <w:tblStyle w:val="TableGrid"/>
        <w:tblLook w:firstRow="1" w:lastRow="0" w:firstColumn="1" w:lastColumn="0" w:noHBand="0" w:noVBand="1"/>
      </w:tblPr>
      <w:tblGrid>
        <w:gridCol w:w="4621"/>
        <w:gridCol w:w="4621"/>
      </w:tblGrid>
      <w:tr w:rsidR="00503D7E" w:rsidRPr="00B0415E" w:rsidTr="00B0415E">
        <w:trPr>
          <w:trHeight w:val="249"/>
        </w:trPr>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Total Marks</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Marks Obtained</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B0415E" w:rsidP="00503D7E" w:rsidRPr="00B0415E">
            <w:pPr>
              <w:rPr>
                <w:b/>
                <w:color w:val="002060"/>
              </w:rPr>
            </w:pPr>
            <w:r w:rsidRPr="00B0415E">
              <w:rPr>
                <w:b/>
                <w:color w:val="002060"/>
              </w:rPr>
              <w:t>Percentage / Grade</w:t>
            </w:r>
          </w:p>
        </w:tc>
        <w:tc>
          <w:tcPr>
            <w:tcW w:w="4621" w:type="dxa"/>
          </w:tcPr>
          <w:p w:rsidR="00503D7E" w:rsidRDefault="00503D7E" w:rsidP="00503D7E" w:rsidRPr="00B0415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rsidRPr="00B0415E">
      <w:pPr>
        <w:rPr>
          <w:rFonts w:cs="Times New Roman"/>
          <w:sz w:val="24"/>
          <w:szCs w:val="32"/>
        </w:rPr>
      </w:pPr>
    </w:p>
    <w:sectPr w:rsidR="00EA30AB" w:rsidRPr="00B0415E" w:rsidSect="00187EB4">
      <w:docGrid w:linePitch="360"/>
      <w:pgSz w:w="11906" w:h="16838"/>
      <w:pgMar w:left="1440" w:right="1440" w:top="1440" w:bottom="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font w:name="Courier New"/>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F1D4919"/>
    <w:tmpl w:val="14BE2274"/>
    <w:lvl w:ilvl="0" w:tplc="7688C384">
      <w:numFmt w:val="decimal"/>
      <w:lvlText w:val="%1."/>
      <w:start w:val="2"/>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bullet"/>
      <w:lvlText w:val=""/>
      <w:start w:val="0"/>
      <w:rPr>
        <w:rFonts w:ascii="Symbol"/>
      </w:rPr>
      <w:pPr>
        <w:ind w:left="720"/>
        <w:ind w:hanging="360"/>
      </w:pPr>
    </w:lvl>
    <w:lvl w:ilvl="1">
      <w:numFmt w:val="bullet"/>
      <w:lvlText w:val="o"/>
      <w:start w:val="0"/>
      <w:rPr>
        <w:rFonts w:ascii="Courier New"/>
      </w:rPr>
      <w:pPr>
        <w:ind w:left="1440"/>
        <w:ind w:hanging="1080"/>
      </w:pPr>
    </w:lvl>
    <w:lvl w:ilvl="2">
      <w:numFmt w:val="bullet"/>
      <w:lvlText w:val=""/>
      <w:start w:val="0"/>
      <w:rPr/>
      <w:pPr>
        <w:ind w:left="2160"/>
        <w:ind w:hanging="1800"/>
      </w:pPr>
    </w:lvl>
    <w:lvl w:ilvl="3">
      <w:numFmt w:val="bullet"/>
      <w:lvlText w:val=""/>
      <w:start w:val="0"/>
      <w:rPr>
        <w:rFonts w:ascii="Symbol"/>
      </w:rPr>
      <w:pPr>
        <w:ind w:left="2880"/>
        <w:ind w:hanging="2520"/>
      </w:pPr>
    </w:lvl>
    <w:lvl w:ilvl="4">
      <w:numFmt w:val="bullet"/>
      <w:lvlText w:val="o"/>
      <w:start w:val="0"/>
      <w:rPr>
        <w:rFonts w:ascii="Courier New"/>
      </w:rPr>
      <w:pPr>
        <w:ind w:left="3600"/>
        <w:ind w:hanging="3240"/>
      </w:pPr>
    </w:lvl>
    <w:lvl w:ilvl="5">
      <w:numFmt w:val="bullet"/>
      <w:lvlText w:val=""/>
      <w:start w:val="0"/>
      <w:rPr/>
      <w:pPr>
        <w:ind w:left="4320"/>
        <w:ind w:hanging="3960"/>
      </w:pPr>
    </w:lvl>
    <w:lvl w:ilvl="6">
      <w:numFmt w:val="bullet"/>
      <w:lvlText w:val=""/>
      <w:start w:val="0"/>
      <w:rPr>
        <w:rFonts w:ascii="Symbol"/>
      </w:rPr>
      <w:pPr>
        <w:ind w:left="5040"/>
        <w:ind w:hanging="4680"/>
      </w:pPr>
    </w:lvl>
    <w:lvl w:ilvl="7">
      <w:numFmt w:val="bullet"/>
      <w:lvlText w:val="o"/>
      <w:start w:val="0"/>
      <w:rPr>
        <w:rFonts w:asci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 w:numId="10121983">
    <w:abstractNumId w:val="1012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qFormat/>
    <w:basedOn w:val="Normal"/>
    <w:rPr>
      <w:color w:val="17365D"/>
      <w:sz w:val="52"/>
    </w:rPr>
    <w:pPr>
      <w:spacing w:after="300"/>
    </w:pPr>
  </w:style>
  <w:style w:type="paragraph" w:styleId="Subtitle">
    <w:name w:val="Subtitle"/>
    <w:qFormat/>
    <w:basedOn w:val="Normal"/>
    <w:rPr>
      <w:i/>
      <w:color w:val="4F81BD"/>
      <w:sz w:val="24"/>
    </w:rPr>
  </w:style>
  <w:style w:type="paragraph" w:styleId="Heading1">
    <w:name w:val="Heading 1"/>
    <w:qFormat/>
    <w:basedOn w:val="Normal"/>
    <w:rPr>
      <w:b/>
      <w:color w:val="345A8A"/>
      <w:sz w:val="32"/>
    </w:rPr>
    <w:pPr>
      <w:spacing w:before="480"/>
    </w:pPr>
  </w:style>
  <w:style w:type="paragraph" w:styleId="Heading2">
    <w:name w:val="Heading 2"/>
    <w:qFormat/>
    <w:basedOn w:val="Normal"/>
    <w:rPr>
      <w:b/>
      <w:color w:val="4F81BD"/>
      <w:sz w:val="26"/>
    </w:rPr>
    <w:pPr>
      <w:spacing w:before="200"/>
    </w:pPr>
  </w:style>
  <w:style w:type="paragraph" w:styleId="Heading3">
    <w:name w:val="Heading 3"/>
    <w:qFormat/>
    <w:basedOn w:val="Normal"/>
    <w:rPr>
      <w:b/>
      <w:color w:val="4F81BD"/>
      <w:sz w:val="24"/>
    </w:rPr>
    <w:pPr>
      <w:spacing w:before="200"/>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2015-01-26T12:24:00Z</dcterms:created>
  <dcterms:modified xsi:type="dcterms:W3CDTF">2015-01-26T12:24:00Z</dcterms:modified>
</cp:coreProperties>
</file>