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955E9C" w:rsidRDefault="00607874" w:rsidP="008E6C9D">
      <w:pPr>
        <w:pStyle w:val="Default"/>
        <w:jc w:val="both"/>
        <w:rPr>
          <w:rFonts w:asciiTheme="minorHAnsi" w:hAnsiTheme="minorHAnsi" w:cstheme="minorBidi"/>
        </w:rPr>
      </w:pPr>
      <w:r w:rsidRPr="00955E9C">
        <w:rPr>
          <w:rFonts w:asciiTheme="minorHAnsi" w:hAnsiTheme="minorHAns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55E9C">
        <w:rPr>
          <w:rFonts w:asciiTheme="minorHAnsi" w:hAnsiTheme="minorHAnsi" w:cstheme="minorBidi"/>
        </w:rPr>
        <w:t xml:space="preserve">                                                             </w:t>
      </w:r>
      <w:r w:rsidR="00405895" w:rsidRPr="00955E9C">
        <w:rPr>
          <w:rFonts w:asciiTheme="minorHAnsi" w:hAnsiTheme="minorHAnsi" w:cstheme="minorBidi"/>
        </w:rPr>
        <w:t xml:space="preserve">     </w:t>
      </w:r>
    </w:p>
    <w:p w:rsidR="00607874" w:rsidRPr="00955E9C" w:rsidRDefault="003F530C" w:rsidP="008E6C9D">
      <w:pPr>
        <w:jc w:val="both"/>
        <w:rPr>
          <w:sz w:val="24"/>
          <w:szCs w:val="24"/>
          <w:lang w:val="en-US"/>
        </w:rPr>
      </w:pPr>
      <w:r>
        <w:rPr>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955E9C" w:rsidRDefault="00607874" w:rsidP="008E6C9D">
      <w:pPr>
        <w:jc w:val="both"/>
        <w:rPr>
          <w:sz w:val="24"/>
          <w:szCs w:val="24"/>
          <w:lang w:val="en-US"/>
        </w:rPr>
      </w:pPr>
    </w:p>
    <w:p w:rsidR="00607874" w:rsidRPr="00955E9C" w:rsidRDefault="00607874" w:rsidP="008E6C9D">
      <w:pPr>
        <w:jc w:val="both"/>
        <w:rPr>
          <w:sz w:val="24"/>
          <w:szCs w:val="24"/>
          <w:lang w:val="en-US"/>
        </w:rPr>
      </w:pPr>
    </w:p>
    <w:tbl>
      <w:tblPr>
        <w:tblStyle w:val="TableGrid"/>
        <w:tblW w:w="0" w:type="auto"/>
        <w:tblLook w:val="04A0"/>
      </w:tblPr>
      <w:tblGrid>
        <w:gridCol w:w="2566"/>
        <w:gridCol w:w="6676"/>
      </w:tblGrid>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6A54CE" w:rsidP="008E6C9D">
            <w:pPr>
              <w:pStyle w:val="Default"/>
              <w:jc w:val="both"/>
              <w:rPr>
                <w:rFonts w:asciiTheme="minorHAnsi" w:hAnsiTheme="minorHAnsi" w:cstheme="minorBidi"/>
              </w:rPr>
            </w:pPr>
            <w:r>
              <w:rPr>
                <w:rFonts w:asciiTheme="minorHAnsi" w:hAnsiTheme="minorHAnsi" w:cstheme="minorBidi"/>
              </w:rPr>
              <w:t>Amr Hindawy</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55E9C" w:rsidRDefault="006A54CE" w:rsidP="008E6C9D">
            <w:pPr>
              <w:pStyle w:val="Default"/>
              <w:jc w:val="both"/>
              <w:rPr>
                <w:rFonts w:asciiTheme="minorHAnsi" w:hAnsiTheme="minorHAnsi" w:cstheme="minorBidi"/>
              </w:rPr>
            </w:pPr>
            <w:r>
              <w:rPr>
                <w:rFonts w:asciiTheme="minorHAnsi" w:hAnsiTheme="minorHAnsi" w:cstheme="minorBidi"/>
              </w:rPr>
              <w:t>1748</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EE2C1B" w:rsidP="00EE2C1B">
            <w:pPr>
              <w:jc w:val="both"/>
              <w:rPr>
                <w:rFonts w:eastAsia="Calibri"/>
                <w:sz w:val="24"/>
                <w:szCs w:val="24"/>
              </w:rPr>
            </w:pPr>
            <w:r w:rsidRPr="00EE2C1B">
              <w:rPr>
                <w:rFonts w:eastAsia="Calibri"/>
                <w:color w:val="000000"/>
                <w:sz w:val="24"/>
                <w:szCs w:val="24"/>
              </w:rPr>
              <w:t>Risk Assessment, Evaluation &amp; Management</w:t>
            </w:r>
          </w:p>
        </w:tc>
      </w:tr>
      <w:tr w:rsidR="00A851DA" w:rsidRPr="00955E9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55E9C" w:rsidRDefault="00A851DA" w:rsidP="008E6C9D">
            <w:pPr>
              <w:jc w:val="both"/>
              <w:rPr>
                <w:b/>
                <w:color w:val="002060"/>
                <w:sz w:val="24"/>
                <w:szCs w:val="24"/>
              </w:rPr>
            </w:pPr>
            <w:r w:rsidRPr="00955E9C">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55E9C" w:rsidRDefault="00EE2C1B" w:rsidP="008E6C9D">
            <w:pPr>
              <w:jc w:val="both"/>
              <w:rPr>
                <w:sz w:val="24"/>
                <w:szCs w:val="24"/>
              </w:rPr>
            </w:pPr>
            <w:r>
              <w:rPr>
                <w:sz w:val="24"/>
                <w:szCs w:val="24"/>
              </w:rPr>
              <w:t>6</w:t>
            </w:r>
          </w:p>
        </w:tc>
      </w:tr>
    </w:tbl>
    <w:p w:rsidR="00CC2FB3" w:rsidRPr="00955E9C" w:rsidRDefault="00CC2FB3" w:rsidP="008E6C9D">
      <w:pPr>
        <w:jc w:val="both"/>
        <w:rPr>
          <w:b/>
          <w:sz w:val="24"/>
          <w:szCs w:val="24"/>
          <w:lang w:val="en-US"/>
        </w:rPr>
      </w:pPr>
    </w:p>
    <w:tbl>
      <w:tblPr>
        <w:tblStyle w:val="TableGrid"/>
        <w:tblW w:w="0" w:type="auto"/>
        <w:tblLook w:val="04A0"/>
      </w:tblPr>
      <w:tblGrid>
        <w:gridCol w:w="9242"/>
      </w:tblGrid>
      <w:tr w:rsidR="00CC2FB3" w:rsidRPr="00955E9C" w:rsidTr="00923AF8">
        <w:tc>
          <w:tcPr>
            <w:tcW w:w="9242" w:type="dxa"/>
          </w:tcPr>
          <w:p w:rsidR="00970DFA" w:rsidRPr="00955E9C" w:rsidRDefault="00A11652" w:rsidP="008E6C9D">
            <w:pPr>
              <w:autoSpaceDE w:val="0"/>
              <w:autoSpaceDN w:val="0"/>
              <w:adjustRightInd w:val="0"/>
              <w:jc w:val="both"/>
              <w:rPr>
                <w:color w:val="000000"/>
                <w:sz w:val="24"/>
                <w:szCs w:val="24"/>
              </w:rPr>
            </w:pPr>
            <w:r w:rsidRPr="00955E9C">
              <w:rPr>
                <w:color w:val="000000"/>
                <w:sz w:val="24"/>
                <w:szCs w:val="24"/>
              </w:rPr>
              <w:t>Answers :</w:t>
            </w:r>
          </w:p>
          <w:p w:rsidR="00970DFA" w:rsidRPr="00955E9C" w:rsidRDefault="00970DFA" w:rsidP="008E6C9D">
            <w:pPr>
              <w:autoSpaceDE w:val="0"/>
              <w:autoSpaceDN w:val="0"/>
              <w:adjustRightInd w:val="0"/>
              <w:jc w:val="both"/>
              <w:rPr>
                <w:color w:val="000000"/>
                <w:sz w:val="24"/>
                <w:szCs w:val="24"/>
              </w:rPr>
            </w:pPr>
          </w:p>
          <w:p w:rsidR="002E44CF" w:rsidRPr="00955E9C" w:rsidRDefault="00DD7C3B" w:rsidP="008E6C9D">
            <w:pPr>
              <w:pStyle w:val="Default"/>
              <w:jc w:val="both"/>
              <w:rPr>
                <w:rFonts w:asciiTheme="minorHAnsi" w:eastAsiaTheme="minorHAnsi" w:hAnsiTheme="minorHAnsi"/>
              </w:rPr>
            </w:pPr>
            <w:r w:rsidRPr="00955E9C">
              <w:rPr>
                <w:rFonts w:asciiTheme="minorHAnsi" w:hAnsiTheme="minorHAnsi"/>
              </w:rPr>
              <w:t xml:space="preserve"> </w:t>
            </w:r>
            <w:r w:rsidR="00810131" w:rsidRPr="00955E9C">
              <w:rPr>
                <w:rFonts w:asciiTheme="minorHAnsi" w:hAnsiTheme="minorHAnsi"/>
                <w:b/>
                <w:bCs/>
              </w:rPr>
              <w:t xml:space="preserve">Q.1. </w:t>
            </w:r>
            <w:r w:rsidRPr="00955E9C">
              <w:rPr>
                <w:rFonts w:asciiTheme="minorHAnsi" w:hAnsiTheme="minorHAnsi"/>
                <w:b/>
                <w:bCs/>
              </w:rPr>
              <w:t>I.</w:t>
            </w:r>
            <w:r w:rsidRPr="00955E9C">
              <w:rPr>
                <w:rFonts w:asciiTheme="minorHAnsi" w:hAnsiTheme="minorHAnsi"/>
              </w:rPr>
              <w:t xml:space="preserve"> </w:t>
            </w:r>
          </w:p>
          <w:p w:rsidR="002E44CF" w:rsidRPr="00955E9C" w:rsidRDefault="002E44CF" w:rsidP="008E6C9D">
            <w:pPr>
              <w:autoSpaceDE w:val="0"/>
              <w:autoSpaceDN w:val="0"/>
              <w:adjustRightInd w:val="0"/>
              <w:jc w:val="both"/>
              <w:rPr>
                <w:rFonts w:cs="Calibri"/>
                <w:color w:val="000000"/>
                <w:sz w:val="24"/>
                <w:szCs w:val="24"/>
              </w:rPr>
            </w:pPr>
            <w:r w:rsidRPr="00955E9C">
              <w:rPr>
                <w:rFonts w:cs="Calibri"/>
                <w:color w:val="000000"/>
                <w:sz w:val="24"/>
                <w:szCs w:val="24"/>
              </w:rPr>
              <w:t xml:space="preserve"> </w:t>
            </w:r>
          </w:p>
          <w:p w:rsidR="007E198F" w:rsidRDefault="007E198F" w:rsidP="007E198F">
            <w:pPr>
              <w:autoSpaceDE w:val="0"/>
              <w:autoSpaceDN w:val="0"/>
              <w:adjustRightInd w:val="0"/>
              <w:rPr>
                <w:rFonts w:ascii="Calibri" w:hAnsi="Calibri" w:cs="Calibri"/>
                <w:color w:val="000000"/>
                <w:sz w:val="24"/>
                <w:szCs w:val="24"/>
              </w:rPr>
            </w:pPr>
            <w:r>
              <w:rPr>
                <w:rFonts w:ascii="Calibri" w:hAnsi="Calibri" w:cs="Calibri"/>
                <w:color w:val="000000"/>
                <w:sz w:val="24"/>
                <w:szCs w:val="24"/>
              </w:rPr>
              <w:t>The following three principles are important for assessing risk:</w:t>
            </w:r>
          </w:p>
          <w:p w:rsidR="007E198F" w:rsidRDefault="007E198F" w:rsidP="007E198F">
            <w:pPr>
              <w:autoSpaceDE w:val="0"/>
              <w:autoSpaceDN w:val="0"/>
              <w:adjustRightInd w:val="0"/>
              <w:rPr>
                <w:rFonts w:ascii="Calibri" w:hAnsi="Calibri" w:cs="Calibri"/>
                <w:color w:val="000000"/>
                <w:sz w:val="24"/>
                <w:szCs w:val="24"/>
              </w:rPr>
            </w:pPr>
          </w:p>
          <w:p w:rsidR="007E198F" w:rsidRDefault="007E198F" w:rsidP="0096561B">
            <w:pPr>
              <w:pStyle w:val="ListParagraph"/>
              <w:numPr>
                <w:ilvl w:val="0"/>
                <w:numId w:val="2"/>
              </w:numPr>
              <w:autoSpaceDE w:val="0"/>
              <w:autoSpaceDN w:val="0"/>
              <w:adjustRightInd w:val="0"/>
              <w:rPr>
                <w:rFonts w:cs="Calibri"/>
                <w:color w:val="000000"/>
                <w:sz w:val="24"/>
                <w:szCs w:val="24"/>
              </w:rPr>
            </w:pPr>
            <w:r w:rsidRPr="007E198F">
              <w:rPr>
                <w:rFonts w:cs="Calibri"/>
                <w:color w:val="000000"/>
                <w:sz w:val="24"/>
                <w:szCs w:val="24"/>
              </w:rPr>
              <w:t>Ensure that a clearly structured process is in place in which both possibility and impact are</w:t>
            </w:r>
            <w:r>
              <w:rPr>
                <w:rFonts w:cs="Calibri"/>
                <w:color w:val="000000"/>
                <w:sz w:val="24"/>
                <w:szCs w:val="24"/>
              </w:rPr>
              <w:t xml:space="preserve"> </w:t>
            </w:r>
            <w:r w:rsidR="006A54CE">
              <w:rPr>
                <w:rFonts w:cs="Calibri"/>
                <w:color w:val="000000"/>
                <w:sz w:val="24"/>
                <w:szCs w:val="24"/>
              </w:rPr>
              <w:t>considered for each risk.</w:t>
            </w:r>
          </w:p>
          <w:p w:rsidR="007E198F" w:rsidRDefault="007E198F" w:rsidP="0096561B">
            <w:pPr>
              <w:pStyle w:val="ListParagraph"/>
              <w:numPr>
                <w:ilvl w:val="0"/>
                <w:numId w:val="2"/>
              </w:numPr>
              <w:autoSpaceDE w:val="0"/>
              <w:autoSpaceDN w:val="0"/>
              <w:adjustRightInd w:val="0"/>
              <w:rPr>
                <w:rFonts w:cs="Calibri"/>
                <w:color w:val="000000"/>
                <w:sz w:val="24"/>
                <w:szCs w:val="24"/>
              </w:rPr>
            </w:pPr>
            <w:r w:rsidRPr="007E198F">
              <w:rPr>
                <w:rFonts w:cs="Calibri"/>
                <w:color w:val="000000"/>
                <w:sz w:val="24"/>
                <w:szCs w:val="24"/>
              </w:rPr>
              <w:t>Distinguish between residual and inherent risk</w:t>
            </w:r>
            <w:r w:rsidR="006A54CE">
              <w:rPr>
                <w:rFonts w:cs="Calibri"/>
                <w:color w:val="000000"/>
                <w:sz w:val="24"/>
                <w:szCs w:val="24"/>
              </w:rPr>
              <w:t>.</w:t>
            </w:r>
          </w:p>
          <w:p w:rsidR="00DD7C3B" w:rsidRPr="007E198F" w:rsidRDefault="007E198F" w:rsidP="0096561B">
            <w:pPr>
              <w:pStyle w:val="ListParagraph"/>
              <w:numPr>
                <w:ilvl w:val="0"/>
                <w:numId w:val="2"/>
              </w:numPr>
              <w:autoSpaceDE w:val="0"/>
              <w:autoSpaceDN w:val="0"/>
              <w:adjustRightInd w:val="0"/>
              <w:rPr>
                <w:rFonts w:cs="Calibri"/>
                <w:color w:val="000000"/>
                <w:sz w:val="24"/>
                <w:szCs w:val="24"/>
              </w:rPr>
            </w:pPr>
            <w:r w:rsidRPr="007E198F">
              <w:rPr>
                <w:rFonts w:cs="Calibri"/>
                <w:color w:val="000000"/>
                <w:sz w:val="24"/>
                <w:szCs w:val="24"/>
              </w:rPr>
              <w:t>Record the risk assessment in a manner that facilitates observing and identifying risk priorities.</w:t>
            </w:r>
          </w:p>
          <w:p w:rsidR="00812C44" w:rsidRPr="00955E9C" w:rsidRDefault="00810131" w:rsidP="008E6C9D">
            <w:pPr>
              <w:autoSpaceDE w:val="0"/>
              <w:autoSpaceDN w:val="0"/>
              <w:adjustRightInd w:val="0"/>
              <w:jc w:val="both"/>
              <w:rPr>
                <w:color w:val="000000"/>
                <w:sz w:val="24"/>
                <w:szCs w:val="24"/>
              </w:rPr>
            </w:pPr>
            <w:r w:rsidRPr="00955E9C">
              <w:rPr>
                <w:b/>
                <w:bCs/>
                <w:color w:val="000000"/>
                <w:sz w:val="24"/>
                <w:szCs w:val="24"/>
              </w:rPr>
              <w:t xml:space="preserve">Q.1. </w:t>
            </w:r>
            <w:r w:rsidR="00DD7C3B" w:rsidRPr="00955E9C">
              <w:rPr>
                <w:b/>
                <w:bCs/>
                <w:color w:val="000000"/>
                <w:sz w:val="24"/>
                <w:szCs w:val="24"/>
              </w:rPr>
              <w:t>II.</w:t>
            </w:r>
            <w:r w:rsidR="00DD7C3B" w:rsidRPr="00955E9C">
              <w:rPr>
                <w:color w:val="000000"/>
                <w:sz w:val="24"/>
                <w:szCs w:val="24"/>
              </w:rPr>
              <w:t xml:space="preserve"> </w:t>
            </w:r>
            <w:r w:rsidR="00812C44" w:rsidRPr="00955E9C">
              <w:rPr>
                <w:color w:val="000000"/>
                <w:sz w:val="24"/>
                <w:szCs w:val="24"/>
              </w:rPr>
              <w:t xml:space="preserve"> </w:t>
            </w:r>
          </w:p>
          <w:p w:rsidR="002E44CF" w:rsidRPr="00955E9C" w:rsidRDefault="002E44CF" w:rsidP="008E6C9D">
            <w:pPr>
              <w:autoSpaceDE w:val="0"/>
              <w:autoSpaceDN w:val="0"/>
              <w:adjustRightInd w:val="0"/>
              <w:jc w:val="both"/>
              <w:rPr>
                <w:color w:val="000000"/>
                <w:sz w:val="24"/>
                <w:szCs w:val="24"/>
              </w:rPr>
            </w:pPr>
          </w:p>
          <w:p w:rsidR="007E198F" w:rsidRPr="007E198F" w:rsidRDefault="007E198F" w:rsidP="007E198F">
            <w:pPr>
              <w:autoSpaceDE w:val="0"/>
              <w:autoSpaceDN w:val="0"/>
              <w:adjustRightInd w:val="0"/>
              <w:rPr>
                <w:rFonts w:ascii="Calibri" w:hAnsi="Calibri" w:cs="Calibri"/>
                <w:sz w:val="24"/>
                <w:szCs w:val="24"/>
              </w:rPr>
            </w:pPr>
            <w:r>
              <w:rPr>
                <w:rFonts w:ascii="Calibri" w:hAnsi="Calibri" w:cs="Calibri"/>
                <w:color w:val="000000"/>
                <w:sz w:val="23"/>
                <w:szCs w:val="23"/>
              </w:rPr>
              <w:t xml:space="preserve">Being </w:t>
            </w:r>
            <w:r>
              <w:rPr>
                <w:rFonts w:ascii="Calibri" w:hAnsi="Calibri" w:cs="Calibri"/>
                <w:sz w:val="24"/>
                <w:szCs w:val="24"/>
              </w:rPr>
              <w:t>an evaluation of the possibility and the impact of the risks and opportunities that have been identified if they should occur. Undertaking the assessment provides several benefits, such as providing an order of pain or gain for each opportunity and risk that has been identified.</w:t>
            </w:r>
          </w:p>
          <w:p w:rsidR="00356E39" w:rsidRPr="00955E9C" w:rsidRDefault="00356E39" w:rsidP="008E6C9D">
            <w:pPr>
              <w:autoSpaceDE w:val="0"/>
              <w:autoSpaceDN w:val="0"/>
              <w:adjustRightInd w:val="0"/>
              <w:spacing w:after="58"/>
              <w:jc w:val="both"/>
              <w:rPr>
                <w:color w:val="000000"/>
                <w:sz w:val="24"/>
                <w:szCs w:val="24"/>
              </w:rPr>
            </w:pPr>
          </w:p>
          <w:p w:rsidR="00812C44" w:rsidRPr="00955E9C" w:rsidRDefault="00626C1E" w:rsidP="008E6C9D">
            <w:pPr>
              <w:autoSpaceDE w:val="0"/>
              <w:autoSpaceDN w:val="0"/>
              <w:adjustRightInd w:val="0"/>
              <w:jc w:val="both"/>
              <w:rPr>
                <w:color w:val="000000"/>
                <w:sz w:val="24"/>
                <w:szCs w:val="24"/>
              </w:rPr>
            </w:pPr>
            <w:r w:rsidRPr="00955E9C">
              <w:rPr>
                <w:b/>
                <w:bCs/>
                <w:color w:val="000000"/>
                <w:sz w:val="24"/>
                <w:szCs w:val="24"/>
              </w:rPr>
              <w:t xml:space="preserve">Q.1. </w:t>
            </w:r>
            <w:r w:rsidR="00DD7C3B" w:rsidRPr="00955E9C">
              <w:rPr>
                <w:b/>
                <w:bCs/>
                <w:color w:val="000000"/>
                <w:sz w:val="24"/>
                <w:szCs w:val="24"/>
              </w:rPr>
              <w:t>III.</w:t>
            </w:r>
            <w:r w:rsidR="00DD7C3B" w:rsidRPr="00955E9C">
              <w:rPr>
                <w:color w:val="000000"/>
                <w:sz w:val="24"/>
                <w:szCs w:val="24"/>
              </w:rPr>
              <w:t xml:space="preserve"> </w:t>
            </w:r>
          </w:p>
          <w:p w:rsidR="00EE2C1B" w:rsidRPr="00EE2C1B" w:rsidRDefault="00EE2C1B" w:rsidP="00EE2C1B">
            <w:pPr>
              <w:autoSpaceDE w:val="0"/>
              <w:autoSpaceDN w:val="0"/>
              <w:adjustRightInd w:val="0"/>
              <w:rPr>
                <w:rFonts w:ascii="Calibri" w:hAnsi="Calibri" w:cs="Calibri"/>
                <w:color w:val="000000"/>
                <w:sz w:val="24"/>
                <w:szCs w:val="24"/>
              </w:rPr>
            </w:pPr>
          </w:p>
          <w:p w:rsidR="007E198F" w:rsidRDefault="007E198F" w:rsidP="007E198F">
            <w:pPr>
              <w:autoSpaceDE w:val="0"/>
              <w:autoSpaceDN w:val="0"/>
              <w:adjustRightInd w:val="0"/>
              <w:rPr>
                <w:rFonts w:ascii="Calibri" w:hAnsi="Calibri" w:cs="Calibri"/>
                <w:color w:val="000000"/>
                <w:sz w:val="24"/>
                <w:szCs w:val="24"/>
              </w:rPr>
            </w:pPr>
            <w:r>
              <w:rPr>
                <w:rFonts w:ascii="Calibri" w:hAnsi="Calibri" w:cs="Calibri"/>
                <w:color w:val="000000"/>
                <w:sz w:val="24"/>
                <w:szCs w:val="24"/>
              </w:rPr>
              <w:t>Risk management process activities are the tasks essential to ensure that risk management is a proactive process which executes, manages and then intervenes to implement corrective action. Thus, these activities comprise:</w:t>
            </w:r>
          </w:p>
          <w:p w:rsidR="007E198F" w:rsidRDefault="007E198F" w:rsidP="007E198F">
            <w:pPr>
              <w:autoSpaceDE w:val="0"/>
              <w:autoSpaceDN w:val="0"/>
              <w:adjustRightInd w:val="0"/>
              <w:rPr>
                <w:rFonts w:ascii="Calibri" w:hAnsi="Calibri" w:cs="Calibri"/>
                <w:color w:val="000000"/>
                <w:sz w:val="24"/>
                <w:szCs w:val="24"/>
              </w:rPr>
            </w:pPr>
          </w:p>
          <w:p w:rsidR="007E198F" w:rsidRPr="007E198F" w:rsidRDefault="007E198F" w:rsidP="0096561B">
            <w:pPr>
              <w:pStyle w:val="ListParagraph"/>
              <w:numPr>
                <w:ilvl w:val="0"/>
                <w:numId w:val="3"/>
              </w:numPr>
              <w:autoSpaceDE w:val="0"/>
              <w:autoSpaceDN w:val="0"/>
              <w:adjustRightInd w:val="0"/>
              <w:rPr>
                <w:rFonts w:cs="Calibri"/>
                <w:color w:val="000000"/>
                <w:sz w:val="24"/>
                <w:szCs w:val="24"/>
              </w:rPr>
            </w:pPr>
            <w:r w:rsidRPr="007E198F">
              <w:rPr>
                <w:rFonts w:cs="Calibri"/>
                <w:color w:val="000000"/>
                <w:sz w:val="24"/>
                <w:szCs w:val="24"/>
              </w:rPr>
              <w:t>Executing: Risk response actions;</w:t>
            </w:r>
          </w:p>
          <w:p w:rsidR="007E198F" w:rsidRPr="007E198F" w:rsidRDefault="007E198F" w:rsidP="0096561B">
            <w:pPr>
              <w:pStyle w:val="ListParagraph"/>
              <w:numPr>
                <w:ilvl w:val="0"/>
                <w:numId w:val="3"/>
              </w:numPr>
              <w:autoSpaceDE w:val="0"/>
              <w:autoSpaceDN w:val="0"/>
              <w:adjustRightInd w:val="0"/>
              <w:rPr>
                <w:rFonts w:cs="Calibri"/>
                <w:color w:val="000000"/>
                <w:sz w:val="24"/>
                <w:szCs w:val="24"/>
              </w:rPr>
            </w:pPr>
            <w:r w:rsidRPr="007E198F">
              <w:rPr>
                <w:rFonts w:cs="Calibri"/>
                <w:color w:val="000000"/>
                <w:sz w:val="24"/>
                <w:szCs w:val="24"/>
              </w:rPr>
              <w:t>Monitoring: The efficiency of risk management actions; and</w:t>
            </w:r>
          </w:p>
          <w:p w:rsidR="00EE2C1B" w:rsidRPr="007E198F" w:rsidRDefault="007E198F" w:rsidP="0096561B">
            <w:pPr>
              <w:pStyle w:val="ListParagraph"/>
              <w:numPr>
                <w:ilvl w:val="0"/>
                <w:numId w:val="3"/>
              </w:numPr>
              <w:autoSpaceDE w:val="0"/>
              <w:autoSpaceDN w:val="0"/>
              <w:adjustRightInd w:val="0"/>
              <w:rPr>
                <w:rFonts w:cs="Calibri"/>
                <w:color w:val="000000"/>
                <w:sz w:val="23"/>
                <w:szCs w:val="23"/>
              </w:rPr>
            </w:pPr>
            <w:r w:rsidRPr="007E198F">
              <w:rPr>
                <w:rFonts w:cs="Calibri"/>
                <w:color w:val="000000"/>
                <w:sz w:val="24"/>
                <w:szCs w:val="24"/>
              </w:rPr>
              <w:t>Controlling: Intervening when events are not adhering to the plan.</w:t>
            </w:r>
          </w:p>
          <w:p w:rsidR="00AB1C27" w:rsidRDefault="00AB1C27" w:rsidP="00AB1C27">
            <w:pPr>
              <w:autoSpaceDE w:val="0"/>
              <w:autoSpaceDN w:val="0"/>
              <w:adjustRightInd w:val="0"/>
              <w:jc w:val="both"/>
              <w:rPr>
                <w:rFonts w:cs="Calibri"/>
                <w:color w:val="000000"/>
                <w:sz w:val="24"/>
                <w:szCs w:val="24"/>
              </w:rPr>
            </w:pPr>
          </w:p>
          <w:p w:rsidR="00812C44" w:rsidRPr="00955E9C" w:rsidRDefault="00626C1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 xml:space="preserve">Q.1. </w:t>
            </w:r>
            <w:r w:rsidR="00DD7C3B" w:rsidRPr="00955E9C">
              <w:rPr>
                <w:rFonts w:asciiTheme="minorHAnsi" w:eastAsiaTheme="minorHAnsi" w:hAnsiTheme="minorHAnsi" w:cstheme="minorBidi"/>
                <w:b/>
                <w:bCs/>
              </w:rPr>
              <w:t>IV.</w:t>
            </w:r>
            <w:r w:rsidR="00DD7C3B" w:rsidRPr="00955E9C">
              <w:rPr>
                <w:rFonts w:asciiTheme="minorHAnsi" w:eastAsiaTheme="minorHAnsi" w:hAnsiTheme="minorHAnsi" w:cstheme="minorBidi"/>
              </w:rPr>
              <w:t xml:space="preserve"> </w:t>
            </w:r>
            <w:r w:rsidR="00812C44" w:rsidRPr="00955E9C">
              <w:rPr>
                <w:rFonts w:asciiTheme="minorHAnsi" w:eastAsiaTheme="minorHAnsi" w:hAnsiTheme="minorHAnsi" w:cstheme="minorBidi"/>
              </w:rPr>
              <w:t xml:space="preserve"> </w:t>
            </w:r>
          </w:p>
          <w:p w:rsidR="00EE2C1B" w:rsidRPr="00EE2C1B" w:rsidRDefault="002E44CF" w:rsidP="00EE2C1B">
            <w:pPr>
              <w:pStyle w:val="Default"/>
            </w:pPr>
            <w:r w:rsidRPr="00955E9C">
              <w:t xml:space="preserve"> </w:t>
            </w:r>
          </w:p>
          <w:p w:rsidR="007E198F" w:rsidRDefault="007E198F" w:rsidP="007E198F">
            <w:pPr>
              <w:autoSpaceDE w:val="0"/>
              <w:autoSpaceDN w:val="0"/>
              <w:adjustRightInd w:val="0"/>
              <w:rPr>
                <w:rFonts w:ascii="Calibri" w:hAnsi="Calibri" w:cs="Calibri"/>
                <w:sz w:val="24"/>
                <w:szCs w:val="24"/>
              </w:rPr>
            </w:pPr>
            <w:r>
              <w:rPr>
                <w:rFonts w:ascii="Calibri" w:hAnsi="Calibri" w:cs="Calibri"/>
                <w:sz w:val="24"/>
                <w:szCs w:val="24"/>
              </w:rPr>
              <w:t>The Risk appetite is defined as the amount of risk a business is prepared to accept or be exposed to at any point in time. Risk appetite is also known as risk preference, attitude, tolerance or capacity. A company’s risk appetite is its ability to absorb risk. Each company’s risk tolerance is unique, although</w:t>
            </w:r>
          </w:p>
          <w:p w:rsidR="002B4201" w:rsidRDefault="007E198F" w:rsidP="007E198F">
            <w:pPr>
              <w:autoSpaceDE w:val="0"/>
              <w:autoSpaceDN w:val="0"/>
              <w:adjustRightInd w:val="0"/>
              <w:rPr>
                <w:rFonts w:ascii="Calibri" w:hAnsi="Calibri" w:cs="Calibri"/>
                <w:sz w:val="24"/>
                <w:szCs w:val="24"/>
              </w:rPr>
            </w:pPr>
            <w:r>
              <w:rPr>
                <w:rFonts w:ascii="Calibri" w:hAnsi="Calibri" w:cs="Calibri"/>
                <w:sz w:val="24"/>
                <w:szCs w:val="24"/>
              </w:rPr>
              <w:lastRenderedPageBreak/>
              <w:t>organisations can benchmark their own tolerance levels with other organisations in their market or industry, if such information is available. A company’s appetite for risk will vary depending on its culture, objectives and changing conditions in the current business environment.</w:t>
            </w:r>
          </w:p>
          <w:p w:rsidR="007E198F" w:rsidRPr="007E198F" w:rsidRDefault="007E198F" w:rsidP="007E198F">
            <w:pPr>
              <w:autoSpaceDE w:val="0"/>
              <w:autoSpaceDN w:val="0"/>
              <w:adjustRightInd w:val="0"/>
              <w:rPr>
                <w:rFonts w:ascii="Calibri" w:hAnsi="Calibri" w:cs="Calibri"/>
                <w:sz w:val="24"/>
                <w:szCs w:val="24"/>
              </w:rPr>
            </w:pPr>
          </w:p>
          <w:p w:rsidR="00812C44" w:rsidRPr="00955E9C" w:rsidRDefault="00626C1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 xml:space="preserve">Q.1. </w:t>
            </w:r>
            <w:r w:rsidR="00DD7C3B" w:rsidRPr="00955E9C">
              <w:rPr>
                <w:rFonts w:asciiTheme="minorHAnsi" w:eastAsiaTheme="minorHAnsi" w:hAnsiTheme="minorHAnsi" w:cstheme="minorBidi"/>
                <w:b/>
                <w:bCs/>
              </w:rPr>
              <w:t>V.</w:t>
            </w:r>
            <w:r w:rsidR="00DD7C3B" w:rsidRPr="00955E9C">
              <w:rPr>
                <w:rFonts w:asciiTheme="minorHAnsi" w:eastAsiaTheme="minorHAnsi" w:hAnsiTheme="minorHAnsi" w:cstheme="minorBidi"/>
              </w:rPr>
              <w:t xml:space="preserve"> </w:t>
            </w:r>
            <w:r w:rsidR="00812C44" w:rsidRPr="00955E9C">
              <w:rPr>
                <w:rFonts w:asciiTheme="minorHAnsi" w:eastAsiaTheme="minorHAnsi" w:hAnsiTheme="minorHAnsi" w:cstheme="minorBidi"/>
              </w:rPr>
              <w:t xml:space="preserve"> </w:t>
            </w:r>
          </w:p>
          <w:p w:rsidR="00EE2C1B" w:rsidRPr="00EE2C1B" w:rsidRDefault="002E44CF" w:rsidP="00EE2C1B">
            <w:pPr>
              <w:autoSpaceDE w:val="0"/>
              <w:autoSpaceDN w:val="0"/>
              <w:adjustRightInd w:val="0"/>
              <w:jc w:val="both"/>
              <w:rPr>
                <w:rFonts w:ascii="Calibri" w:hAnsi="Calibri" w:cs="Calibri"/>
                <w:color w:val="000000"/>
                <w:sz w:val="24"/>
                <w:szCs w:val="24"/>
              </w:rPr>
            </w:pPr>
            <w:r w:rsidRPr="00955E9C">
              <w:rPr>
                <w:rFonts w:cs="Calibri"/>
                <w:color w:val="000000"/>
                <w:sz w:val="24"/>
                <w:szCs w:val="24"/>
              </w:rPr>
              <w:t xml:space="preserve"> </w:t>
            </w:r>
            <w:r w:rsidR="00EE2C1B" w:rsidRPr="00EE2C1B">
              <w:rPr>
                <w:rFonts w:ascii="Calibri" w:hAnsi="Calibri" w:cs="Calibri"/>
                <w:color w:val="000000"/>
                <w:sz w:val="24"/>
                <w:szCs w:val="24"/>
              </w:rPr>
              <w:t xml:space="preserve"> </w:t>
            </w:r>
          </w:p>
          <w:p w:rsidR="007E198F" w:rsidRPr="00BB5A0E" w:rsidRDefault="007E198F" w:rsidP="007E198F">
            <w:pPr>
              <w:autoSpaceDE w:val="0"/>
              <w:autoSpaceDN w:val="0"/>
              <w:adjustRightInd w:val="0"/>
              <w:rPr>
                <w:rFonts w:ascii="Calibri" w:hAnsi="Calibri" w:cs="Calibri"/>
                <w:b/>
                <w:bCs/>
                <w:sz w:val="24"/>
                <w:szCs w:val="24"/>
              </w:rPr>
            </w:pPr>
            <w:r w:rsidRPr="00BB5A0E">
              <w:rPr>
                <w:rFonts w:ascii="Calibri" w:hAnsi="Calibri" w:cs="Calibri"/>
                <w:b/>
                <w:bCs/>
                <w:sz w:val="24"/>
                <w:szCs w:val="24"/>
              </w:rPr>
              <w:t>Executing</w:t>
            </w:r>
          </w:p>
          <w:p w:rsidR="00956B82" w:rsidRPr="007E198F" w:rsidRDefault="007E198F" w:rsidP="007E198F">
            <w:pPr>
              <w:autoSpaceDE w:val="0"/>
              <w:autoSpaceDN w:val="0"/>
              <w:adjustRightInd w:val="0"/>
              <w:rPr>
                <w:rFonts w:ascii="Calibri" w:hAnsi="Calibri" w:cs="Calibri"/>
                <w:sz w:val="24"/>
                <w:szCs w:val="24"/>
              </w:rPr>
            </w:pPr>
            <w:r>
              <w:rPr>
                <w:rFonts w:ascii="Calibri" w:hAnsi="Calibri" w:cs="Calibri"/>
                <w:sz w:val="24"/>
                <w:szCs w:val="24"/>
              </w:rPr>
              <w:t xml:space="preserve">If the actions that were developed to respond to the identified opportunities and risks are not executed, then the time, effort and energy spent on the earlier stages of the risk management process will be wasted. As described in the previous section, the What? When? </w:t>
            </w:r>
            <w:proofErr w:type="gramStart"/>
            <w:r>
              <w:rPr>
                <w:rFonts w:ascii="Calibri" w:hAnsi="Calibri" w:cs="Calibri"/>
                <w:sz w:val="24"/>
                <w:szCs w:val="24"/>
              </w:rPr>
              <w:t>and</w:t>
            </w:r>
            <w:proofErr w:type="gramEnd"/>
            <w:r>
              <w:rPr>
                <w:rFonts w:ascii="Calibri" w:hAnsi="Calibri" w:cs="Calibri"/>
                <w:sz w:val="24"/>
                <w:szCs w:val="24"/>
              </w:rPr>
              <w:t xml:space="preserve"> Who? </w:t>
            </w:r>
            <w:proofErr w:type="gramStart"/>
            <w:r>
              <w:rPr>
                <w:rFonts w:ascii="Calibri" w:hAnsi="Calibri" w:cs="Calibri"/>
                <w:sz w:val="24"/>
                <w:szCs w:val="24"/>
              </w:rPr>
              <w:t>of</w:t>
            </w:r>
            <w:proofErr w:type="gramEnd"/>
            <w:r>
              <w:rPr>
                <w:rFonts w:ascii="Calibri" w:hAnsi="Calibri" w:cs="Calibri"/>
                <w:sz w:val="24"/>
                <w:szCs w:val="24"/>
              </w:rPr>
              <w:t xml:space="preserve"> execution will have been agreed upon and recorded in the Plan process.</w:t>
            </w:r>
            <w:r w:rsidRPr="00955E9C">
              <w:rPr>
                <w:color w:val="000000"/>
                <w:sz w:val="24"/>
                <w:szCs w:val="24"/>
              </w:rPr>
              <w:t xml:space="preserve"> </w:t>
            </w:r>
          </w:p>
          <w:p w:rsidR="007E198F" w:rsidRDefault="007E198F" w:rsidP="007E198F">
            <w:pPr>
              <w:autoSpaceDE w:val="0"/>
              <w:autoSpaceDN w:val="0"/>
              <w:adjustRightInd w:val="0"/>
              <w:spacing w:after="58"/>
              <w:jc w:val="both"/>
              <w:rPr>
                <w:color w:val="000000"/>
                <w:sz w:val="24"/>
                <w:szCs w:val="24"/>
              </w:rPr>
            </w:pPr>
          </w:p>
          <w:p w:rsidR="002F1EEB" w:rsidRPr="00BB5A0E" w:rsidRDefault="002F1EEB" w:rsidP="002F1EEB">
            <w:pPr>
              <w:autoSpaceDE w:val="0"/>
              <w:autoSpaceDN w:val="0"/>
              <w:adjustRightInd w:val="0"/>
              <w:rPr>
                <w:rFonts w:ascii="Calibri" w:hAnsi="Calibri" w:cs="Calibri"/>
                <w:b/>
                <w:bCs/>
                <w:sz w:val="24"/>
                <w:szCs w:val="24"/>
              </w:rPr>
            </w:pPr>
            <w:r w:rsidRPr="00BB5A0E">
              <w:rPr>
                <w:rFonts w:ascii="Calibri" w:hAnsi="Calibri" w:cs="Calibri"/>
                <w:b/>
                <w:bCs/>
                <w:sz w:val="24"/>
                <w:szCs w:val="24"/>
              </w:rPr>
              <w:t>Monitoring</w:t>
            </w:r>
          </w:p>
          <w:p w:rsidR="002F1EEB" w:rsidRDefault="002F1EEB" w:rsidP="002F1EEB">
            <w:pPr>
              <w:autoSpaceDE w:val="0"/>
              <w:autoSpaceDN w:val="0"/>
              <w:adjustRightInd w:val="0"/>
              <w:rPr>
                <w:rFonts w:ascii="Calibri" w:hAnsi="Calibri" w:cs="Calibri"/>
                <w:sz w:val="24"/>
                <w:szCs w:val="24"/>
              </w:rPr>
            </w:pPr>
            <w:r>
              <w:rPr>
                <w:rFonts w:ascii="Calibri" w:hAnsi="Calibri" w:cs="Calibri"/>
                <w:sz w:val="24"/>
                <w:szCs w:val="24"/>
              </w:rPr>
              <w:t>After executing the activities in the Plan, it is important to monitor the progress against the original plan and evaluate the progress. While monitoring is important, it must be accepted for what it is; a process of observation. It is neutral like any other outside event. For monitoring to succeed, it has to be embedded into a business and be part of the culture. It must focus on the success or otherwise of the planned responses to previously identified risk and opportunities, and should also observe fluctuations in the company that might signal new risks. The environments in which organisations operate are never static.</w:t>
            </w:r>
          </w:p>
          <w:p w:rsidR="002F1EEB" w:rsidRDefault="002F1EEB" w:rsidP="002F1EEB">
            <w:pPr>
              <w:autoSpaceDE w:val="0"/>
              <w:autoSpaceDN w:val="0"/>
              <w:adjustRightInd w:val="0"/>
              <w:rPr>
                <w:rFonts w:ascii="Calibri" w:hAnsi="Calibri" w:cs="Calibri"/>
                <w:sz w:val="24"/>
                <w:szCs w:val="24"/>
              </w:rPr>
            </w:pPr>
            <w:r>
              <w:rPr>
                <w:rFonts w:ascii="Calibri" w:hAnsi="Calibri" w:cs="Calibri"/>
                <w:sz w:val="24"/>
                <w:szCs w:val="24"/>
              </w:rPr>
              <w:t>In high-risk environments, the only thing that can be expected is that nothing will go according to plan.</w:t>
            </w:r>
          </w:p>
          <w:p w:rsidR="007E198F" w:rsidRDefault="002F1EEB" w:rsidP="002F1EEB">
            <w:pPr>
              <w:autoSpaceDE w:val="0"/>
              <w:autoSpaceDN w:val="0"/>
              <w:adjustRightInd w:val="0"/>
              <w:rPr>
                <w:rFonts w:ascii="Calibri" w:hAnsi="Calibri" w:cs="Calibri"/>
                <w:sz w:val="24"/>
                <w:szCs w:val="24"/>
              </w:rPr>
            </w:pPr>
            <w:r>
              <w:rPr>
                <w:rFonts w:ascii="Calibri" w:hAnsi="Calibri" w:cs="Calibri"/>
                <w:sz w:val="24"/>
                <w:szCs w:val="24"/>
              </w:rPr>
              <w:t>Increased absenteeism among employees, decreased sales, late deliveries by suppliers, an increase in the number of returned products, or a reduction in margins may all indicate the emergence of new risks.</w:t>
            </w:r>
          </w:p>
          <w:p w:rsidR="002F1EEB" w:rsidRDefault="002F1EEB" w:rsidP="002F1EEB">
            <w:pPr>
              <w:autoSpaceDE w:val="0"/>
              <w:autoSpaceDN w:val="0"/>
              <w:adjustRightInd w:val="0"/>
              <w:rPr>
                <w:rFonts w:ascii="Calibri" w:hAnsi="Calibri" w:cs="Calibri"/>
                <w:sz w:val="24"/>
                <w:szCs w:val="24"/>
              </w:rPr>
            </w:pPr>
          </w:p>
          <w:p w:rsidR="002F1EEB" w:rsidRPr="00BB5A0E" w:rsidRDefault="002F1EEB" w:rsidP="002F1EEB">
            <w:pPr>
              <w:autoSpaceDE w:val="0"/>
              <w:autoSpaceDN w:val="0"/>
              <w:adjustRightInd w:val="0"/>
              <w:rPr>
                <w:rFonts w:ascii="Calibri" w:hAnsi="Calibri" w:cs="Calibri"/>
                <w:b/>
                <w:bCs/>
                <w:sz w:val="24"/>
                <w:szCs w:val="24"/>
              </w:rPr>
            </w:pPr>
            <w:r w:rsidRPr="00BB5A0E">
              <w:rPr>
                <w:rFonts w:ascii="Calibri" w:hAnsi="Calibri" w:cs="Calibri"/>
                <w:b/>
                <w:bCs/>
                <w:sz w:val="24"/>
                <w:szCs w:val="24"/>
              </w:rPr>
              <w:t>Controlling</w:t>
            </w:r>
          </w:p>
          <w:p w:rsidR="002F1EEB" w:rsidRDefault="002F1EEB" w:rsidP="002F1EEB">
            <w:pPr>
              <w:autoSpaceDE w:val="0"/>
              <w:autoSpaceDN w:val="0"/>
              <w:adjustRightInd w:val="0"/>
              <w:rPr>
                <w:rFonts w:ascii="Calibri" w:hAnsi="Calibri" w:cs="Calibri"/>
                <w:sz w:val="24"/>
                <w:szCs w:val="24"/>
              </w:rPr>
            </w:pPr>
            <w:r w:rsidRPr="002F1EEB">
              <w:rPr>
                <w:rFonts w:ascii="Calibri" w:hAnsi="Calibri" w:cs="Calibri"/>
                <w:sz w:val="24"/>
                <w:szCs w:val="24"/>
              </w:rPr>
              <w:t xml:space="preserve">Controlling </w:t>
            </w:r>
            <w:r>
              <w:rPr>
                <w:rFonts w:ascii="Calibri" w:hAnsi="Calibri" w:cs="Calibri"/>
                <w:sz w:val="24"/>
                <w:szCs w:val="24"/>
              </w:rPr>
              <w:t>is not a neutral activity, like monitoring. Control necessitates intervention. Control techniques focus on using the information collected from monitoring to inform decision making. Controlling means understanding who needs what information for what purpose, and when.</w:t>
            </w:r>
          </w:p>
          <w:p w:rsidR="002F1EEB" w:rsidRPr="002F1EEB" w:rsidRDefault="002F1EEB" w:rsidP="002F1EEB">
            <w:pPr>
              <w:autoSpaceDE w:val="0"/>
              <w:autoSpaceDN w:val="0"/>
              <w:adjustRightInd w:val="0"/>
              <w:rPr>
                <w:rFonts w:ascii="Calibri" w:hAnsi="Calibri" w:cs="Calibri"/>
                <w:sz w:val="24"/>
                <w:szCs w:val="24"/>
              </w:rPr>
            </w:pPr>
          </w:p>
          <w:p w:rsidR="00812C44" w:rsidRPr="00955E9C" w:rsidRDefault="00626C1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 xml:space="preserve">Q.1. </w:t>
            </w:r>
            <w:r w:rsidR="00DD7C3B" w:rsidRPr="00955E9C">
              <w:rPr>
                <w:rFonts w:asciiTheme="minorHAnsi" w:eastAsiaTheme="minorHAnsi" w:hAnsiTheme="minorHAnsi" w:cstheme="minorBidi"/>
                <w:b/>
                <w:bCs/>
              </w:rPr>
              <w:t>VI.</w:t>
            </w:r>
            <w:r w:rsidR="00DD7C3B" w:rsidRPr="00955E9C">
              <w:rPr>
                <w:rFonts w:asciiTheme="minorHAnsi" w:eastAsiaTheme="minorHAnsi" w:hAnsiTheme="minorHAnsi" w:cstheme="minorBidi"/>
              </w:rPr>
              <w:t xml:space="preserve"> </w:t>
            </w:r>
            <w:r w:rsidR="00812C44" w:rsidRPr="00955E9C">
              <w:rPr>
                <w:rFonts w:asciiTheme="minorHAnsi" w:eastAsiaTheme="minorHAnsi" w:hAnsiTheme="minorHAnsi" w:cstheme="minorBidi"/>
              </w:rPr>
              <w:t xml:space="preserve"> </w:t>
            </w:r>
          </w:p>
          <w:p w:rsidR="00EE2C1B" w:rsidRPr="00EE2C1B" w:rsidRDefault="00EE2C1B" w:rsidP="00EE2C1B">
            <w:pPr>
              <w:autoSpaceDE w:val="0"/>
              <w:autoSpaceDN w:val="0"/>
              <w:adjustRightInd w:val="0"/>
              <w:rPr>
                <w:rFonts w:ascii="Calibri" w:hAnsi="Calibri" w:cs="Calibri"/>
                <w:color w:val="000000"/>
                <w:sz w:val="24"/>
                <w:szCs w:val="24"/>
              </w:rPr>
            </w:pPr>
            <w:r w:rsidRPr="00EE2C1B">
              <w:rPr>
                <w:rFonts w:ascii="Calibri" w:hAnsi="Calibri" w:cs="Calibri"/>
                <w:color w:val="000000"/>
                <w:sz w:val="24"/>
                <w:szCs w:val="24"/>
              </w:rPr>
              <w:t xml:space="preserve"> </w:t>
            </w:r>
          </w:p>
          <w:p w:rsidR="002F1EEB" w:rsidRDefault="002F1EEB" w:rsidP="002F1EEB">
            <w:pPr>
              <w:autoSpaceDE w:val="0"/>
              <w:autoSpaceDN w:val="0"/>
              <w:adjustRightInd w:val="0"/>
              <w:rPr>
                <w:rFonts w:ascii="Calibri" w:hAnsi="Calibri" w:cs="Calibri"/>
                <w:color w:val="000000"/>
                <w:sz w:val="24"/>
                <w:szCs w:val="24"/>
              </w:rPr>
            </w:pPr>
            <w:r>
              <w:rPr>
                <w:rFonts w:ascii="Calibri" w:hAnsi="Calibri" w:cs="Calibri"/>
                <w:color w:val="000000"/>
                <w:sz w:val="24"/>
                <w:szCs w:val="24"/>
              </w:rPr>
              <w:t>The influence diagram is a formal technique which can be transformed into a comparable decision tree and evaluated further. Common notations are used:</w:t>
            </w:r>
          </w:p>
          <w:p w:rsidR="002F1EEB" w:rsidRPr="006A54CE" w:rsidRDefault="002F1EEB" w:rsidP="0096561B">
            <w:pPr>
              <w:pStyle w:val="ListParagraph"/>
              <w:numPr>
                <w:ilvl w:val="0"/>
                <w:numId w:val="4"/>
              </w:numPr>
              <w:autoSpaceDE w:val="0"/>
              <w:autoSpaceDN w:val="0"/>
              <w:adjustRightInd w:val="0"/>
              <w:rPr>
                <w:rFonts w:cs="Calibri"/>
                <w:color w:val="000000"/>
                <w:sz w:val="24"/>
                <w:szCs w:val="24"/>
              </w:rPr>
            </w:pPr>
            <w:r w:rsidRPr="006A54CE">
              <w:rPr>
                <w:rFonts w:cs="Calibri"/>
                <w:color w:val="000000"/>
                <w:sz w:val="24"/>
                <w:szCs w:val="24"/>
              </w:rPr>
              <w:t>Squares represent decision nodes.</w:t>
            </w:r>
          </w:p>
          <w:p w:rsidR="002F1EEB" w:rsidRPr="006A54CE" w:rsidRDefault="002F1EEB" w:rsidP="0096561B">
            <w:pPr>
              <w:pStyle w:val="ListParagraph"/>
              <w:numPr>
                <w:ilvl w:val="0"/>
                <w:numId w:val="4"/>
              </w:numPr>
              <w:autoSpaceDE w:val="0"/>
              <w:autoSpaceDN w:val="0"/>
              <w:adjustRightInd w:val="0"/>
              <w:rPr>
                <w:rFonts w:cs="Calibri"/>
                <w:color w:val="000000"/>
                <w:sz w:val="24"/>
                <w:szCs w:val="24"/>
              </w:rPr>
            </w:pPr>
            <w:r w:rsidRPr="006A54CE">
              <w:rPr>
                <w:rFonts w:cs="Calibri"/>
                <w:color w:val="000000"/>
                <w:sz w:val="24"/>
                <w:szCs w:val="24"/>
              </w:rPr>
              <w:t>Diamonds represent values.</w:t>
            </w:r>
          </w:p>
          <w:p w:rsidR="002F1EEB" w:rsidRPr="006A54CE" w:rsidRDefault="002F1EEB" w:rsidP="0096561B">
            <w:pPr>
              <w:pStyle w:val="ListParagraph"/>
              <w:numPr>
                <w:ilvl w:val="0"/>
                <w:numId w:val="4"/>
              </w:numPr>
              <w:autoSpaceDE w:val="0"/>
              <w:autoSpaceDN w:val="0"/>
              <w:adjustRightInd w:val="0"/>
              <w:rPr>
                <w:rFonts w:cs="Calibri"/>
                <w:color w:val="000000"/>
                <w:sz w:val="24"/>
                <w:szCs w:val="24"/>
              </w:rPr>
            </w:pPr>
            <w:r w:rsidRPr="006A54CE">
              <w:rPr>
                <w:rFonts w:cs="Calibri"/>
                <w:color w:val="000000"/>
                <w:sz w:val="24"/>
                <w:szCs w:val="24"/>
              </w:rPr>
              <w:t>Circles represent uncertain or chance events.</w:t>
            </w:r>
          </w:p>
          <w:p w:rsidR="002F1EEB" w:rsidRPr="006A54CE" w:rsidRDefault="002F1EEB" w:rsidP="0096561B">
            <w:pPr>
              <w:pStyle w:val="ListParagraph"/>
              <w:numPr>
                <w:ilvl w:val="0"/>
                <w:numId w:val="4"/>
              </w:numPr>
              <w:autoSpaceDE w:val="0"/>
              <w:autoSpaceDN w:val="0"/>
              <w:adjustRightInd w:val="0"/>
              <w:rPr>
                <w:rFonts w:cs="Calibri"/>
                <w:color w:val="000000"/>
                <w:sz w:val="24"/>
                <w:szCs w:val="24"/>
              </w:rPr>
            </w:pPr>
            <w:r w:rsidRPr="006A54CE">
              <w:rPr>
                <w:rFonts w:cs="Calibri"/>
                <w:color w:val="000000"/>
                <w:sz w:val="24"/>
                <w:szCs w:val="24"/>
              </w:rPr>
              <w:t>Double circles represent those outcomes that are known at the time when inputs are given.</w:t>
            </w:r>
          </w:p>
          <w:p w:rsidR="002F1EEB" w:rsidRDefault="002F1EEB" w:rsidP="002F1EEB">
            <w:pPr>
              <w:autoSpaceDE w:val="0"/>
              <w:autoSpaceDN w:val="0"/>
              <w:adjustRightInd w:val="0"/>
              <w:rPr>
                <w:color w:val="000000"/>
                <w:sz w:val="24"/>
                <w:szCs w:val="24"/>
              </w:rPr>
            </w:pPr>
            <w:r>
              <w:rPr>
                <w:rFonts w:ascii="Calibri" w:hAnsi="Calibri" w:cs="Calibri"/>
                <w:color w:val="000000"/>
                <w:sz w:val="24"/>
                <w:szCs w:val="24"/>
              </w:rPr>
              <w:t xml:space="preserve">There are several advantages of influence diagrams. Firstly, they provide a framework around which decision makers and experts can discuss the interrelationship of decisions and events and the management of the problem, without requiring any formal statistical, mathematical or probabilistic method. Secondly, they contribute significantly towards </w:t>
            </w:r>
            <w:r>
              <w:rPr>
                <w:rFonts w:ascii="Calibri" w:hAnsi="Calibri" w:cs="Calibri"/>
                <w:color w:val="000000"/>
                <w:sz w:val="24"/>
                <w:szCs w:val="24"/>
              </w:rPr>
              <w:lastRenderedPageBreak/>
              <w:t>reducing large quantities of data to those statistics which are necessary for decision-making. Thirdly, they provide a degree of sensitivity analysis to demonstrate the extent of the effect that specific decisions or uncertain events have upon the final outcomes.</w:t>
            </w:r>
            <w:r w:rsidRPr="00955E9C">
              <w:rPr>
                <w:color w:val="000000"/>
                <w:sz w:val="24"/>
                <w:szCs w:val="24"/>
              </w:rPr>
              <w:t xml:space="preserve"> </w:t>
            </w:r>
          </w:p>
          <w:p w:rsidR="002F1EEB" w:rsidRPr="002F1EEB" w:rsidRDefault="002F1EEB" w:rsidP="002F1EEB">
            <w:pPr>
              <w:autoSpaceDE w:val="0"/>
              <w:autoSpaceDN w:val="0"/>
              <w:adjustRightInd w:val="0"/>
              <w:rPr>
                <w:color w:val="000000"/>
                <w:sz w:val="24"/>
                <w:szCs w:val="24"/>
              </w:rPr>
            </w:pPr>
          </w:p>
          <w:p w:rsidR="00812C44" w:rsidRPr="00955E9C" w:rsidRDefault="008A643E" w:rsidP="008E6C9D">
            <w:pPr>
              <w:pStyle w:val="Default"/>
              <w:jc w:val="both"/>
              <w:rPr>
                <w:rFonts w:asciiTheme="minorHAnsi" w:eastAsiaTheme="minorHAnsi" w:hAnsiTheme="minorHAnsi" w:cstheme="minorBidi"/>
              </w:rPr>
            </w:pPr>
            <w:r w:rsidRPr="00955E9C">
              <w:rPr>
                <w:rFonts w:asciiTheme="minorHAnsi" w:eastAsiaTheme="minorHAnsi" w:hAnsiTheme="minorHAnsi" w:cstheme="minorBidi"/>
                <w:b/>
                <w:bCs/>
              </w:rPr>
              <w:t>Q. 2</w:t>
            </w:r>
            <w:r w:rsidR="00812C44" w:rsidRPr="00955E9C">
              <w:rPr>
                <w:rFonts w:asciiTheme="minorHAnsi" w:eastAsiaTheme="minorHAnsi" w:hAnsiTheme="minorHAnsi" w:cstheme="minorBidi"/>
              </w:rPr>
              <w:t xml:space="preserve">  </w:t>
            </w:r>
          </w:p>
          <w:p w:rsidR="002E44CF" w:rsidRPr="00955E9C" w:rsidRDefault="002E44CF" w:rsidP="008E6C9D">
            <w:pPr>
              <w:autoSpaceDE w:val="0"/>
              <w:autoSpaceDN w:val="0"/>
              <w:adjustRightInd w:val="0"/>
              <w:jc w:val="both"/>
              <w:rPr>
                <w:rFonts w:cs="Calibri"/>
                <w:color w:val="000000"/>
                <w:sz w:val="24"/>
                <w:szCs w:val="24"/>
              </w:rPr>
            </w:pPr>
            <w:r w:rsidRPr="00955E9C">
              <w:rPr>
                <w:rFonts w:cs="Calibri"/>
                <w:color w:val="000000"/>
                <w:sz w:val="24"/>
                <w:szCs w:val="24"/>
              </w:rPr>
              <w:t xml:space="preserve"> </w:t>
            </w:r>
          </w:p>
          <w:p w:rsidR="00C22D19" w:rsidRDefault="00C22D19" w:rsidP="0096561B">
            <w:pPr>
              <w:pStyle w:val="ListParagraph"/>
              <w:numPr>
                <w:ilvl w:val="0"/>
                <w:numId w:val="6"/>
              </w:numPr>
              <w:autoSpaceDE w:val="0"/>
              <w:autoSpaceDN w:val="0"/>
              <w:adjustRightInd w:val="0"/>
              <w:rPr>
                <w:rFonts w:cs="Calibri"/>
                <w:sz w:val="24"/>
                <w:szCs w:val="24"/>
              </w:rPr>
            </w:pPr>
            <w:r w:rsidRPr="00C22D19">
              <w:rPr>
                <w:rFonts w:cs="Calibri"/>
                <w:sz w:val="24"/>
                <w:szCs w:val="24"/>
              </w:rPr>
              <w:t>The risk register contains at least a complete description of the risks and the risk categories, with each risk having a unique reference number. The risks should be listed under the related risk categories. Furthermore, the risk owner and risk manager should be named whenever possible. If deemed useful, the register may include supplementary columns namely; notes to record background information on the risk and impact, and to describe the impact of each individual risk on the business.</w:t>
            </w:r>
          </w:p>
          <w:p w:rsidR="00C22D19" w:rsidRDefault="00C22D19" w:rsidP="00C22D19">
            <w:pPr>
              <w:pStyle w:val="ListParagraph"/>
              <w:autoSpaceDE w:val="0"/>
              <w:autoSpaceDN w:val="0"/>
              <w:adjustRightInd w:val="0"/>
              <w:rPr>
                <w:rFonts w:cs="Calibri"/>
                <w:sz w:val="24"/>
                <w:szCs w:val="24"/>
              </w:rPr>
            </w:pPr>
          </w:p>
          <w:p w:rsidR="00C505DF" w:rsidRDefault="00EE2C1B" w:rsidP="0096561B">
            <w:pPr>
              <w:pStyle w:val="ListParagraph"/>
              <w:numPr>
                <w:ilvl w:val="0"/>
                <w:numId w:val="6"/>
              </w:numPr>
              <w:autoSpaceDE w:val="0"/>
              <w:autoSpaceDN w:val="0"/>
              <w:adjustRightInd w:val="0"/>
              <w:rPr>
                <w:rFonts w:cs="Calibri"/>
                <w:sz w:val="24"/>
                <w:szCs w:val="24"/>
              </w:rPr>
            </w:pPr>
            <w:r w:rsidRPr="00C22D19">
              <w:rPr>
                <w:rFonts w:cs="Calibri"/>
                <w:color w:val="000000"/>
                <w:sz w:val="23"/>
                <w:szCs w:val="23"/>
              </w:rPr>
              <w:t xml:space="preserve">Profit &amp; loss account </w:t>
            </w:r>
            <w:r w:rsidR="00C22D19" w:rsidRPr="00C22D19">
              <w:rPr>
                <w:rFonts w:cs="Calibri"/>
                <w:sz w:val="24"/>
                <w:szCs w:val="24"/>
              </w:rPr>
              <w:t>provides information on the</w:t>
            </w:r>
            <w:r w:rsidR="00C22D19">
              <w:rPr>
                <w:rFonts w:cs="Calibri"/>
                <w:sz w:val="24"/>
                <w:szCs w:val="24"/>
              </w:rPr>
              <w:t xml:space="preserve"> </w:t>
            </w:r>
            <w:r w:rsidR="00C22D19" w:rsidRPr="00C22D19">
              <w:rPr>
                <w:rFonts w:cs="Calibri"/>
                <w:sz w:val="24"/>
                <w:szCs w:val="24"/>
              </w:rPr>
              <w:t>expected profit for a specified period. Low levels of projected profits will expose a company to a number</w:t>
            </w:r>
            <w:r w:rsidR="00C22D19">
              <w:rPr>
                <w:rFonts w:cs="Calibri"/>
                <w:sz w:val="24"/>
                <w:szCs w:val="24"/>
              </w:rPr>
              <w:t xml:space="preserve"> </w:t>
            </w:r>
            <w:r w:rsidR="00C22D19" w:rsidRPr="00C22D19">
              <w:rPr>
                <w:rFonts w:cs="Calibri"/>
                <w:sz w:val="24"/>
                <w:szCs w:val="24"/>
              </w:rPr>
              <w:t>of related risks in terms of business durability and operating practicalities.</w:t>
            </w:r>
          </w:p>
          <w:p w:rsidR="00C505DF" w:rsidRPr="00C505DF" w:rsidRDefault="00C505DF" w:rsidP="00C505DF">
            <w:pPr>
              <w:pStyle w:val="ListParagraph"/>
              <w:rPr>
                <w:rFonts w:cs="Calibri"/>
                <w:color w:val="000000"/>
                <w:sz w:val="23"/>
                <w:szCs w:val="23"/>
              </w:rPr>
            </w:pPr>
          </w:p>
          <w:p w:rsidR="00EE2C1B" w:rsidRPr="00C505DF" w:rsidRDefault="00C505DF" w:rsidP="0096561B">
            <w:pPr>
              <w:pStyle w:val="ListParagraph"/>
              <w:numPr>
                <w:ilvl w:val="0"/>
                <w:numId w:val="6"/>
              </w:numPr>
              <w:autoSpaceDE w:val="0"/>
              <w:autoSpaceDN w:val="0"/>
              <w:adjustRightInd w:val="0"/>
              <w:rPr>
                <w:rFonts w:cs="Calibri"/>
                <w:sz w:val="24"/>
                <w:szCs w:val="24"/>
              </w:rPr>
            </w:pPr>
            <w:r>
              <w:rPr>
                <w:rFonts w:cs="Calibri"/>
                <w:color w:val="000000"/>
                <w:sz w:val="23"/>
                <w:szCs w:val="23"/>
              </w:rPr>
              <w:t xml:space="preserve">Balance sheet means </w:t>
            </w:r>
            <w:r w:rsidRPr="00C505DF">
              <w:rPr>
                <w:rFonts w:cs="Calibri"/>
                <w:sz w:val="24"/>
                <w:szCs w:val="24"/>
              </w:rPr>
              <w:t xml:space="preserve">the projected balance sheet </w:t>
            </w:r>
            <w:r>
              <w:rPr>
                <w:rFonts w:cs="Calibri"/>
                <w:sz w:val="24"/>
                <w:szCs w:val="24"/>
              </w:rPr>
              <w:t xml:space="preserve">which </w:t>
            </w:r>
            <w:r w:rsidRPr="00C505DF">
              <w:rPr>
                <w:rFonts w:cs="Calibri"/>
                <w:sz w:val="24"/>
                <w:szCs w:val="24"/>
              </w:rPr>
              <w:t>should be critically examined to ensure the reliability of the</w:t>
            </w:r>
            <w:r>
              <w:rPr>
                <w:rFonts w:cs="Calibri"/>
                <w:sz w:val="24"/>
                <w:szCs w:val="24"/>
              </w:rPr>
              <w:t xml:space="preserve"> </w:t>
            </w:r>
            <w:r w:rsidRPr="00C505DF">
              <w:rPr>
                <w:rFonts w:cs="Calibri"/>
                <w:sz w:val="24"/>
                <w:szCs w:val="24"/>
              </w:rPr>
              <w:t>projections with reference to the validity of the assumptions made and the completeness of the input</w:t>
            </w:r>
            <w:r>
              <w:rPr>
                <w:rFonts w:cs="Calibri"/>
                <w:sz w:val="24"/>
                <w:szCs w:val="24"/>
              </w:rPr>
              <w:t xml:space="preserve"> </w:t>
            </w:r>
            <w:r w:rsidRPr="00C505DF">
              <w:rPr>
                <w:rFonts w:cs="Calibri"/>
                <w:sz w:val="24"/>
                <w:szCs w:val="24"/>
              </w:rPr>
              <w:t>data. The balance sheet will provide an indication of the vulnerability of a business to bad debts or late</w:t>
            </w:r>
            <w:r>
              <w:rPr>
                <w:rFonts w:cs="Calibri"/>
                <w:sz w:val="24"/>
                <w:szCs w:val="24"/>
              </w:rPr>
              <w:t xml:space="preserve"> </w:t>
            </w:r>
            <w:r w:rsidRPr="00C505DF">
              <w:rPr>
                <w:rFonts w:cs="Calibri"/>
                <w:sz w:val="24"/>
                <w:szCs w:val="24"/>
              </w:rPr>
              <w:t>payments.</w:t>
            </w:r>
          </w:p>
          <w:p w:rsidR="002E44CF" w:rsidRPr="00955E9C" w:rsidRDefault="002E44CF" w:rsidP="008E6C9D">
            <w:pPr>
              <w:autoSpaceDE w:val="0"/>
              <w:autoSpaceDN w:val="0"/>
              <w:adjustRightInd w:val="0"/>
              <w:jc w:val="both"/>
              <w:rPr>
                <w:rFonts w:cs="Calibri"/>
                <w:color w:val="000000"/>
                <w:sz w:val="24"/>
                <w:szCs w:val="24"/>
              </w:rPr>
            </w:pPr>
          </w:p>
          <w:p w:rsidR="002E44CF" w:rsidRPr="00955E9C" w:rsidRDefault="002E44CF" w:rsidP="008E6C9D">
            <w:pPr>
              <w:pStyle w:val="Default"/>
              <w:jc w:val="both"/>
              <w:rPr>
                <w:rFonts w:asciiTheme="minorHAnsi" w:eastAsiaTheme="minorHAnsi" w:hAnsiTheme="minorHAnsi" w:cstheme="minorBidi"/>
                <w:b/>
                <w:bCs/>
              </w:rPr>
            </w:pPr>
            <w:r w:rsidRPr="00955E9C">
              <w:rPr>
                <w:rFonts w:asciiTheme="minorHAnsi" w:eastAsiaTheme="minorHAnsi" w:hAnsiTheme="minorHAnsi" w:cstheme="minorBidi"/>
                <w:b/>
                <w:bCs/>
              </w:rPr>
              <w:t>Q. 3</w:t>
            </w:r>
          </w:p>
          <w:p w:rsidR="002E44CF" w:rsidRPr="00955E9C" w:rsidRDefault="002E44CF" w:rsidP="008E6C9D">
            <w:pPr>
              <w:pStyle w:val="Default"/>
              <w:jc w:val="both"/>
              <w:rPr>
                <w:rFonts w:asciiTheme="minorHAnsi" w:eastAsiaTheme="minorHAnsi" w:hAnsiTheme="minorHAnsi" w:cstheme="minorBidi"/>
                <w:b/>
                <w:bCs/>
              </w:rPr>
            </w:pPr>
          </w:p>
          <w:p w:rsidR="00EE2C1B" w:rsidRDefault="002E44CF" w:rsidP="00EE2C1B">
            <w:pPr>
              <w:pStyle w:val="Default"/>
              <w:rPr>
                <w:sz w:val="23"/>
                <w:szCs w:val="23"/>
              </w:rPr>
            </w:pPr>
            <w:r w:rsidRPr="00955E9C">
              <w:t xml:space="preserve"> </w:t>
            </w:r>
            <w:r w:rsidR="00EE2C1B" w:rsidRPr="00EE2C1B">
              <w:rPr>
                <w:sz w:val="23"/>
                <w:szCs w:val="23"/>
              </w:rPr>
              <w:t>Write sho</w:t>
            </w:r>
            <w:r w:rsidR="00EE2C1B">
              <w:rPr>
                <w:sz w:val="23"/>
                <w:szCs w:val="23"/>
              </w:rPr>
              <w:t xml:space="preserve">rt notes on the followings: </w:t>
            </w:r>
          </w:p>
          <w:p w:rsidR="00A423CF" w:rsidRPr="00EE2C1B" w:rsidRDefault="00A423CF" w:rsidP="00EE2C1B">
            <w:pPr>
              <w:pStyle w:val="Default"/>
              <w:rPr>
                <w:sz w:val="23"/>
                <w:szCs w:val="23"/>
              </w:rPr>
            </w:pPr>
          </w:p>
          <w:p w:rsidR="00A423CF" w:rsidRPr="00F9577D" w:rsidRDefault="00A423CF" w:rsidP="0096561B">
            <w:pPr>
              <w:pStyle w:val="ListParagraph"/>
              <w:numPr>
                <w:ilvl w:val="0"/>
                <w:numId w:val="1"/>
              </w:numPr>
              <w:autoSpaceDE w:val="0"/>
              <w:autoSpaceDN w:val="0"/>
              <w:adjustRightInd w:val="0"/>
              <w:rPr>
                <w:rFonts w:eastAsiaTheme="minorHAnsi" w:cs="Calibri"/>
                <w:b/>
                <w:bCs/>
                <w:sz w:val="24"/>
                <w:szCs w:val="24"/>
              </w:rPr>
            </w:pPr>
            <w:r w:rsidRPr="00F9577D">
              <w:rPr>
                <w:rFonts w:eastAsiaTheme="minorHAnsi" w:cs="Calibri"/>
                <w:b/>
                <w:bCs/>
                <w:sz w:val="24"/>
                <w:szCs w:val="24"/>
              </w:rPr>
              <w:t xml:space="preserve">Risk Reduction : </w:t>
            </w:r>
          </w:p>
          <w:p w:rsidR="00A423CF" w:rsidRPr="00F9577D" w:rsidRDefault="00A423CF" w:rsidP="00F9577D">
            <w:pPr>
              <w:autoSpaceDE w:val="0"/>
              <w:autoSpaceDN w:val="0"/>
              <w:adjustRightInd w:val="0"/>
              <w:rPr>
                <w:rFonts w:ascii="Calibri,Bold" w:hAnsi="Calibri,Bold" w:cs="Calibri,Bold"/>
                <w:b/>
                <w:bCs/>
                <w:sz w:val="24"/>
                <w:szCs w:val="24"/>
              </w:rPr>
            </w:pPr>
          </w:p>
          <w:p w:rsidR="00A423CF" w:rsidRPr="00783DE3" w:rsidRDefault="00F9577D" w:rsidP="00F9577D">
            <w:pPr>
              <w:autoSpaceDE w:val="0"/>
              <w:autoSpaceDN w:val="0"/>
              <w:adjustRightInd w:val="0"/>
              <w:jc w:val="both"/>
              <w:rPr>
                <w:rFonts w:ascii="Calibri" w:eastAsia="Calibri" w:hAnsi="Calibri" w:cs="Calibri"/>
                <w:sz w:val="24"/>
                <w:szCs w:val="24"/>
              </w:rPr>
            </w:pPr>
            <w:r>
              <w:rPr>
                <w:rFonts w:ascii="Calibri" w:eastAsia="Calibri" w:hAnsi="Calibri" w:cs="Calibri"/>
                <w:sz w:val="24"/>
                <w:szCs w:val="24"/>
              </w:rPr>
              <w:t xml:space="preserve">This refers to risk response </w:t>
            </w:r>
            <w:r w:rsidR="00A423CF" w:rsidRPr="00783DE3">
              <w:rPr>
                <w:rFonts w:ascii="Calibri" w:eastAsia="Calibri" w:hAnsi="Calibri" w:cs="Calibri"/>
                <w:sz w:val="24"/>
                <w:szCs w:val="24"/>
              </w:rPr>
              <w:t xml:space="preserve">which </w:t>
            </w:r>
            <w:r>
              <w:rPr>
                <w:rFonts w:ascii="Calibri" w:eastAsia="Calibri" w:hAnsi="Calibri" w:cs="Calibri"/>
                <w:sz w:val="24"/>
                <w:szCs w:val="24"/>
              </w:rPr>
              <w:t>is</w:t>
            </w:r>
            <w:r w:rsidR="00A423CF" w:rsidRPr="00783DE3">
              <w:rPr>
                <w:rFonts w:ascii="Calibri" w:eastAsia="Calibri" w:hAnsi="Calibri" w:cs="Calibri"/>
                <w:sz w:val="24"/>
                <w:szCs w:val="24"/>
              </w:rPr>
              <w:t xml:space="preserve"> also known as </w:t>
            </w:r>
            <w:r>
              <w:rPr>
                <w:rFonts w:ascii="Calibri" w:eastAsia="Calibri" w:hAnsi="Calibri" w:cs="Calibri"/>
                <w:sz w:val="24"/>
                <w:szCs w:val="24"/>
              </w:rPr>
              <w:t>risk reduction and</w:t>
            </w:r>
            <w:r w:rsidR="00A423CF" w:rsidRPr="00783DE3">
              <w:rPr>
                <w:rFonts w:ascii="Calibri" w:eastAsia="Calibri" w:hAnsi="Calibri" w:cs="Calibri"/>
                <w:sz w:val="24"/>
                <w:szCs w:val="24"/>
              </w:rPr>
              <w:t xml:space="preserve"> may also be called treat or mitigate. Risk diversification is a form of risk reduction whereby risk is dispersed, such as by investing in multiple stocks rather than a single stock. Diversification is the technique used by people who do not want to put all their eggs in one basket. In his focus on the treatment of hazardous materials in a manufacturing context to prevent personal injury, Wilkinson (2003) describes two general approaches that may be taken to reduce risk: reducing the likelihood of a risk occurring and limiting the loss should the risk materialise.</w:t>
            </w:r>
          </w:p>
          <w:p w:rsidR="00A423CF" w:rsidRPr="00783DE3" w:rsidRDefault="00A423CF" w:rsidP="00783DE3">
            <w:pPr>
              <w:autoSpaceDE w:val="0"/>
              <w:autoSpaceDN w:val="0"/>
              <w:adjustRightInd w:val="0"/>
              <w:jc w:val="both"/>
              <w:rPr>
                <w:rFonts w:ascii="Calibri" w:eastAsia="Calibri" w:hAnsi="Calibri" w:cs="Calibri"/>
                <w:sz w:val="24"/>
                <w:szCs w:val="24"/>
              </w:rPr>
            </w:pPr>
            <w:r w:rsidRPr="00783DE3">
              <w:rPr>
                <w:rFonts w:ascii="Calibri" w:eastAsia="Calibri" w:hAnsi="Calibri" w:cs="Calibri"/>
                <w:sz w:val="24"/>
                <w:szCs w:val="24"/>
              </w:rPr>
              <w:t>Wilkinson describes methods to reduce the likelihood of occurrence of risks through strategies including protection, controls and maintenance. Methods of risk reduction include the act of risk spreading, such as dispersing chemical storage.</w:t>
            </w:r>
          </w:p>
          <w:p w:rsidR="00A423CF" w:rsidRPr="00783DE3" w:rsidRDefault="00A423CF" w:rsidP="00783DE3">
            <w:pPr>
              <w:autoSpaceDE w:val="0"/>
              <w:autoSpaceDN w:val="0"/>
              <w:adjustRightInd w:val="0"/>
              <w:jc w:val="both"/>
              <w:rPr>
                <w:rFonts w:ascii="Calibri" w:eastAsia="Calibri" w:hAnsi="Calibri" w:cs="Calibri"/>
                <w:sz w:val="24"/>
                <w:szCs w:val="24"/>
              </w:rPr>
            </w:pPr>
          </w:p>
          <w:p w:rsidR="00A423CF" w:rsidRPr="00783DE3" w:rsidRDefault="00A423CF" w:rsidP="00783DE3">
            <w:pPr>
              <w:autoSpaceDE w:val="0"/>
              <w:autoSpaceDN w:val="0"/>
              <w:adjustRightInd w:val="0"/>
              <w:jc w:val="both"/>
              <w:rPr>
                <w:rFonts w:ascii="Calibri" w:eastAsia="Calibri" w:hAnsi="Calibri" w:cs="Calibri"/>
                <w:sz w:val="24"/>
                <w:szCs w:val="24"/>
              </w:rPr>
            </w:pPr>
            <w:r w:rsidRPr="00783DE3">
              <w:rPr>
                <w:rFonts w:ascii="Calibri" w:eastAsia="Calibri" w:hAnsi="Calibri" w:cs="Calibri"/>
                <w:sz w:val="24"/>
                <w:szCs w:val="24"/>
              </w:rPr>
              <w:t xml:space="preserve">The petrochemical industry, while not being able to remove the threat of adverse weather conditions, designs rigs to withstand high winds. Contractors, while not being able to remove the threat of plant failure, regularly maintain their plants and keep critical spares close at hand. Credit card companies, while not being able to remove default risk, reduce the impact by setting interest rates at a level which compensates the risk and outsource debt recovery. Many companies lose critical personnel. A business cannot prevent this from </w:t>
            </w:r>
            <w:r w:rsidRPr="00783DE3">
              <w:rPr>
                <w:rFonts w:ascii="Calibri" w:eastAsia="Calibri" w:hAnsi="Calibri" w:cs="Calibri"/>
                <w:sz w:val="24"/>
                <w:szCs w:val="24"/>
              </w:rPr>
              <w:lastRenderedPageBreak/>
              <w:t xml:space="preserve">happening but as Brent </w:t>
            </w:r>
            <w:proofErr w:type="spellStart"/>
            <w:r w:rsidRPr="00783DE3">
              <w:rPr>
                <w:rFonts w:ascii="Calibri" w:eastAsia="Calibri" w:hAnsi="Calibri" w:cs="Calibri"/>
                <w:sz w:val="24"/>
                <w:szCs w:val="24"/>
              </w:rPr>
              <w:t>Callinicos</w:t>
            </w:r>
            <w:proofErr w:type="spellEnd"/>
            <w:r w:rsidRPr="00783DE3">
              <w:rPr>
                <w:rFonts w:ascii="Calibri" w:eastAsia="Calibri" w:hAnsi="Calibri" w:cs="Calibri"/>
                <w:sz w:val="24"/>
                <w:szCs w:val="24"/>
              </w:rPr>
              <w:t xml:space="preserve"> of Microsoft explains, it is possible to examine companies that have suffered a sudden departure (McCarthy a</w:t>
            </w:r>
            <w:r w:rsidR="00783DE3" w:rsidRPr="00783DE3">
              <w:rPr>
                <w:rFonts w:ascii="Calibri" w:eastAsia="Calibri" w:hAnsi="Calibri" w:cs="Calibri"/>
                <w:sz w:val="24"/>
                <w:szCs w:val="24"/>
              </w:rPr>
              <w:t xml:space="preserve">nd Flynn 2004). In this way, it </w:t>
            </w:r>
            <w:r w:rsidRPr="00783DE3">
              <w:rPr>
                <w:rFonts w:ascii="Calibri" w:eastAsia="Calibri" w:hAnsi="Calibri" w:cs="Calibri"/>
                <w:sz w:val="24"/>
                <w:szCs w:val="24"/>
              </w:rPr>
              <w:t>can be seen how that company responded, establish what the public reaction was, examine how the market moved and use this information to make a well-designed response when it happens. You cannot stop a tsunami happening, but it is definitely helpful if you can have advance warning.</w:t>
            </w:r>
          </w:p>
          <w:p w:rsidR="00A423CF" w:rsidRPr="00A423CF" w:rsidRDefault="00A423CF" w:rsidP="00A423CF">
            <w:pPr>
              <w:autoSpaceDE w:val="0"/>
              <w:autoSpaceDN w:val="0"/>
              <w:adjustRightInd w:val="0"/>
              <w:rPr>
                <w:rFonts w:ascii="Calibri" w:hAnsi="Calibri" w:cs="Calibri"/>
                <w:sz w:val="24"/>
                <w:szCs w:val="24"/>
              </w:rPr>
            </w:pPr>
          </w:p>
          <w:p w:rsidR="00EE2C1B" w:rsidRDefault="00EE2C1B" w:rsidP="0096561B">
            <w:pPr>
              <w:pStyle w:val="ListParagraph"/>
              <w:numPr>
                <w:ilvl w:val="0"/>
                <w:numId w:val="1"/>
              </w:numPr>
              <w:autoSpaceDE w:val="0"/>
              <w:autoSpaceDN w:val="0"/>
              <w:adjustRightInd w:val="0"/>
              <w:rPr>
                <w:rFonts w:eastAsiaTheme="minorHAnsi" w:cs="Calibri"/>
                <w:b/>
                <w:bCs/>
                <w:sz w:val="24"/>
                <w:szCs w:val="24"/>
              </w:rPr>
            </w:pPr>
            <w:r w:rsidRPr="00F9577D">
              <w:rPr>
                <w:rFonts w:eastAsiaTheme="minorHAnsi" w:cs="Calibri"/>
                <w:b/>
                <w:bCs/>
                <w:sz w:val="24"/>
                <w:szCs w:val="24"/>
              </w:rPr>
              <w:t xml:space="preserve">Risk transfer </w:t>
            </w:r>
          </w:p>
          <w:p w:rsidR="00F9577D" w:rsidRPr="00F9577D" w:rsidRDefault="00F9577D" w:rsidP="00F9577D">
            <w:pPr>
              <w:pStyle w:val="ListParagraph"/>
              <w:autoSpaceDE w:val="0"/>
              <w:autoSpaceDN w:val="0"/>
              <w:adjustRightInd w:val="0"/>
              <w:rPr>
                <w:rFonts w:eastAsiaTheme="minorHAnsi" w:cs="Calibri"/>
                <w:b/>
                <w:bCs/>
                <w:sz w:val="24"/>
                <w:szCs w:val="24"/>
              </w:rPr>
            </w:pPr>
          </w:p>
          <w:p w:rsidR="00F9577D" w:rsidRPr="00542D2F" w:rsidRDefault="00F9577D" w:rsidP="00542D2F">
            <w:pPr>
              <w:autoSpaceDE w:val="0"/>
              <w:autoSpaceDN w:val="0"/>
              <w:adjustRightInd w:val="0"/>
              <w:rPr>
                <w:rFonts w:cs="Calibri"/>
                <w:sz w:val="24"/>
                <w:szCs w:val="24"/>
              </w:rPr>
            </w:pPr>
            <w:r w:rsidRPr="00542D2F">
              <w:rPr>
                <w:rFonts w:cs="Calibri"/>
                <w:sz w:val="24"/>
                <w:szCs w:val="24"/>
              </w:rPr>
              <w:t xml:space="preserve">This refers to risk response or transfer risk which is also known as </w:t>
            </w:r>
            <w:proofErr w:type="gramStart"/>
            <w:r w:rsidRPr="00542D2F">
              <w:rPr>
                <w:rFonts w:cs="Calibri"/>
                <w:sz w:val="24"/>
                <w:szCs w:val="24"/>
              </w:rPr>
              <w:t>deflect</w:t>
            </w:r>
            <w:proofErr w:type="gramEnd"/>
            <w:r w:rsidRPr="00542D2F">
              <w:rPr>
                <w:rFonts w:cs="Calibri"/>
                <w:sz w:val="24"/>
                <w:szCs w:val="24"/>
              </w:rPr>
              <w:t xml:space="preserve">. Risk transfer is the method used to move a risk onto an external </w:t>
            </w:r>
            <w:proofErr w:type="spellStart"/>
            <w:r w:rsidRPr="00542D2F">
              <w:rPr>
                <w:rFonts w:cs="Calibri"/>
                <w:sz w:val="24"/>
                <w:szCs w:val="24"/>
              </w:rPr>
              <w:t>organisation</w:t>
            </w:r>
            <w:proofErr w:type="spellEnd"/>
            <w:r w:rsidRPr="00542D2F">
              <w:rPr>
                <w:rFonts w:cs="Calibri"/>
                <w:sz w:val="24"/>
                <w:szCs w:val="24"/>
              </w:rPr>
              <w:t>, entity or business. The main techniques in which risks are often transferred are contracts and financial agreements.</w:t>
            </w:r>
          </w:p>
          <w:p w:rsidR="00F9577D" w:rsidRPr="00542D2F" w:rsidRDefault="00F9577D" w:rsidP="00542D2F">
            <w:pPr>
              <w:autoSpaceDE w:val="0"/>
              <w:autoSpaceDN w:val="0"/>
              <w:adjustRightInd w:val="0"/>
              <w:rPr>
                <w:rFonts w:cs="Calibri"/>
                <w:sz w:val="24"/>
                <w:szCs w:val="24"/>
              </w:rPr>
            </w:pPr>
            <w:r w:rsidRPr="00542D2F">
              <w:rPr>
                <w:rFonts w:cs="Calibri"/>
                <w:sz w:val="24"/>
                <w:szCs w:val="24"/>
              </w:rPr>
              <w:t>Transferring a risk does not decrease its possible severity; instead, the risk is simply shifted to another party. Sometimes transfer can increase the effect of the risk significantly, especially if the receiving party is not aware that it is expected to absorb it. Taking out insurance is a common form of risk transfer.</w:t>
            </w:r>
          </w:p>
          <w:p w:rsidR="00F9577D" w:rsidRPr="00542D2F" w:rsidRDefault="00F9577D" w:rsidP="00542D2F">
            <w:pPr>
              <w:autoSpaceDE w:val="0"/>
              <w:autoSpaceDN w:val="0"/>
              <w:adjustRightInd w:val="0"/>
              <w:rPr>
                <w:rFonts w:cs="Calibri"/>
                <w:sz w:val="24"/>
                <w:szCs w:val="24"/>
              </w:rPr>
            </w:pPr>
            <w:r w:rsidRPr="00542D2F">
              <w:rPr>
                <w:rFonts w:cs="Calibri"/>
                <w:sz w:val="24"/>
                <w:szCs w:val="24"/>
              </w:rPr>
              <w:t>However, insurance transfer doesn’t transfer all the risk as insurance contracts often include exclusions or excesses, as with motor insurance. The company that owns the risk will be responsible for initiating this system of risk response. Considering the merit of transferring a risk necessitates a business considering both its and the other parties’ objectives, the relative abilities of the parties to assume the risk, the degree of control over the context of the risk and the potential gain or loss incentive (Perry 1986).</w:t>
            </w:r>
          </w:p>
          <w:p w:rsidR="00F9577D" w:rsidRPr="00F9577D" w:rsidRDefault="00F9577D" w:rsidP="00542D2F">
            <w:pPr>
              <w:autoSpaceDE w:val="0"/>
              <w:autoSpaceDN w:val="0"/>
              <w:adjustRightInd w:val="0"/>
              <w:rPr>
                <w:rFonts w:ascii="Calibri" w:eastAsia="Calibri" w:hAnsi="Calibri" w:cs="Calibri"/>
                <w:sz w:val="24"/>
                <w:szCs w:val="24"/>
              </w:rPr>
            </w:pPr>
          </w:p>
          <w:p w:rsidR="00F9577D" w:rsidRPr="00542D2F" w:rsidRDefault="00F9577D" w:rsidP="00542D2F">
            <w:pPr>
              <w:autoSpaceDE w:val="0"/>
              <w:autoSpaceDN w:val="0"/>
              <w:adjustRightInd w:val="0"/>
              <w:rPr>
                <w:rFonts w:cs="Calibri"/>
                <w:sz w:val="24"/>
                <w:szCs w:val="24"/>
              </w:rPr>
            </w:pPr>
            <w:r w:rsidRPr="00542D2F">
              <w:rPr>
                <w:rFonts w:cs="Calibri"/>
                <w:sz w:val="24"/>
                <w:szCs w:val="24"/>
              </w:rPr>
              <w:t>Four tests must be applied when considering risk transfer:</w:t>
            </w:r>
          </w:p>
          <w:p w:rsidR="00F9577D" w:rsidRDefault="00F9577D" w:rsidP="00F9577D">
            <w:pPr>
              <w:autoSpaceDE w:val="0"/>
              <w:autoSpaceDN w:val="0"/>
              <w:adjustRightInd w:val="0"/>
              <w:rPr>
                <w:rFonts w:ascii="Calibri" w:eastAsia="Calibri" w:hAnsi="Calibri" w:cs="Calibri"/>
                <w:sz w:val="24"/>
                <w:szCs w:val="24"/>
              </w:rPr>
            </w:pPr>
          </w:p>
          <w:p w:rsidR="00F9577D" w:rsidRPr="00542D2F" w:rsidRDefault="00F9577D" w:rsidP="0096561B">
            <w:pPr>
              <w:pStyle w:val="ListParagraph"/>
              <w:numPr>
                <w:ilvl w:val="0"/>
                <w:numId w:val="5"/>
              </w:numPr>
              <w:autoSpaceDE w:val="0"/>
              <w:autoSpaceDN w:val="0"/>
              <w:adjustRightInd w:val="0"/>
              <w:jc w:val="both"/>
              <w:rPr>
                <w:rFonts w:cs="Calibri"/>
                <w:sz w:val="24"/>
                <w:szCs w:val="24"/>
              </w:rPr>
            </w:pPr>
            <w:r w:rsidRPr="00542D2F">
              <w:rPr>
                <w:rFonts w:cs="Calibri"/>
                <w:b/>
                <w:bCs/>
                <w:sz w:val="24"/>
                <w:szCs w:val="24"/>
              </w:rPr>
              <w:t>Objectives of the parties</w:t>
            </w:r>
            <w:r w:rsidRPr="00542D2F">
              <w:rPr>
                <w:rFonts w:cs="Calibri"/>
                <w:sz w:val="24"/>
                <w:szCs w:val="24"/>
              </w:rPr>
              <w:t>: What is a party’s reason to transfer or accept the risk, and is it</w:t>
            </w:r>
          </w:p>
          <w:p w:rsidR="00F9577D" w:rsidRPr="00542D2F" w:rsidRDefault="00F9577D" w:rsidP="0096561B">
            <w:pPr>
              <w:pStyle w:val="ListParagraph"/>
              <w:numPr>
                <w:ilvl w:val="0"/>
                <w:numId w:val="5"/>
              </w:numPr>
              <w:autoSpaceDE w:val="0"/>
              <w:autoSpaceDN w:val="0"/>
              <w:adjustRightInd w:val="0"/>
              <w:jc w:val="both"/>
              <w:rPr>
                <w:rFonts w:cs="Calibri"/>
                <w:sz w:val="24"/>
                <w:szCs w:val="24"/>
              </w:rPr>
            </w:pPr>
            <w:proofErr w:type="gramStart"/>
            <w:r w:rsidRPr="00542D2F">
              <w:rPr>
                <w:rFonts w:cs="Calibri"/>
                <w:sz w:val="24"/>
                <w:szCs w:val="24"/>
              </w:rPr>
              <w:t>transparent</w:t>
            </w:r>
            <w:proofErr w:type="gramEnd"/>
            <w:r w:rsidRPr="00542D2F">
              <w:rPr>
                <w:rFonts w:cs="Calibri"/>
                <w:sz w:val="24"/>
                <w:szCs w:val="24"/>
              </w:rPr>
              <w:t>?</w:t>
            </w:r>
          </w:p>
          <w:p w:rsidR="00F9577D" w:rsidRPr="00F9577D" w:rsidRDefault="00F9577D" w:rsidP="0067332E">
            <w:pPr>
              <w:autoSpaceDE w:val="0"/>
              <w:autoSpaceDN w:val="0"/>
              <w:adjustRightInd w:val="0"/>
              <w:jc w:val="both"/>
              <w:rPr>
                <w:rFonts w:ascii="Calibri" w:eastAsia="Calibri" w:hAnsi="Calibri" w:cs="Calibri"/>
                <w:sz w:val="24"/>
                <w:szCs w:val="24"/>
              </w:rPr>
            </w:pPr>
          </w:p>
          <w:p w:rsidR="00F9577D" w:rsidRPr="00542D2F" w:rsidRDefault="00F9577D" w:rsidP="0096561B">
            <w:pPr>
              <w:pStyle w:val="ListParagraph"/>
              <w:numPr>
                <w:ilvl w:val="0"/>
                <w:numId w:val="5"/>
              </w:numPr>
              <w:autoSpaceDE w:val="0"/>
              <w:autoSpaceDN w:val="0"/>
              <w:adjustRightInd w:val="0"/>
              <w:jc w:val="both"/>
              <w:rPr>
                <w:rFonts w:cs="Calibri"/>
                <w:sz w:val="24"/>
                <w:szCs w:val="24"/>
              </w:rPr>
            </w:pPr>
            <w:r w:rsidRPr="00542D2F">
              <w:rPr>
                <w:rFonts w:cs="Calibri"/>
                <w:b/>
                <w:bCs/>
                <w:sz w:val="24"/>
                <w:szCs w:val="24"/>
              </w:rPr>
              <w:t>Cost effectiveness</w:t>
            </w:r>
            <w:r w:rsidRPr="00542D2F">
              <w:rPr>
                <w:rFonts w:cs="Calibri"/>
                <w:sz w:val="24"/>
                <w:szCs w:val="24"/>
              </w:rPr>
              <w:t>: Customarily, premiums are charged by the party accepting the risk. A calculation needs to be made about whether or not the premium to be paid is less than the cost of the financial impact of the risk if it occurs. An example of risk transfer is when a business procures a new industrial property and passes on the risk of poor ground conditions to the contractor. This type of risk transfer is not cost effective as the risk may or may not occur an</w:t>
            </w:r>
            <w:r w:rsidR="0067332E" w:rsidRPr="00542D2F">
              <w:rPr>
                <w:rFonts w:cs="Calibri"/>
                <w:sz w:val="24"/>
                <w:szCs w:val="24"/>
              </w:rPr>
              <w:t xml:space="preserve">d the contractor will have made </w:t>
            </w:r>
            <w:r w:rsidRPr="00542D2F">
              <w:rPr>
                <w:rFonts w:cs="Calibri"/>
                <w:sz w:val="24"/>
                <w:szCs w:val="24"/>
              </w:rPr>
              <w:t>provisions for this risk in his price. The contractor showing the full cos</w:t>
            </w:r>
            <w:r w:rsidR="0067332E" w:rsidRPr="00542D2F">
              <w:rPr>
                <w:rFonts w:cs="Calibri"/>
                <w:sz w:val="24"/>
                <w:szCs w:val="24"/>
              </w:rPr>
              <w:t xml:space="preserve">t of the risk in his price will </w:t>
            </w:r>
            <w:r w:rsidRPr="00542D2F">
              <w:rPr>
                <w:rFonts w:cs="Calibri"/>
                <w:sz w:val="24"/>
                <w:szCs w:val="24"/>
              </w:rPr>
              <w:t>depend on his knowledge of the area, the competition in the market p</w:t>
            </w:r>
            <w:r w:rsidR="0067332E" w:rsidRPr="00542D2F">
              <w:rPr>
                <w:rFonts w:cs="Calibri"/>
                <w:sz w:val="24"/>
                <w:szCs w:val="24"/>
              </w:rPr>
              <w:t xml:space="preserve">lace, the quality and extent of </w:t>
            </w:r>
            <w:r w:rsidRPr="00542D2F">
              <w:rPr>
                <w:rFonts w:cs="Calibri"/>
                <w:sz w:val="24"/>
                <w:szCs w:val="24"/>
              </w:rPr>
              <w:t>the soil survey, his order book and whether he is in competitive tender.</w:t>
            </w:r>
          </w:p>
          <w:p w:rsidR="0067332E" w:rsidRPr="0067332E" w:rsidRDefault="0067332E" w:rsidP="0067332E">
            <w:pPr>
              <w:autoSpaceDE w:val="0"/>
              <w:autoSpaceDN w:val="0"/>
              <w:adjustRightInd w:val="0"/>
              <w:jc w:val="both"/>
              <w:rPr>
                <w:rFonts w:ascii="Calibri" w:eastAsia="Calibri" w:hAnsi="Calibri" w:cs="Calibri"/>
                <w:sz w:val="24"/>
                <w:szCs w:val="24"/>
              </w:rPr>
            </w:pPr>
          </w:p>
          <w:p w:rsidR="00F9577D" w:rsidRPr="00542D2F" w:rsidRDefault="00F9577D" w:rsidP="0096561B">
            <w:pPr>
              <w:pStyle w:val="ListParagraph"/>
              <w:numPr>
                <w:ilvl w:val="0"/>
                <w:numId w:val="5"/>
              </w:numPr>
              <w:autoSpaceDE w:val="0"/>
              <w:autoSpaceDN w:val="0"/>
              <w:adjustRightInd w:val="0"/>
              <w:jc w:val="both"/>
              <w:rPr>
                <w:rFonts w:cs="Calibri"/>
                <w:sz w:val="24"/>
                <w:szCs w:val="24"/>
              </w:rPr>
            </w:pPr>
            <w:r w:rsidRPr="00542D2F">
              <w:rPr>
                <w:rFonts w:cs="Calibri"/>
                <w:b/>
                <w:bCs/>
                <w:sz w:val="24"/>
                <w:szCs w:val="24"/>
              </w:rPr>
              <w:t>Ability to manage</w:t>
            </w:r>
            <w:r w:rsidRPr="00542D2F">
              <w:rPr>
                <w:rFonts w:cs="Calibri"/>
                <w:sz w:val="24"/>
                <w:szCs w:val="24"/>
              </w:rPr>
              <w:t>: Successful transfer can occur only if the recipien</w:t>
            </w:r>
            <w:r w:rsidR="0067332E" w:rsidRPr="00542D2F">
              <w:rPr>
                <w:rFonts w:cs="Calibri"/>
                <w:sz w:val="24"/>
                <w:szCs w:val="24"/>
              </w:rPr>
              <w:t xml:space="preserve">t of the risk or the party that </w:t>
            </w:r>
            <w:r w:rsidRPr="00542D2F">
              <w:rPr>
                <w:rFonts w:cs="Calibri"/>
                <w:sz w:val="24"/>
                <w:szCs w:val="24"/>
              </w:rPr>
              <w:t>takes on the risk is able to manage the risk. In other words, wheth</w:t>
            </w:r>
            <w:r w:rsidR="0067332E" w:rsidRPr="00542D2F">
              <w:rPr>
                <w:rFonts w:cs="Calibri"/>
                <w:sz w:val="24"/>
                <w:szCs w:val="24"/>
              </w:rPr>
              <w:t xml:space="preserve">er they can implement an action </w:t>
            </w:r>
            <w:r w:rsidRPr="00542D2F">
              <w:rPr>
                <w:rFonts w:cs="Calibri"/>
                <w:sz w:val="24"/>
                <w:szCs w:val="24"/>
              </w:rPr>
              <w:t>or actions to either remove or reduce the risk.</w:t>
            </w:r>
          </w:p>
          <w:p w:rsidR="0067332E" w:rsidRPr="0067332E" w:rsidRDefault="0067332E" w:rsidP="0067332E">
            <w:pPr>
              <w:autoSpaceDE w:val="0"/>
              <w:autoSpaceDN w:val="0"/>
              <w:adjustRightInd w:val="0"/>
              <w:jc w:val="both"/>
              <w:rPr>
                <w:rFonts w:ascii="Calibri" w:eastAsia="Calibri" w:hAnsi="Calibri" w:cs="Calibri"/>
                <w:sz w:val="24"/>
                <w:szCs w:val="24"/>
              </w:rPr>
            </w:pPr>
          </w:p>
          <w:p w:rsidR="00F9577D" w:rsidRPr="00542D2F" w:rsidRDefault="00F9577D" w:rsidP="0096561B">
            <w:pPr>
              <w:pStyle w:val="ListParagraph"/>
              <w:numPr>
                <w:ilvl w:val="0"/>
                <w:numId w:val="5"/>
              </w:numPr>
              <w:autoSpaceDE w:val="0"/>
              <w:autoSpaceDN w:val="0"/>
              <w:adjustRightInd w:val="0"/>
              <w:jc w:val="both"/>
              <w:rPr>
                <w:rFonts w:cs="Calibri"/>
                <w:sz w:val="24"/>
                <w:szCs w:val="24"/>
              </w:rPr>
            </w:pPr>
            <w:r w:rsidRPr="00542D2F">
              <w:rPr>
                <w:rFonts w:cs="Calibri"/>
                <w:b/>
                <w:bCs/>
                <w:sz w:val="24"/>
                <w:szCs w:val="24"/>
              </w:rPr>
              <w:t>Risk context</w:t>
            </w:r>
            <w:r w:rsidRPr="00542D2F">
              <w:rPr>
                <w:rFonts w:cs="Calibri"/>
                <w:sz w:val="24"/>
                <w:szCs w:val="24"/>
              </w:rPr>
              <w:t>: The ability of a company to take direct action to manage</w:t>
            </w:r>
            <w:r w:rsidR="0067332E" w:rsidRPr="00542D2F">
              <w:rPr>
                <w:rFonts w:cs="Calibri"/>
                <w:sz w:val="24"/>
                <w:szCs w:val="24"/>
              </w:rPr>
              <w:t xml:space="preserve"> a risk is important, but so is </w:t>
            </w:r>
            <w:r w:rsidRPr="00542D2F">
              <w:rPr>
                <w:rFonts w:cs="Calibri"/>
                <w:sz w:val="24"/>
                <w:szCs w:val="24"/>
              </w:rPr>
              <w:t xml:space="preserve">the context of the risk. In other words, how stable or unstable is </w:t>
            </w:r>
            <w:r w:rsidR="0067332E" w:rsidRPr="00542D2F">
              <w:rPr>
                <w:rFonts w:cs="Calibri"/>
                <w:sz w:val="24"/>
                <w:szCs w:val="24"/>
              </w:rPr>
              <w:t xml:space="preserve">the source of the risk and what </w:t>
            </w:r>
            <w:r w:rsidRPr="00542D2F">
              <w:rPr>
                <w:rFonts w:cs="Calibri"/>
                <w:sz w:val="24"/>
                <w:szCs w:val="24"/>
              </w:rPr>
              <w:t xml:space="preserve">degree of fluctuation is present in the probability of </w:t>
            </w:r>
            <w:r w:rsidRPr="00542D2F">
              <w:rPr>
                <w:rFonts w:cs="Calibri"/>
                <w:sz w:val="24"/>
                <w:szCs w:val="24"/>
              </w:rPr>
              <w:lastRenderedPageBreak/>
              <w:t>the risk will impa</w:t>
            </w:r>
            <w:r w:rsidR="0067332E" w:rsidRPr="00542D2F">
              <w:rPr>
                <w:rFonts w:cs="Calibri"/>
                <w:sz w:val="24"/>
                <w:szCs w:val="24"/>
              </w:rPr>
              <w:t xml:space="preserve">ct the risk context. </w:t>
            </w:r>
            <w:r w:rsidRPr="00542D2F">
              <w:rPr>
                <w:rFonts w:cs="Calibri"/>
                <w:sz w:val="24"/>
                <w:szCs w:val="24"/>
              </w:rPr>
              <w:t>A business is not totally protected from the effect of a risk even when it h</w:t>
            </w:r>
            <w:r w:rsidR="0067332E" w:rsidRPr="00542D2F">
              <w:rPr>
                <w:rFonts w:cs="Calibri"/>
                <w:sz w:val="24"/>
                <w:szCs w:val="24"/>
              </w:rPr>
              <w:t xml:space="preserve">as transferred it. For example, </w:t>
            </w:r>
            <w:r w:rsidRPr="00542D2F">
              <w:rPr>
                <w:rFonts w:cs="Calibri"/>
                <w:sz w:val="24"/>
                <w:szCs w:val="24"/>
              </w:rPr>
              <w:t>a company will still have to deal with the consequences of a late project eve</w:t>
            </w:r>
            <w:r w:rsidR="0067332E" w:rsidRPr="00542D2F">
              <w:rPr>
                <w:rFonts w:cs="Calibri"/>
                <w:sz w:val="24"/>
                <w:szCs w:val="24"/>
              </w:rPr>
              <w:t xml:space="preserve">n if the risk is transferred to </w:t>
            </w:r>
            <w:r w:rsidRPr="00542D2F">
              <w:rPr>
                <w:rFonts w:cs="Calibri"/>
                <w:sz w:val="24"/>
                <w:szCs w:val="24"/>
              </w:rPr>
              <w:t>a contractor by means of a penalty clause for late delivery or if the</w:t>
            </w:r>
            <w:r w:rsidR="0067332E" w:rsidRPr="00542D2F">
              <w:rPr>
                <w:rFonts w:cs="Calibri"/>
                <w:sz w:val="24"/>
                <w:szCs w:val="24"/>
              </w:rPr>
              <w:t xml:space="preserve"> contractor fails to manage the </w:t>
            </w:r>
            <w:r w:rsidRPr="00542D2F">
              <w:rPr>
                <w:rFonts w:cs="Calibri"/>
                <w:sz w:val="24"/>
                <w:szCs w:val="24"/>
              </w:rPr>
              <w:t>project.</w:t>
            </w:r>
          </w:p>
          <w:p w:rsidR="008B3B1B" w:rsidRPr="00955E9C" w:rsidRDefault="008B3B1B" w:rsidP="008E6C9D">
            <w:pPr>
              <w:pStyle w:val="Default"/>
              <w:jc w:val="both"/>
              <w:rPr>
                <w:rFonts w:asciiTheme="minorHAnsi" w:hAnsiTheme="minorHAnsi"/>
              </w:rPr>
            </w:pPr>
          </w:p>
        </w:tc>
      </w:tr>
      <w:tr w:rsidR="00542D2F" w:rsidRPr="00955E9C" w:rsidTr="00923AF8">
        <w:tc>
          <w:tcPr>
            <w:tcW w:w="9242" w:type="dxa"/>
          </w:tcPr>
          <w:p w:rsidR="00542D2F" w:rsidRPr="00955E9C" w:rsidRDefault="00542D2F" w:rsidP="008E6C9D">
            <w:pPr>
              <w:autoSpaceDE w:val="0"/>
              <w:autoSpaceDN w:val="0"/>
              <w:adjustRightInd w:val="0"/>
              <w:jc w:val="both"/>
              <w:rPr>
                <w:color w:val="000000"/>
                <w:sz w:val="24"/>
                <w:szCs w:val="24"/>
              </w:rPr>
            </w:pPr>
          </w:p>
        </w:tc>
      </w:tr>
    </w:tbl>
    <w:p w:rsidR="007B0259" w:rsidRPr="00955E9C" w:rsidRDefault="007B0259" w:rsidP="008E6C9D">
      <w:pPr>
        <w:autoSpaceDE w:val="0"/>
        <w:autoSpaceDN w:val="0"/>
        <w:adjustRightInd w:val="0"/>
        <w:spacing w:after="0" w:line="240" w:lineRule="auto"/>
        <w:jc w:val="both"/>
        <w:rPr>
          <w:b/>
          <w:bCs/>
          <w:color w:val="002060"/>
          <w:sz w:val="24"/>
          <w:szCs w:val="24"/>
          <w:lang w:val="en-US"/>
        </w:rPr>
      </w:pPr>
    </w:p>
    <w:p w:rsidR="00A851DA" w:rsidRPr="00955E9C" w:rsidRDefault="00AE1481" w:rsidP="008E6C9D">
      <w:pPr>
        <w:autoSpaceDE w:val="0"/>
        <w:autoSpaceDN w:val="0"/>
        <w:adjustRightInd w:val="0"/>
        <w:spacing w:after="0" w:line="240" w:lineRule="auto"/>
        <w:jc w:val="both"/>
        <w:rPr>
          <w:b/>
          <w:bCs/>
          <w:color w:val="002060"/>
          <w:sz w:val="24"/>
          <w:szCs w:val="24"/>
          <w:lang w:val="en-US"/>
        </w:rPr>
      </w:pPr>
      <w:r w:rsidRPr="00955E9C">
        <w:rPr>
          <w:b/>
          <w:bCs/>
          <w:color w:val="002060"/>
          <w:sz w:val="24"/>
          <w:szCs w:val="24"/>
          <w:lang w:val="en-US"/>
        </w:rPr>
        <w:t>Student</w:t>
      </w:r>
      <w:r w:rsidR="00A851DA" w:rsidRPr="00955E9C">
        <w:rPr>
          <w:b/>
          <w:bCs/>
          <w:color w:val="002060"/>
          <w:sz w:val="24"/>
          <w:szCs w:val="24"/>
          <w:lang w:val="en-US"/>
        </w:rPr>
        <w:t xml:space="preserve"> Statement:</w:t>
      </w:r>
    </w:p>
    <w:p w:rsidR="00A851DA" w:rsidRPr="00955E9C" w:rsidRDefault="00A851DA" w:rsidP="008E6C9D">
      <w:pPr>
        <w:autoSpaceDE w:val="0"/>
        <w:autoSpaceDN w:val="0"/>
        <w:adjustRightInd w:val="0"/>
        <w:spacing w:after="0" w:line="240" w:lineRule="auto"/>
        <w:jc w:val="both"/>
        <w:rPr>
          <w:b/>
          <w:bCs/>
          <w:color w:val="001AE6"/>
          <w:sz w:val="24"/>
          <w:szCs w:val="24"/>
          <w:lang w:val="en-US"/>
        </w:rPr>
      </w:pPr>
    </w:p>
    <w:p w:rsidR="00A851DA" w:rsidRPr="00955E9C" w:rsidRDefault="00405895" w:rsidP="008E6C9D">
      <w:pPr>
        <w:autoSpaceDE w:val="0"/>
        <w:autoSpaceDN w:val="0"/>
        <w:adjustRightInd w:val="0"/>
        <w:spacing w:after="0" w:line="240" w:lineRule="auto"/>
        <w:jc w:val="both"/>
        <w:rPr>
          <w:color w:val="000000"/>
          <w:sz w:val="24"/>
          <w:szCs w:val="24"/>
          <w:lang w:val="en-US"/>
        </w:rPr>
      </w:pPr>
      <w:r w:rsidRPr="00955E9C">
        <w:rPr>
          <w:color w:val="000000"/>
          <w:sz w:val="24"/>
          <w:szCs w:val="24"/>
          <w:lang w:val="en-US"/>
        </w:rPr>
        <w:t>By submitting this assignment, I confirm that this is my own work.</w:t>
      </w:r>
    </w:p>
    <w:p w:rsidR="00503D7E" w:rsidRPr="00955E9C" w:rsidRDefault="00503D7E" w:rsidP="008E6C9D">
      <w:pPr>
        <w:autoSpaceDE w:val="0"/>
        <w:autoSpaceDN w:val="0"/>
        <w:adjustRightInd w:val="0"/>
        <w:spacing w:after="0" w:line="240" w:lineRule="auto"/>
        <w:jc w:val="both"/>
        <w:rPr>
          <w:color w:val="000000"/>
          <w:sz w:val="24"/>
          <w:szCs w:val="24"/>
          <w:lang w:val="en-US"/>
        </w:rPr>
      </w:pPr>
    </w:p>
    <w:tbl>
      <w:tblPr>
        <w:tblStyle w:val="TableGrid"/>
        <w:tblW w:w="0" w:type="auto"/>
        <w:tblLook w:val="04A0"/>
      </w:tblPr>
      <w:tblGrid>
        <w:gridCol w:w="2310"/>
        <w:gridCol w:w="4035"/>
        <w:gridCol w:w="1276"/>
        <w:gridCol w:w="1621"/>
      </w:tblGrid>
      <w:tr w:rsidR="00405895" w:rsidRPr="00955E9C" w:rsidTr="00405895">
        <w:tc>
          <w:tcPr>
            <w:tcW w:w="2310"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Student Signature</w:t>
            </w:r>
          </w:p>
        </w:tc>
        <w:tc>
          <w:tcPr>
            <w:tcW w:w="4035" w:type="dxa"/>
          </w:tcPr>
          <w:p w:rsidR="00405895" w:rsidRPr="00955E9C" w:rsidRDefault="006A54CE" w:rsidP="008E6C9D">
            <w:pPr>
              <w:jc w:val="both"/>
              <w:rPr>
                <w:color w:val="000000"/>
                <w:sz w:val="24"/>
                <w:szCs w:val="24"/>
              </w:rPr>
            </w:pPr>
            <w:r>
              <w:rPr>
                <w:color w:val="000000"/>
                <w:sz w:val="24"/>
                <w:szCs w:val="24"/>
              </w:rPr>
              <w:t>Amr Hindawy</w:t>
            </w:r>
          </w:p>
        </w:tc>
        <w:tc>
          <w:tcPr>
            <w:tcW w:w="1276" w:type="dxa"/>
            <w:shd w:val="clear" w:color="auto" w:fill="D9D9D9" w:themeFill="background1" w:themeFillShade="D9"/>
          </w:tcPr>
          <w:p w:rsidR="00405895" w:rsidRPr="00955E9C" w:rsidRDefault="00405895" w:rsidP="008E6C9D">
            <w:pPr>
              <w:jc w:val="both"/>
              <w:rPr>
                <w:color w:val="000000"/>
                <w:sz w:val="24"/>
                <w:szCs w:val="24"/>
              </w:rPr>
            </w:pPr>
            <w:r w:rsidRPr="00955E9C">
              <w:rPr>
                <w:color w:val="000000"/>
                <w:sz w:val="24"/>
                <w:szCs w:val="24"/>
              </w:rPr>
              <w:t>Date</w:t>
            </w:r>
          </w:p>
        </w:tc>
        <w:tc>
          <w:tcPr>
            <w:tcW w:w="1621" w:type="dxa"/>
          </w:tcPr>
          <w:p w:rsidR="00405895" w:rsidRPr="00955E9C" w:rsidRDefault="006A54CE" w:rsidP="00EE2C1B">
            <w:pPr>
              <w:jc w:val="both"/>
              <w:rPr>
                <w:color w:val="000000"/>
                <w:sz w:val="24"/>
                <w:szCs w:val="24"/>
              </w:rPr>
            </w:pPr>
            <w:bookmarkStart w:id="0" w:name="_GoBack"/>
            <w:bookmarkEnd w:id="0"/>
            <w:r>
              <w:rPr>
                <w:color w:val="000000"/>
                <w:sz w:val="24"/>
                <w:szCs w:val="24"/>
              </w:rPr>
              <w:t>23-10-2016</w:t>
            </w:r>
          </w:p>
        </w:tc>
      </w:tr>
    </w:tbl>
    <w:p w:rsidR="00A851DA" w:rsidRPr="00955E9C" w:rsidRDefault="00503D7E" w:rsidP="008E6C9D">
      <w:pPr>
        <w:shd w:val="clear" w:color="auto" w:fill="D9D9D9" w:themeFill="background1" w:themeFillShade="D9"/>
        <w:jc w:val="both"/>
        <w:rPr>
          <w:b/>
          <w:sz w:val="24"/>
          <w:szCs w:val="24"/>
          <w:lang w:val="en-US"/>
        </w:rPr>
      </w:pPr>
      <w:r w:rsidRPr="00955E9C">
        <w:rPr>
          <w:b/>
          <w:sz w:val="24"/>
          <w:szCs w:val="24"/>
          <w:lang w:val="en-US"/>
        </w:rPr>
        <w:t>For Tutor / Assessor Use Only</w:t>
      </w:r>
    </w:p>
    <w:tbl>
      <w:tblPr>
        <w:tblStyle w:val="TableGrid"/>
        <w:tblW w:w="0" w:type="auto"/>
        <w:tblLook w:val="04A0"/>
      </w:tblPr>
      <w:tblGrid>
        <w:gridCol w:w="4621"/>
        <w:gridCol w:w="4621"/>
      </w:tblGrid>
      <w:tr w:rsidR="00503D7E" w:rsidRPr="00955E9C" w:rsidTr="00B0415E">
        <w:trPr>
          <w:trHeight w:val="249"/>
        </w:trPr>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Total Marks</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503D7E" w:rsidP="008E6C9D">
            <w:pPr>
              <w:jc w:val="both"/>
              <w:rPr>
                <w:b/>
                <w:color w:val="002060"/>
                <w:sz w:val="24"/>
                <w:szCs w:val="24"/>
              </w:rPr>
            </w:pPr>
            <w:r w:rsidRPr="00955E9C">
              <w:rPr>
                <w:b/>
                <w:color w:val="002060"/>
                <w:sz w:val="24"/>
                <w:szCs w:val="24"/>
              </w:rPr>
              <w:t>Marks Obtained</w:t>
            </w:r>
          </w:p>
        </w:tc>
        <w:tc>
          <w:tcPr>
            <w:tcW w:w="4621" w:type="dxa"/>
          </w:tcPr>
          <w:p w:rsidR="00503D7E" w:rsidRPr="00955E9C" w:rsidRDefault="00503D7E" w:rsidP="008E6C9D">
            <w:pPr>
              <w:jc w:val="both"/>
              <w:rPr>
                <w:sz w:val="24"/>
                <w:szCs w:val="24"/>
              </w:rPr>
            </w:pPr>
          </w:p>
        </w:tc>
      </w:tr>
      <w:tr w:rsidR="00503D7E" w:rsidRPr="00955E9C" w:rsidTr="00B0415E">
        <w:tc>
          <w:tcPr>
            <w:tcW w:w="4621" w:type="dxa"/>
            <w:shd w:val="clear" w:color="auto" w:fill="D9D9D9" w:themeFill="background1" w:themeFillShade="D9"/>
          </w:tcPr>
          <w:p w:rsidR="00503D7E" w:rsidRPr="00955E9C" w:rsidRDefault="00B0415E" w:rsidP="008E6C9D">
            <w:pPr>
              <w:jc w:val="both"/>
              <w:rPr>
                <w:b/>
                <w:color w:val="002060"/>
                <w:sz w:val="24"/>
                <w:szCs w:val="24"/>
              </w:rPr>
            </w:pPr>
            <w:r w:rsidRPr="00955E9C">
              <w:rPr>
                <w:b/>
                <w:color w:val="002060"/>
                <w:sz w:val="24"/>
                <w:szCs w:val="24"/>
              </w:rPr>
              <w:t>Percentage / Grade</w:t>
            </w:r>
          </w:p>
        </w:tc>
        <w:tc>
          <w:tcPr>
            <w:tcW w:w="4621" w:type="dxa"/>
          </w:tcPr>
          <w:p w:rsidR="00503D7E" w:rsidRPr="00955E9C" w:rsidRDefault="00503D7E" w:rsidP="008E6C9D">
            <w:pPr>
              <w:jc w:val="both"/>
              <w:rPr>
                <w:sz w:val="24"/>
                <w:szCs w:val="24"/>
              </w:rPr>
            </w:pPr>
          </w:p>
        </w:tc>
      </w:tr>
    </w:tbl>
    <w:p w:rsidR="00EA30AB" w:rsidRPr="00955E9C" w:rsidRDefault="00EA30AB" w:rsidP="00141612">
      <w:pPr>
        <w:jc w:val="both"/>
        <w:rPr>
          <w:sz w:val="24"/>
          <w:szCs w:val="24"/>
        </w:rPr>
      </w:pPr>
    </w:p>
    <w:sectPr w:rsidR="00EA30AB" w:rsidRPr="00955E9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61B" w:rsidRDefault="0096561B" w:rsidP="00CB4D0A">
      <w:pPr>
        <w:spacing w:after="0" w:line="240" w:lineRule="auto"/>
      </w:pPr>
      <w:r>
        <w:separator/>
      </w:r>
    </w:p>
  </w:endnote>
  <w:endnote w:type="continuationSeparator" w:id="0">
    <w:p w:rsidR="0096561B" w:rsidRDefault="0096561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61B" w:rsidRDefault="0096561B" w:rsidP="00CB4D0A">
      <w:pPr>
        <w:spacing w:after="0" w:line="240" w:lineRule="auto"/>
      </w:pPr>
      <w:r>
        <w:separator/>
      </w:r>
    </w:p>
  </w:footnote>
  <w:footnote w:type="continuationSeparator" w:id="0">
    <w:p w:rsidR="0096561B" w:rsidRDefault="0096561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B28CF"/>
    <w:multiLevelType w:val="hybridMultilevel"/>
    <w:tmpl w:val="6D5E0E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425BB0"/>
    <w:multiLevelType w:val="hybridMultilevel"/>
    <w:tmpl w:val="1D06E2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1028AB"/>
    <w:multiLevelType w:val="hybridMultilevel"/>
    <w:tmpl w:val="DBFAC7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E7C0FCF"/>
    <w:multiLevelType w:val="hybridMultilevel"/>
    <w:tmpl w:val="6A7A25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F273CA"/>
    <w:multiLevelType w:val="hybridMultilevel"/>
    <w:tmpl w:val="BB5A01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7CF1DA6"/>
    <w:multiLevelType w:val="hybridMultilevel"/>
    <w:tmpl w:val="364087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194"/>
  </w:hdrShapeDefaults>
  <w:footnotePr>
    <w:footnote w:id="-1"/>
    <w:footnote w:id="0"/>
  </w:footnotePr>
  <w:endnotePr>
    <w:endnote w:id="-1"/>
    <w:endnote w:id="0"/>
  </w:endnotePr>
  <w:compat/>
  <w:rsids>
    <w:rsidRoot w:val="00490CB9"/>
    <w:rsid w:val="000056AC"/>
    <w:rsid w:val="000158F9"/>
    <w:rsid w:val="00016873"/>
    <w:rsid w:val="00026341"/>
    <w:rsid w:val="00032EEA"/>
    <w:rsid w:val="00033643"/>
    <w:rsid w:val="000344D3"/>
    <w:rsid w:val="00035CDD"/>
    <w:rsid w:val="00040083"/>
    <w:rsid w:val="00040D77"/>
    <w:rsid w:val="000533DF"/>
    <w:rsid w:val="00055992"/>
    <w:rsid w:val="000652F5"/>
    <w:rsid w:val="0007025A"/>
    <w:rsid w:val="00073FEE"/>
    <w:rsid w:val="000820E8"/>
    <w:rsid w:val="000859B5"/>
    <w:rsid w:val="000873A4"/>
    <w:rsid w:val="000B6867"/>
    <w:rsid w:val="000C6165"/>
    <w:rsid w:val="000D2A77"/>
    <w:rsid w:val="001175EE"/>
    <w:rsid w:val="00141612"/>
    <w:rsid w:val="00157CF6"/>
    <w:rsid w:val="00173D8D"/>
    <w:rsid w:val="00182416"/>
    <w:rsid w:val="0018723E"/>
    <w:rsid w:val="00187EB4"/>
    <w:rsid w:val="001B0A58"/>
    <w:rsid w:val="001B19E6"/>
    <w:rsid w:val="001C7FA2"/>
    <w:rsid w:val="001D34F8"/>
    <w:rsid w:val="001E02DC"/>
    <w:rsid w:val="001E58B1"/>
    <w:rsid w:val="001F0481"/>
    <w:rsid w:val="00200C92"/>
    <w:rsid w:val="00201B6D"/>
    <w:rsid w:val="002035B0"/>
    <w:rsid w:val="0020451E"/>
    <w:rsid w:val="00206B9D"/>
    <w:rsid w:val="00224E1A"/>
    <w:rsid w:val="0023259C"/>
    <w:rsid w:val="002333EC"/>
    <w:rsid w:val="00236449"/>
    <w:rsid w:val="00242FCC"/>
    <w:rsid w:val="00253485"/>
    <w:rsid w:val="00277CB5"/>
    <w:rsid w:val="00287E66"/>
    <w:rsid w:val="002B0BD7"/>
    <w:rsid w:val="002B4201"/>
    <w:rsid w:val="002B573D"/>
    <w:rsid w:val="002C5CB2"/>
    <w:rsid w:val="002C648D"/>
    <w:rsid w:val="002E44CF"/>
    <w:rsid w:val="002F1EEB"/>
    <w:rsid w:val="002F35F5"/>
    <w:rsid w:val="002F779F"/>
    <w:rsid w:val="003150D5"/>
    <w:rsid w:val="003157CA"/>
    <w:rsid w:val="00330F08"/>
    <w:rsid w:val="00356E39"/>
    <w:rsid w:val="00371885"/>
    <w:rsid w:val="0039114C"/>
    <w:rsid w:val="003A00B6"/>
    <w:rsid w:val="003B0349"/>
    <w:rsid w:val="003B08D3"/>
    <w:rsid w:val="003C09B5"/>
    <w:rsid w:val="003C27DE"/>
    <w:rsid w:val="003D3CBA"/>
    <w:rsid w:val="003D598F"/>
    <w:rsid w:val="003D5BEC"/>
    <w:rsid w:val="003D77C2"/>
    <w:rsid w:val="003E2B87"/>
    <w:rsid w:val="003E4668"/>
    <w:rsid w:val="003E7ED4"/>
    <w:rsid w:val="003F530C"/>
    <w:rsid w:val="003F5B8F"/>
    <w:rsid w:val="00402786"/>
    <w:rsid w:val="00405895"/>
    <w:rsid w:val="004058DF"/>
    <w:rsid w:val="00422852"/>
    <w:rsid w:val="00443E6F"/>
    <w:rsid w:val="00452D6D"/>
    <w:rsid w:val="00460CA0"/>
    <w:rsid w:val="00463469"/>
    <w:rsid w:val="00486F1A"/>
    <w:rsid w:val="00490CB9"/>
    <w:rsid w:val="00490E62"/>
    <w:rsid w:val="004A2CE2"/>
    <w:rsid w:val="004B4C6C"/>
    <w:rsid w:val="004B56DF"/>
    <w:rsid w:val="004C3D05"/>
    <w:rsid w:val="004D2057"/>
    <w:rsid w:val="004E1993"/>
    <w:rsid w:val="004E3CDA"/>
    <w:rsid w:val="004E512B"/>
    <w:rsid w:val="004E7F07"/>
    <w:rsid w:val="004F1269"/>
    <w:rsid w:val="004F4B4D"/>
    <w:rsid w:val="004F76FA"/>
    <w:rsid w:val="0050216D"/>
    <w:rsid w:val="00503D7E"/>
    <w:rsid w:val="0050778F"/>
    <w:rsid w:val="00514972"/>
    <w:rsid w:val="00527C11"/>
    <w:rsid w:val="00535F31"/>
    <w:rsid w:val="00542D2F"/>
    <w:rsid w:val="00545B0C"/>
    <w:rsid w:val="00562E23"/>
    <w:rsid w:val="00563743"/>
    <w:rsid w:val="00574D64"/>
    <w:rsid w:val="005807DD"/>
    <w:rsid w:val="00580E10"/>
    <w:rsid w:val="00584DD6"/>
    <w:rsid w:val="00591365"/>
    <w:rsid w:val="005945E2"/>
    <w:rsid w:val="005B2B7F"/>
    <w:rsid w:val="005B31E4"/>
    <w:rsid w:val="005D1806"/>
    <w:rsid w:val="005E39A7"/>
    <w:rsid w:val="005F7CD5"/>
    <w:rsid w:val="006034F6"/>
    <w:rsid w:val="00607874"/>
    <w:rsid w:val="00607E77"/>
    <w:rsid w:val="00615B3C"/>
    <w:rsid w:val="00617BB3"/>
    <w:rsid w:val="00626C1E"/>
    <w:rsid w:val="00635FCE"/>
    <w:rsid w:val="00645CDD"/>
    <w:rsid w:val="00646E0C"/>
    <w:rsid w:val="006470E7"/>
    <w:rsid w:val="00653271"/>
    <w:rsid w:val="00655812"/>
    <w:rsid w:val="00660933"/>
    <w:rsid w:val="0067332E"/>
    <w:rsid w:val="006823A7"/>
    <w:rsid w:val="00687EE8"/>
    <w:rsid w:val="00694CE3"/>
    <w:rsid w:val="006A54CE"/>
    <w:rsid w:val="006A568E"/>
    <w:rsid w:val="006A5EC7"/>
    <w:rsid w:val="006C11C3"/>
    <w:rsid w:val="006D1A3C"/>
    <w:rsid w:val="006F0405"/>
    <w:rsid w:val="0070347F"/>
    <w:rsid w:val="0070678E"/>
    <w:rsid w:val="00743AB9"/>
    <w:rsid w:val="00783DE3"/>
    <w:rsid w:val="007A0174"/>
    <w:rsid w:val="007B0259"/>
    <w:rsid w:val="007B6600"/>
    <w:rsid w:val="007C0200"/>
    <w:rsid w:val="007C3E3A"/>
    <w:rsid w:val="007E198F"/>
    <w:rsid w:val="007F0D0B"/>
    <w:rsid w:val="008042F9"/>
    <w:rsid w:val="00806C50"/>
    <w:rsid w:val="00810131"/>
    <w:rsid w:val="00812C44"/>
    <w:rsid w:val="00813648"/>
    <w:rsid w:val="00831C11"/>
    <w:rsid w:val="00846825"/>
    <w:rsid w:val="00857A43"/>
    <w:rsid w:val="008813C6"/>
    <w:rsid w:val="008814A6"/>
    <w:rsid w:val="0088518A"/>
    <w:rsid w:val="008A4EDA"/>
    <w:rsid w:val="008A4F2F"/>
    <w:rsid w:val="008A60B4"/>
    <w:rsid w:val="008A643E"/>
    <w:rsid w:val="008B3B1B"/>
    <w:rsid w:val="008B3C31"/>
    <w:rsid w:val="008B64FE"/>
    <w:rsid w:val="008C550A"/>
    <w:rsid w:val="008D0EDF"/>
    <w:rsid w:val="008D256C"/>
    <w:rsid w:val="008E2E8B"/>
    <w:rsid w:val="008E6C9D"/>
    <w:rsid w:val="008E7EDC"/>
    <w:rsid w:val="008F5B13"/>
    <w:rsid w:val="0090380A"/>
    <w:rsid w:val="00916E5C"/>
    <w:rsid w:val="009222B6"/>
    <w:rsid w:val="009239D6"/>
    <w:rsid w:val="00923AF8"/>
    <w:rsid w:val="00935BF7"/>
    <w:rsid w:val="00947731"/>
    <w:rsid w:val="0095442C"/>
    <w:rsid w:val="00955E9C"/>
    <w:rsid w:val="00956B82"/>
    <w:rsid w:val="0096561B"/>
    <w:rsid w:val="00970DFA"/>
    <w:rsid w:val="00982B46"/>
    <w:rsid w:val="00983942"/>
    <w:rsid w:val="009941B7"/>
    <w:rsid w:val="0099636D"/>
    <w:rsid w:val="009A388D"/>
    <w:rsid w:val="009A3B9D"/>
    <w:rsid w:val="009C37E0"/>
    <w:rsid w:val="009C51F4"/>
    <w:rsid w:val="009E41F4"/>
    <w:rsid w:val="00A02DDE"/>
    <w:rsid w:val="00A05196"/>
    <w:rsid w:val="00A07EC5"/>
    <w:rsid w:val="00A11652"/>
    <w:rsid w:val="00A14B66"/>
    <w:rsid w:val="00A26C9B"/>
    <w:rsid w:val="00A423CF"/>
    <w:rsid w:val="00A65CF7"/>
    <w:rsid w:val="00A66E80"/>
    <w:rsid w:val="00A81AB4"/>
    <w:rsid w:val="00A851DA"/>
    <w:rsid w:val="00A87671"/>
    <w:rsid w:val="00AA2E15"/>
    <w:rsid w:val="00AB1C27"/>
    <w:rsid w:val="00AC7D5B"/>
    <w:rsid w:val="00AD51FD"/>
    <w:rsid w:val="00AE1481"/>
    <w:rsid w:val="00B016DD"/>
    <w:rsid w:val="00B0415E"/>
    <w:rsid w:val="00B04678"/>
    <w:rsid w:val="00B06306"/>
    <w:rsid w:val="00B24370"/>
    <w:rsid w:val="00B77F69"/>
    <w:rsid w:val="00B92CA9"/>
    <w:rsid w:val="00BB5A0E"/>
    <w:rsid w:val="00BB6B3C"/>
    <w:rsid w:val="00BC46DF"/>
    <w:rsid w:val="00BD11CD"/>
    <w:rsid w:val="00BE2C31"/>
    <w:rsid w:val="00C03577"/>
    <w:rsid w:val="00C07B8E"/>
    <w:rsid w:val="00C101A2"/>
    <w:rsid w:val="00C22D19"/>
    <w:rsid w:val="00C24783"/>
    <w:rsid w:val="00C25247"/>
    <w:rsid w:val="00C505DF"/>
    <w:rsid w:val="00C53029"/>
    <w:rsid w:val="00C618D1"/>
    <w:rsid w:val="00C61C96"/>
    <w:rsid w:val="00C65FEA"/>
    <w:rsid w:val="00C82D2C"/>
    <w:rsid w:val="00C84F47"/>
    <w:rsid w:val="00C909AF"/>
    <w:rsid w:val="00C952F7"/>
    <w:rsid w:val="00C979A8"/>
    <w:rsid w:val="00CA0AC2"/>
    <w:rsid w:val="00CB4D0A"/>
    <w:rsid w:val="00CC2C2A"/>
    <w:rsid w:val="00CC2FB3"/>
    <w:rsid w:val="00CC575A"/>
    <w:rsid w:val="00CC7045"/>
    <w:rsid w:val="00CF123B"/>
    <w:rsid w:val="00D02AF8"/>
    <w:rsid w:val="00D02E4D"/>
    <w:rsid w:val="00D039AC"/>
    <w:rsid w:val="00D31039"/>
    <w:rsid w:val="00D31309"/>
    <w:rsid w:val="00D427DE"/>
    <w:rsid w:val="00D5587D"/>
    <w:rsid w:val="00D707CC"/>
    <w:rsid w:val="00D7111C"/>
    <w:rsid w:val="00D80A73"/>
    <w:rsid w:val="00D821FE"/>
    <w:rsid w:val="00D8518C"/>
    <w:rsid w:val="00DB0793"/>
    <w:rsid w:val="00DB285C"/>
    <w:rsid w:val="00DB6954"/>
    <w:rsid w:val="00DC2ED2"/>
    <w:rsid w:val="00DD0B66"/>
    <w:rsid w:val="00DD7C3B"/>
    <w:rsid w:val="00DF3DD0"/>
    <w:rsid w:val="00E00821"/>
    <w:rsid w:val="00E04DB4"/>
    <w:rsid w:val="00E30679"/>
    <w:rsid w:val="00E43C77"/>
    <w:rsid w:val="00E4597D"/>
    <w:rsid w:val="00E462AE"/>
    <w:rsid w:val="00E50E3E"/>
    <w:rsid w:val="00E54832"/>
    <w:rsid w:val="00E54A91"/>
    <w:rsid w:val="00E56A90"/>
    <w:rsid w:val="00E641CC"/>
    <w:rsid w:val="00E7666B"/>
    <w:rsid w:val="00EA30AB"/>
    <w:rsid w:val="00EB3925"/>
    <w:rsid w:val="00EB7726"/>
    <w:rsid w:val="00EE1E86"/>
    <w:rsid w:val="00EE2C1B"/>
    <w:rsid w:val="00EF05ED"/>
    <w:rsid w:val="00F00DFB"/>
    <w:rsid w:val="00F253A9"/>
    <w:rsid w:val="00F2797A"/>
    <w:rsid w:val="00F61F44"/>
    <w:rsid w:val="00F6397E"/>
    <w:rsid w:val="00F65961"/>
    <w:rsid w:val="00F701E6"/>
    <w:rsid w:val="00F9577D"/>
    <w:rsid w:val="00F966D8"/>
    <w:rsid w:val="00F96EB3"/>
    <w:rsid w:val="00F97A13"/>
    <w:rsid w:val="00FC1C1C"/>
    <w:rsid w:val="00FC5172"/>
    <w:rsid w:val="00FE06B8"/>
    <w:rsid w:val="00FE45E2"/>
    <w:rsid w:val="00FE5833"/>
    <w:rsid w:val="00FF10E5"/>
    <w:rsid w:val="00FF6A3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EAF58-FDA8-4FC9-9F47-ADD6C597C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3978</TotalTime>
  <Pages>5</Pages>
  <Words>1661</Words>
  <Characters>8987</Characters>
  <Application>Microsoft Office Word</Application>
  <DocSecurity>0</DocSecurity>
  <Lines>204</Lines>
  <Paragraphs>104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amr.h</cp:lastModifiedBy>
  <cp:revision>3</cp:revision>
  <cp:lastPrinted>2016-05-19T08:03:00Z</cp:lastPrinted>
  <dcterms:created xsi:type="dcterms:W3CDTF">2016-10-20T09:59:00Z</dcterms:created>
  <dcterms:modified xsi:type="dcterms:W3CDTF">2016-10-23T04:17:00Z</dcterms:modified>
</cp:coreProperties>
</file>