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100"/>
        <w:rPr>
          <w:rFonts w:ascii="Calibri" w:hAnsi="Calibri"/>
        </w:rPr>
      </w:pPr>
      <w:r>
        <w:rPr>
          <w:rFonts w:ascii="Calibri" w:hAnsi="Calibri"/>
          <w:noProof/>
          <w:lang w:val="en-GB" w:eastAsia="en-GB"/>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20320" t="20000" r="23669" b="32001"/>
                    <a:stretch/>
                  </pic:blipFill>
                  <pic:spPr>
                    <a:xfrm rot="0">
                      <a:off x="0" y="0"/>
                      <a:ext cx="2809875" cy="1419225"/>
                    </a:xfrm>
                    <a:prstGeom prst="rect"/>
                  </pic:spPr>
                </pic:pic>
              </a:graphicData>
            </a:graphic>
          </wp:anchor>
        </w:drawing>
      </w:r>
      <w:r>
        <w:rPr>
          <w:rFonts w:ascii="Calibri" w:hAnsi="Calibri"/>
        </w:rPr>
        <w:t xml:space="preserve">                                                             </w:t>
      </w:r>
      <w:r>
        <w:rPr>
          <w:rFonts w:ascii="Calibri" w:hAnsi="Calibri"/>
        </w:rPr>
        <w:t xml:space="preserve">     </w:t>
      </w:r>
    </w:p>
    <w:p>
      <w:pPr>
        <w:pStyle w:val="style0"/>
        <w:rPr>
          <w:lang w:val="en-US"/>
        </w:rPr>
      </w:pPr>
      <w:r>
        <w:rPr>
          <w:noProof/>
          <w:lang w:val="en-US" w:eastAsia="zh-TW"/>
        </w:rPr>
        <w:pict>
          <v:shapetype id="_x0000_t202" coordsize="21600,21600" o:spt="202" path="m,l,21600r21600,l21600,xe">
            <v:stroke joinstyle="miter"/>
            <v:path gradientshapeok="t" o:connecttype="rect"/>
          </v:shapetype>
          <v:shape id="1028" type="#_x0000_t202" stroked="f" style="position:absolute;margin-left:227.55pt;margin-top:7.85pt;width:245.2pt;height:36.75pt;z-index:3;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pPr>
                    <w:pStyle w:val="style0"/>
                    <w:rPr/>
                  </w:pPr>
                </w:p>
              </w:txbxContent>
            </v:textbox>
          </v:shape>
        </w:pict>
      </w:r>
    </w:p>
    <w:p>
      <w:pPr>
        <w:pStyle w:val="style0"/>
        <w:rPr>
          <w:lang w:val="en-US"/>
        </w:rPr>
      </w:pPr>
    </w:p>
    <w:p>
      <w:pPr>
        <w:pStyle w:val="style0"/>
        <w:rPr>
          <w:lang w:val="en-US"/>
        </w:rPr>
      </w:pPr>
    </w:p>
    <w:p>
      <w:pPr>
        <w:pStyle w:val="style0"/>
        <w:rPr>
          <w:lang w:val="en-US"/>
        </w:rPr>
      </w:pPr>
    </w:p>
    <w:tbl>
      <w:tblPr>
        <w:tblStyle w:val="style154"/>
        <w:tblW w:w="0" w:type="auto"/>
        <w:tblLook w:val="04A0" w:firstRow="1" w:lastRow="0" w:firstColumn="1"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pPr>
              <w:pStyle w:val="style4100"/>
              <w:rPr>
                <w:rFonts w:ascii="Calibri" w:hAnsi="Calibri"/>
              </w:rPr>
            </w:pPr>
            <w:r>
              <w:rPr>
                <w:rFonts w:ascii="Calibri" w:hAnsi="Calibri"/>
              </w:rPr>
              <w:t>Gary Saunders</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pPr>
              <w:pStyle w:val="style4100"/>
              <w:rPr>
                <w:rFonts w:ascii="Calibri" w:hAnsi="Calibri"/>
              </w:rPr>
            </w:pP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pPr>
              <w:pStyle w:val="style4100"/>
              <w:rPr>
                <w:rFonts w:ascii="Calibri" w:hAnsi="Calibri"/>
              </w:rPr>
            </w:pPr>
            <w:r>
              <w:rPr>
                <w:rFonts w:ascii="Calibri" w:hAnsi="Calibri"/>
              </w:rPr>
              <w:t xml:space="preserve">Construction management </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pPr>
              <w:pStyle w:val="style0"/>
              <w:rPr/>
            </w:pPr>
            <w:r>
              <w:t>Two</w:t>
            </w:r>
          </w:p>
        </w:tc>
      </w:tr>
    </w:tbl>
    <w:p>
      <w:pPr>
        <w:pStyle w:val="style0"/>
        <w:rPr>
          <w:b/>
          <w:lang w:val="en-US"/>
        </w:rPr>
      </w:pPr>
    </w:p>
    <w:p>
      <w:pPr>
        <w:pStyle w:val="style0"/>
        <w:rPr>
          <w:b/>
          <w:sz w:val="28"/>
          <w:lang w:val="en-US"/>
        </w:rPr>
      </w:pPr>
      <w:r>
        <w:rPr>
          <w:b/>
          <w:sz w:val="28"/>
          <w:lang w:val="en-US"/>
        </w:rPr>
        <w:t>Marking Criteria:</w:t>
      </w:r>
    </w:p>
    <w:p>
      <w:pPr>
        <w:pStyle w:val="style0"/>
        <w:rPr>
          <w:lang w:val="en-US"/>
        </w:rPr>
      </w:pPr>
      <w:r>
        <w:rPr>
          <w:b/>
          <w:lang w:val="en-US"/>
        </w:rPr>
        <w:t xml:space="preserve"> </w:t>
      </w:r>
      <w:r>
        <w:rPr>
          <w:lang w:val="en-US"/>
        </w:rPr>
        <w:t>We expect the learner</w:t>
      </w:r>
      <w:r>
        <w:rPr>
          <w:lang w:val="en-US"/>
        </w:rPr>
        <w:t>s</w:t>
      </w:r>
      <w:r>
        <w:rPr>
          <w:lang w:val="en-US"/>
        </w:rPr>
        <w:t xml:space="preserve"> to write minimum one well expressed point in</w:t>
      </w:r>
      <w:r>
        <w:rPr>
          <w:lang w:val="en-US"/>
        </w:rPr>
        <w:t xml:space="preserve"> </w:t>
      </w:r>
      <w:r>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pPr>
        <w:pStyle w:val="style0"/>
        <w:rPr>
          <w:lang w:val="en-US"/>
        </w:rPr>
      </w:pPr>
      <w:r>
        <w:rPr>
          <w:lang w:val="en-US"/>
        </w:rPr>
        <w:t xml:space="preserve">For high grades use </w:t>
      </w:r>
      <w:r>
        <w:rPr>
          <w:lang w:val="en-US"/>
        </w:rPr>
        <w:t xml:space="preserve">examples and illustrations </w:t>
      </w:r>
      <w:r>
        <w:rPr>
          <w:lang w:val="en-US"/>
        </w:rPr>
        <w:t>where appropriate</w:t>
      </w:r>
      <w:r>
        <w:rPr>
          <w:lang w:val="en-US"/>
        </w:rPr>
        <w:t>.</w:t>
      </w:r>
      <w:r>
        <w:rPr>
          <w:lang w:val="en-US"/>
        </w:rPr>
        <w:t xml:space="preserve"> </w:t>
      </w:r>
    </w:p>
    <w:tbl>
      <w:tblPr>
        <w:tblStyle w:val="style154"/>
        <w:tblW w:w="0" w:type="auto"/>
        <w:tblLook w:val="04A0" w:firstRow="1" w:lastRow="0" w:firstColumn="1" w:lastColumn="0" w:noHBand="0" w:noVBand="1"/>
      </w:tblPr>
      <w:tblGrid>
        <w:gridCol w:w="9242"/>
      </w:tblGrid>
      <w:tr>
        <w:trPr/>
        <w:tc>
          <w:tcPr>
            <w:tcW w:w="9242" w:type="dxa"/>
            <w:tcBorders/>
          </w:tcPr>
          <w:p>
            <w:pPr>
              <w:pStyle w:val="style0"/>
              <w:rPr>
                <w:b/>
              </w:rPr>
            </w:pPr>
            <w:r>
              <w:rPr>
                <w:b/>
              </w:rPr>
              <w:t>1) Material management involves coordinating, planning, sourcing and purchasing, storing, moving, and</w:t>
            </w:r>
            <w:r>
              <w:rPr>
                <w:b/>
              </w:rPr>
              <w:t xml:space="preserve"> </w:t>
            </w:r>
            <w:r>
              <w:rPr>
                <w:b/>
              </w:rPr>
              <w:t>controlling of materials in such a way that the overall cost of undertaking these activities are kept as low</w:t>
            </w:r>
            <w:r>
              <w:rPr>
                <w:b/>
              </w:rPr>
              <w:t xml:space="preserve"> </w:t>
            </w:r>
            <w:r>
              <w:rPr>
                <w:b/>
              </w:rPr>
              <w:t>as possible</w:t>
            </w:r>
            <w:r>
              <w:rPr>
                <w:b/>
              </w:rPr>
              <w:t xml:space="preserve"> </w:t>
            </w:r>
            <w:r>
              <w:rPr>
                <w:b/>
              </w:rPr>
              <w:t>We may also define material management as “the process of management requiring</w:t>
            </w:r>
            <w:r>
              <w:rPr>
                <w:b/>
              </w:rPr>
              <w:t>supervision</w:t>
            </w:r>
            <w:r>
              <w:rPr>
                <w:b/>
              </w:rPr>
              <w:t xml:space="preserve"> </w:t>
            </w:r>
            <w:r>
              <w:rPr>
                <w:b/>
              </w:rPr>
              <w:t>coordination, and execution of tasks involving the flow of materials to an organisation, within the</w:t>
            </w:r>
            <w:r>
              <w:rPr>
                <w:b/>
              </w:rPr>
              <w:t xml:space="preserve"> </w:t>
            </w:r>
            <w:r>
              <w:rPr>
                <w:b/>
              </w:rPr>
              <w:t>organisation or out of the organisation in an integrated manner.”</w:t>
            </w:r>
          </w:p>
          <w:p>
            <w:pPr>
              <w:pStyle w:val="style0"/>
              <w:rPr>
                <w:b/>
              </w:rPr>
            </w:pPr>
            <w:r>
              <w:rPr>
                <w:b/>
              </w:rPr>
              <w:t>2</w:t>
            </w:r>
            <w:r>
              <w:rPr>
                <w:b/>
              </w:rPr>
              <w:t>)</w:t>
            </w:r>
            <w:r>
              <w:rPr>
                <w:b/>
              </w:rPr>
              <w:t>Materials management is concerned with management functions supporting the complete cycle of material flow, from the purchase and internal control of production materials to planning and control of work in process, to warehousing, shipping and distribution of the finished product. An effective materials management process ensures that the right kinds of materials are at the right place whenever needed.</w:t>
            </w:r>
          </w:p>
          <w:p>
            <w:pPr>
              <w:pStyle w:val="style0"/>
              <w:rPr>
                <w:b/>
              </w:rPr>
            </w:pPr>
            <w:r>
              <w:rPr>
                <w:b/>
              </w:rPr>
              <w:t>Materials management is concerned with planning, directing and controlling the kind, amount, location, movement and timing of various flows of materials used in and produced by the process.</w:t>
            </w:r>
          </w:p>
          <w:p>
            <w:pPr>
              <w:pStyle w:val="style0"/>
              <w:rPr>
                <w:b/>
              </w:rPr>
            </w:pPr>
            <w:r>
              <w:rPr>
                <w:b/>
              </w:rPr>
              <w:t>3</w:t>
            </w:r>
            <w:r>
              <w:rPr>
                <w:b/>
              </w:rPr>
              <w:t xml:space="preserve">) </w:t>
            </w:r>
            <w:r>
              <w:rPr>
                <w:b/>
              </w:rPr>
              <w:t>possible disadvantages of "integrated materials management</w:t>
            </w:r>
            <w:r>
              <w:rPr>
                <w:b/>
              </w:rPr>
              <w:t xml:space="preserve"> is that it may nee</w:t>
            </w:r>
            <w:r>
              <w:rPr>
                <w:b/>
              </w:rPr>
              <w:t xml:space="preserve">d </w:t>
            </w:r>
            <w:r>
              <w:rPr>
                <w:b/>
              </w:rPr>
              <w:t>c</w:t>
            </w:r>
            <w:r>
              <w:rPr>
                <w:b/>
              </w:rPr>
              <w:t>ontinuous observatio</w:t>
            </w:r>
            <w:r>
              <w:rPr>
                <w:b/>
              </w:rPr>
              <w:t>n</w:t>
            </w:r>
            <w:r>
              <w:rPr>
                <w:b/>
              </w:rPr>
              <w:t>, the need f</w:t>
            </w:r>
            <w:r>
              <w:rPr>
                <w:b/>
              </w:rPr>
              <w:t>or</w:t>
            </w:r>
            <w:r>
              <w:rPr>
                <w:b/>
              </w:rPr>
              <w:t xml:space="preserve"> </w:t>
            </w:r>
            <w:r>
              <w:rPr>
                <w:b/>
              </w:rPr>
              <w:t>e</w:t>
            </w:r>
            <w:r>
              <w:rPr>
                <w:b/>
              </w:rPr>
              <w:t xml:space="preserve">xtra-manpower </w:t>
            </w:r>
            <w:r>
              <w:rPr>
                <w:b/>
              </w:rPr>
              <w:t xml:space="preserve">will be </w:t>
            </w:r>
            <w:r>
              <w:rPr>
                <w:b/>
              </w:rPr>
              <w:t>require</w:t>
            </w:r>
            <w:r>
              <w:rPr>
                <w:b/>
              </w:rPr>
              <w:t xml:space="preserve"> and</w:t>
            </w:r>
            <w:r>
              <w:rPr>
                <w:b/>
              </w:rPr>
              <w:t xml:space="preserve"> a</w:t>
            </w:r>
            <w:r>
              <w:rPr>
                <w:b/>
              </w:rPr>
              <w:t xml:space="preserve"> </w:t>
            </w:r>
            <w:r>
              <w:rPr>
                <w:b/>
              </w:rPr>
              <w:t>h</w:t>
            </w:r>
            <w:r>
              <w:rPr>
                <w:b/>
              </w:rPr>
              <w:t>uge investment for good infrastructure facilitie</w:t>
            </w:r>
            <w:r>
              <w:rPr>
                <w:b/>
              </w:rPr>
              <w:t>s</w:t>
            </w:r>
            <w:r>
              <w:rPr>
                <w:b/>
              </w:rPr>
              <w:t>.</w:t>
            </w:r>
          </w:p>
          <w:p>
            <w:pPr>
              <w:pStyle w:val="style0"/>
              <w:rPr>
                <w:b/>
              </w:rPr>
            </w:pPr>
          </w:p>
          <w:p>
            <w:pPr>
              <w:pStyle w:val="style0"/>
              <w:rPr>
                <w:b/>
              </w:rPr>
            </w:pPr>
          </w:p>
          <w:p>
            <w:pPr>
              <w:pStyle w:val="style0"/>
              <w:rPr>
                <w:b/>
              </w:rPr>
            </w:pPr>
            <w:r>
              <w:rPr>
                <w:b/>
              </w:rPr>
              <w:t>4)</w:t>
            </w:r>
            <w:r>
              <w:rPr>
                <w:b/>
              </w:rPr>
              <w:t xml:space="preserve">the </w:t>
            </w:r>
            <w:r>
              <w:rPr>
                <w:b/>
              </w:rPr>
              <w:t>Advantages</w:t>
            </w:r>
            <w:r>
              <w:rPr>
                <w:b/>
              </w:rPr>
              <w:t xml:space="preserve"> of a construction agency </w:t>
            </w:r>
            <w:r>
              <w:rPr>
                <w:b/>
              </w:rPr>
              <w:t xml:space="preserve">that treats material management as a </w:t>
            </w:r>
            <w:r>
              <w:rPr>
                <w:b/>
              </w:rPr>
              <w:t xml:space="preserve">separate and </w:t>
            </w:r>
            <w:r>
              <w:rPr>
                <w:b/>
              </w:rPr>
              <w:t>important function are:</w:t>
            </w:r>
          </w:p>
          <w:p>
            <w:pPr>
              <w:pStyle w:val="style0"/>
              <w:rPr>
                <w:b/>
              </w:rPr>
            </w:pPr>
            <w:r>
              <w:rPr>
                <w:b/>
              </w:rPr>
              <w:t>I. Better Accountability</w:t>
            </w:r>
          </w:p>
          <w:p>
            <w:pPr>
              <w:pStyle w:val="style0"/>
              <w:rPr>
                <w:b/>
              </w:rPr>
            </w:pPr>
            <w:r>
              <w:rPr>
                <w:b/>
              </w:rPr>
              <w:t>Better accountability is achieved by centralising authority and responsibility for every aspect of</w:t>
            </w:r>
            <w:r>
              <w:rPr>
                <w:b/>
              </w:rPr>
              <w:t xml:space="preserve"> </w:t>
            </w:r>
            <w:r>
              <w:rPr>
                <w:b/>
              </w:rPr>
              <w:t>material management. Problems can be quickly resolved from a central point and performances</w:t>
            </w:r>
            <w:r>
              <w:rPr>
                <w:b/>
              </w:rPr>
              <w:t xml:space="preserve"> </w:t>
            </w:r>
            <w:r>
              <w:rPr>
                <w:b/>
              </w:rPr>
              <w:t>objectively evaluated.</w:t>
            </w:r>
            <w:r>
              <w:rPr>
                <w:b/>
              </w:rPr>
              <w:cr/>
            </w:r>
            <w:r>
              <w:rPr>
                <w:b/>
              </w:rPr>
              <w:t>II. Better Coordination</w:t>
            </w:r>
            <w:r>
              <w:rPr>
                <w:b/>
              </w:rPr>
              <w:t xml:space="preserve"> </w:t>
            </w:r>
          </w:p>
          <w:p>
            <w:pPr>
              <w:pStyle w:val="style0"/>
              <w:rPr>
                <w:b/>
              </w:rPr>
            </w:pPr>
            <w:r>
              <w:rPr>
                <w:b/>
              </w:rPr>
              <w:t>The integrated approach encourages better relations and trust between the material</w:t>
            </w:r>
            <w:r>
              <w:rPr>
                <w:b/>
              </w:rPr>
              <w:t xml:space="preserve"> </w:t>
            </w:r>
            <w:r>
              <w:rPr>
                <w:b/>
              </w:rPr>
              <w:t>management and user departments because all problems are dealt with at a central point. There</w:t>
            </w:r>
            <w:r>
              <w:rPr>
                <w:b/>
              </w:rPr>
              <w:t xml:space="preserve"> </w:t>
            </w:r>
            <w:r>
              <w:rPr>
                <w:b/>
              </w:rPr>
              <w:t>is, therefore, better support and corporation.</w:t>
            </w:r>
            <w:r>
              <w:rPr>
                <w:b/>
              </w:rPr>
              <w:cr/>
            </w:r>
            <w:r>
              <w:rPr>
                <w:b/>
              </w:rPr>
              <w:t>III. Better Performance</w:t>
            </w:r>
          </w:p>
          <w:p>
            <w:pPr>
              <w:pStyle w:val="style0"/>
              <w:rPr>
                <w:b/>
              </w:rPr>
            </w:pPr>
            <w:r>
              <w:rPr>
                <w:b/>
              </w:rPr>
              <w:t>Communication is fast between various departments resulting in speed and accuracy in</w:t>
            </w:r>
            <w:r>
              <w:rPr>
                <w:b/>
              </w:rPr>
              <w:t xml:space="preserve"> </w:t>
            </w:r>
            <w:r>
              <w:rPr>
                <w:b/>
              </w:rPr>
              <w:t>administrative and production matters. Swift collection, collation and analysis of data is</w:t>
            </w:r>
            <w:r>
              <w:rPr>
                <w:b/>
              </w:rPr>
              <w:t xml:space="preserve"> </w:t>
            </w:r>
            <w:r>
              <w:rPr>
                <w:b/>
              </w:rPr>
              <w:t>important for making good decision on time to reduce costs, stocks and lead times and also</w:t>
            </w:r>
            <w:r>
              <w:rPr>
                <w:b/>
              </w:rPr>
              <w:t xml:space="preserve"> </w:t>
            </w:r>
            <w:r>
              <w:rPr>
                <w:b/>
              </w:rPr>
              <w:t>provide excellent inventory turnover and less paperwork.</w:t>
            </w:r>
            <w:r>
              <w:rPr>
                <w:b/>
              </w:rPr>
              <w:cr/>
            </w:r>
            <w:r>
              <w:rPr>
                <w:b/>
              </w:rPr>
              <w:t>IV. Adaptability to EDP (Electronic Data Processing</w:t>
            </w:r>
            <w:r>
              <w:rPr>
                <w:b/>
              </w:rPr>
              <w:t xml:space="preserve"> </w:t>
            </w:r>
            <w:r>
              <w:rPr>
                <w:b/>
              </w:rPr>
              <w:t>It is easy to introduce advanced EDP under the integrated approach at an affordable cost due to</w:t>
            </w:r>
            <w:r>
              <w:rPr>
                <w:b/>
              </w:rPr>
              <w:t xml:space="preserve"> </w:t>
            </w:r>
            <w:r>
              <w:rPr>
                <w:b/>
              </w:rPr>
              <w:t>its centralised characteristics which facilitates collection, collation and analysis of data for timely</w:t>
            </w:r>
            <w:r>
              <w:rPr>
                <w:b/>
              </w:rPr>
              <w:t xml:space="preserve"> </w:t>
            </w:r>
            <w:r>
              <w:rPr>
                <w:b/>
              </w:rPr>
              <w:t>decision-making.</w:t>
            </w:r>
            <w:r>
              <w:rPr>
                <w:b/>
              </w:rPr>
              <w:cr/>
            </w:r>
            <w:r>
              <w:rPr>
                <w:b/>
              </w:rPr>
              <w:t>5) C</w:t>
            </w:r>
            <w:r>
              <w:rPr>
                <w:b/>
              </w:rPr>
              <w:t>oding system has been advantageous saving time for the sellers reducing the lengthy super market queues. Also it was easy to locate the stock in the warehouse using the coding system. Now there has been a new type of coding system called QR codes and some other coding systems. QR codes both customers and sellers and can be used for any product. Although there are many advantages of these coding systems there are also some disadvantages which are not observed.</w:t>
            </w:r>
          </w:p>
          <w:p>
            <w:pPr>
              <w:pStyle w:val="style0"/>
              <w:rPr>
                <w:b/>
                <w:bCs/>
                <w:sz w:val="24"/>
                <w:szCs w:val="24"/>
                <w:u w:val="single"/>
              </w:rPr>
            </w:pPr>
            <w:r>
              <w:rPr>
                <w:b/>
                <w:bCs/>
                <w:sz w:val="24"/>
                <w:szCs w:val="24"/>
                <w:u w:val="single"/>
              </w:rPr>
              <w:t>D</w:t>
            </w:r>
            <w:r>
              <w:rPr>
                <w:b/>
                <w:bCs/>
                <w:sz w:val="24"/>
                <w:szCs w:val="24"/>
                <w:u w:val="single"/>
              </w:rPr>
              <w:t xml:space="preserve">isadvantages of the </w:t>
            </w:r>
            <w:r>
              <w:rPr>
                <w:b/>
                <w:bCs/>
                <w:sz w:val="24"/>
                <w:szCs w:val="24"/>
                <w:u w:val="single"/>
              </w:rPr>
              <w:t xml:space="preserve"> coding system are:</w:t>
            </w:r>
          </w:p>
          <w:p>
            <w:pPr>
              <w:pStyle w:val="style0"/>
              <w:rPr>
                <w:b/>
              </w:rPr>
            </w:pPr>
            <w:r>
              <w:rPr>
                <w:b/>
              </w:rPr>
              <w:t>Lack of familiarity or inexperience in using the coding system by the users and consumers.</w:t>
            </w:r>
          </w:p>
          <w:p>
            <w:pPr>
              <w:pStyle w:val="style0"/>
              <w:rPr>
                <w:b/>
              </w:rPr>
            </w:pPr>
            <w:r>
              <w:rPr>
                <w:b/>
              </w:rPr>
              <w:t>Lack of idea about representation of QR codes.</w:t>
            </w:r>
          </w:p>
          <w:p>
            <w:pPr>
              <w:pStyle w:val="style0"/>
              <w:rPr>
                <w:b/>
              </w:rPr>
            </w:pPr>
            <w:r>
              <w:rPr>
                <w:b/>
              </w:rPr>
              <w:t>Dependability on a scanning device or a smart mobile to scan the product code.</w:t>
            </w:r>
          </w:p>
          <w:p>
            <w:pPr>
              <w:pStyle w:val="style0"/>
              <w:rPr>
                <w:b/>
              </w:rPr>
            </w:pPr>
            <w:r>
              <w:rPr>
                <w:b/>
              </w:rPr>
              <w:t>Without a smart phone, camera and an internet connection a QR code is of no use.</w:t>
            </w:r>
          </w:p>
          <w:p>
            <w:pPr>
              <w:pStyle w:val="style0"/>
              <w:rPr>
                <w:b/>
              </w:rPr>
            </w:pPr>
            <w:r>
              <w:rPr>
                <w:b/>
              </w:rPr>
              <w:t>An application on the smart phone is mandatory.</w:t>
            </w:r>
          </w:p>
          <w:p>
            <w:pPr>
              <w:pStyle w:val="style0"/>
              <w:rPr>
                <w:b/>
              </w:rPr>
            </w:pPr>
            <w:r>
              <w:rPr>
                <w:b/>
              </w:rPr>
              <w:t>Damage to the codes can lead to inability of scanning or obtaining the product information.</w:t>
            </w:r>
          </w:p>
          <w:p>
            <w:pPr>
              <w:pStyle w:val="style0"/>
              <w:rPr>
                <w:b/>
              </w:rPr>
            </w:pPr>
            <w:r>
              <w:rPr>
                <w:b/>
              </w:rPr>
              <w:t>Scanning the code might sometime redirect the consumers to malicious sites thereby leading to virus attacks.</w:t>
            </w: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tc>
      </w:tr>
    </w:tbl>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r>
        <w:rPr>
          <w:rFonts w:cs="CalvertMT-Bold"/>
          <w:b/>
          <w:bCs/>
          <w:color w:val="002060"/>
          <w:sz w:val="28"/>
          <w:lang w:val="en-US"/>
        </w:rPr>
        <w:t>Student</w:t>
      </w:r>
      <w:r>
        <w:rPr>
          <w:rFonts w:cs="CalvertMT-Bold"/>
          <w:b/>
          <w:bCs/>
          <w:color w:val="002060"/>
          <w:sz w:val="28"/>
          <w:lang w:val="en-US"/>
        </w:rPr>
        <w:t xml:space="preserve"> Statement:</w:t>
      </w:r>
    </w:p>
    <w:p>
      <w:pPr>
        <w:pStyle w:val="style0"/>
        <w:autoSpaceDE w:val="false"/>
        <w:autoSpaceDN w:val="false"/>
        <w:adjustRightInd w:val="false"/>
        <w:spacing w:after="0" w:lineRule="auto" w:line="240"/>
        <w:rPr>
          <w:rFonts w:cs="CalvertMT-Bold"/>
          <w:b/>
          <w:bCs/>
          <w:color w:val="001ae6"/>
          <w:lang w:val="en-US"/>
        </w:rPr>
      </w:pPr>
    </w:p>
    <w:p>
      <w:pPr>
        <w:pStyle w:val="style0"/>
        <w:autoSpaceDE w:val="false"/>
        <w:autoSpaceDN w:val="false"/>
        <w:adjustRightInd w:val="false"/>
        <w:spacing w:after="0" w:lineRule="auto" w:line="240"/>
        <w:rPr>
          <w:rFonts w:cs="Bliss-Regular"/>
          <w:color w:val="000000"/>
          <w:lang w:val="en-US"/>
        </w:rPr>
      </w:pPr>
      <w:r>
        <w:rPr>
          <w:rFonts w:cs="Bliss-Regular"/>
          <w:color w:val="000000"/>
          <w:lang w:val="en-US"/>
        </w:rPr>
        <w:t>By submitting this assignment, I confirm that this is my own work.</w:t>
      </w: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tbl>
      <w:tblPr>
        <w:tblStyle w:val="style154"/>
        <w:tblW w:w="0" w:type="auto"/>
        <w:tblLook w:val="04A0" w:firstRow="1" w:lastRow="0" w:firstColumn="1" w:lastColumn="0" w:noHBand="0" w:noVBand="1"/>
      </w:tblPr>
      <w:tblGrid>
        <w:gridCol w:w="2310"/>
        <w:gridCol w:w="4035"/>
        <w:gridCol w:w="1276"/>
        <w:gridCol w:w="1621"/>
      </w:tblGrid>
      <w:tr>
        <w:trPr/>
        <w:tc>
          <w:tcPr>
            <w:tcW w:w="2310" w:type="dxa"/>
            <w:tcBorders/>
            <w:shd w:val="clear" w:color="auto" w:fill="d9d9d9"/>
          </w:tcPr>
          <w:p>
            <w:pPr>
              <w:pStyle w:val="style0"/>
              <w:rPr>
                <w:rFonts w:cs="Bliss-Regular"/>
                <w:color w:val="000000"/>
              </w:rPr>
            </w:pPr>
            <w:r>
              <w:rPr>
                <w:rFonts w:cs="Bliss-Regular"/>
                <w:color w:val="000000"/>
              </w:rPr>
              <w:t>Student Signature</w:t>
            </w:r>
          </w:p>
        </w:tc>
        <w:tc>
          <w:tcPr>
            <w:tcW w:w="4035" w:type="dxa"/>
            <w:tcBorders/>
          </w:tcPr>
          <w:p>
            <w:pPr>
              <w:pStyle w:val="style0"/>
              <w:rPr>
                <w:rFonts w:cs="Bliss-Regular"/>
                <w:color w:val="000000"/>
              </w:rPr>
            </w:pPr>
            <w:r>
              <w:rPr>
                <w:rFonts w:cs="Bliss-Regular"/>
                <w:color w:val="000000"/>
              </w:rPr>
              <w:t xml:space="preserve">Gary </w:t>
            </w:r>
            <w:r>
              <w:rPr>
                <w:rFonts w:cs="Bliss-Regular"/>
                <w:color w:val="000000"/>
              </w:rPr>
              <w:t>S</w:t>
            </w:r>
            <w:r>
              <w:rPr>
                <w:rFonts w:cs="Bliss-Regular"/>
                <w:color w:val="000000"/>
              </w:rPr>
              <w:t>aunders</w:t>
            </w:r>
          </w:p>
        </w:tc>
        <w:tc>
          <w:tcPr>
            <w:tcW w:w="1276" w:type="dxa"/>
            <w:tcBorders/>
            <w:shd w:val="clear" w:color="auto" w:fill="d9d9d9"/>
          </w:tcPr>
          <w:p>
            <w:pPr>
              <w:pStyle w:val="style0"/>
              <w:rPr>
                <w:rFonts w:cs="Bliss-Regular"/>
                <w:color w:val="000000"/>
              </w:rPr>
            </w:pPr>
            <w:r>
              <w:rPr>
                <w:rFonts w:cs="Bliss-Regular"/>
                <w:color w:val="000000"/>
              </w:rPr>
              <w:t>Date</w:t>
            </w:r>
          </w:p>
        </w:tc>
        <w:tc>
          <w:tcPr>
            <w:tcW w:w="1621" w:type="dxa"/>
            <w:tcBorders/>
          </w:tcPr>
          <w:p>
            <w:pPr>
              <w:pStyle w:val="style0"/>
              <w:rPr>
                <w:rFonts w:cs="Bliss-Regular"/>
                <w:color w:val="000000"/>
              </w:rPr>
            </w:pPr>
            <w:r>
              <w:rPr>
                <w:rFonts w:cs="Bliss-Regular"/>
                <w:color w:val="000000"/>
              </w:rPr>
              <w:t>29</w:t>
            </w:r>
            <w:r>
              <w:rPr>
                <w:rFonts w:cs="Bliss-Regular"/>
                <w:color w:val="000000"/>
              </w:rPr>
              <w:t>/11/2016</w:t>
            </w:r>
          </w:p>
        </w:tc>
      </w:tr>
    </w:tbl>
    <w:p>
      <w:pPr>
        <w:pStyle w:val="style0"/>
        <w:rPr>
          <w:rFonts w:cs="Bliss-Regular"/>
          <w:color w:val="000000"/>
          <w:lang w:val="en-US"/>
        </w:rPr>
      </w:pPr>
    </w:p>
    <w:p>
      <w:pPr>
        <w:pStyle w:val="style0"/>
        <w:shd w:val="clear" w:color="auto" w:fill="d9d9d9"/>
        <w:rPr>
          <w:b/>
          <w:sz w:val="32"/>
          <w:lang w:val="en-US"/>
        </w:rPr>
      </w:pPr>
      <w:r>
        <w:rPr>
          <w:b/>
          <w:sz w:val="28"/>
          <w:lang w:val="en-US"/>
        </w:rPr>
        <w:t>For Tutor / Assessor Use Only</w:t>
      </w:r>
    </w:p>
    <w:tbl>
      <w:tblPr>
        <w:tblStyle w:val="style154"/>
        <w:tblW w:w="0" w:type="auto"/>
        <w:tblLook w:val="04A0" w:firstRow="1" w:lastRow="0" w:firstColumn="1" w:lastColumn="0" w:noHBand="0" w:noVBand="1"/>
      </w:tblPr>
      <w:tblGrid>
        <w:gridCol w:w="4621"/>
        <w:gridCol w:w="4621"/>
      </w:tblGrid>
      <w:tr>
        <w:trPr>
          <w:trHeight w:val="249" w:hRule="atLeast"/>
        </w:trPr>
        <w:tc>
          <w:tcPr>
            <w:tcW w:w="4621" w:type="dxa"/>
            <w:tcBorders/>
            <w:shd w:val="clear" w:color="auto" w:fill="d9d9d9"/>
          </w:tcPr>
          <w:p>
            <w:pPr>
              <w:pStyle w:val="style0"/>
              <w:rPr>
                <w:b/>
                <w:color w:val="002060"/>
              </w:rPr>
            </w:pPr>
            <w:r>
              <w:rPr>
                <w:b/>
                <w:color w:val="002060"/>
              </w:rPr>
              <w:t>Total Marks</w:t>
            </w:r>
          </w:p>
        </w:tc>
        <w:tc>
          <w:tcPr>
            <w:tcW w:w="4621" w:type="dxa"/>
            <w:tcBorders/>
          </w:tcPr>
          <w:p>
            <w:pPr>
              <w:pStyle w:val="style0"/>
              <w:rPr>
                <w:rFonts w:cs="Times New Roman"/>
                <w:szCs w:val="32"/>
              </w:rPr>
            </w:pPr>
          </w:p>
        </w:tc>
      </w:tr>
      <w:tr>
        <w:tblPrEx/>
        <w:trPr/>
        <w:tc>
          <w:tcPr>
            <w:tcW w:w="4621" w:type="dxa"/>
            <w:tcBorders/>
            <w:shd w:val="clear" w:color="auto" w:fill="d9d9d9"/>
          </w:tcPr>
          <w:p>
            <w:pPr>
              <w:pStyle w:val="style0"/>
              <w:rPr>
                <w:b/>
                <w:color w:val="002060"/>
              </w:rPr>
            </w:pPr>
            <w:r>
              <w:rPr>
                <w:b/>
                <w:color w:val="002060"/>
              </w:rPr>
              <w:t>Marks Obtained</w:t>
            </w:r>
          </w:p>
        </w:tc>
        <w:tc>
          <w:tcPr>
            <w:tcW w:w="4621" w:type="dxa"/>
            <w:tcBorders/>
          </w:tcPr>
          <w:p>
            <w:pPr>
              <w:pStyle w:val="style0"/>
              <w:rPr>
                <w:rFonts w:cs="Times New Roman"/>
                <w:szCs w:val="32"/>
              </w:rPr>
            </w:pPr>
          </w:p>
        </w:tc>
      </w:tr>
      <w:tr>
        <w:tblPrEx/>
        <w:trPr/>
        <w:tc>
          <w:tcPr>
            <w:tcW w:w="4621" w:type="dxa"/>
            <w:tcBorders/>
            <w:shd w:val="clear" w:color="auto" w:fill="d9d9d9"/>
          </w:tcPr>
          <w:p>
            <w:pPr>
              <w:pStyle w:val="style0"/>
              <w:rPr>
                <w:b/>
                <w:color w:val="002060"/>
              </w:rPr>
            </w:pPr>
            <w:r>
              <w:rPr>
                <w:b/>
                <w:color w:val="002060"/>
              </w:rPr>
              <w:t>Percentage / Grade</w:t>
            </w:r>
          </w:p>
        </w:tc>
        <w:tc>
          <w:tcPr>
            <w:tcW w:w="4621" w:type="dxa"/>
            <w:tcBorders/>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10002FF" w:usb1="4000ACFF" w:usb2="00000009" w:usb3="00000000" w:csb0="0000019F" w:csb1="00000000"/>
  </w:font>
  <w:font w:name="Tahoma">
    <w:altName w:val="Tahoma"/>
    <w:panose1 w:val="020b0604030000040204"/>
    <w:charset w:val="00"/>
    <w:family w:val="swiss"/>
    <w:pitch w:val="variable"/>
    <w:sig w:usb0="00000003" w:usb1="00000000" w:usb2="00000000" w:usb3="00000000" w:csb0="00000001" w:csb1="00000000"/>
  </w:font>
  <w:font w:name="Arial">
    <w:altName w:val="Arial"/>
    <w:panose1 w:val="020b0604020000020204"/>
    <w:charset w:val="00"/>
    <w:family w:val="swiss"/>
    <w:pitch w:val="variable"/>
    <w:sig w:usb0="E0002AFF" w:usb1="C0007843" w:usb2="00000009" w:usb3="00000000" w:csb0="000001FF"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b99660e9-08a7-4353-8a1f-d06f3c2f6753"/>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791512eb-a4a9-4a94-905f-40702df17163"/>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lang w:val="en-US"/>
    </w:rPr>
  </w:style>
  <w:style w:type="paragraph" w:customStyle="1" w:styleId="style4100">
    <w:name w:val="Default"/>
    <w:next w:val="style4100"/>
    <w:pPr>
      <w:autoSpaceDE w:val="false"/>
      <w:autoSpaceDN w:val="false"/>
      <w:adjustRightInd w:val="false"/>
      <w:spacing w:after="0" w:lineRule="auto" w:line="240"/>
    </w:pPr>
    <w:rPr>
      <w:rFonts w:ascii="Calibri" w:cs="Calibri" w:eastAsia="Calibri" w:hAnsi="Calibri"/>
      <w:color w:val="000000"/>
      <w:sz w:val="24"/>
      <w:szCs w:val="24"/>
      <w:lang w:val="en-US"/>
    </w:rPr>
  </w:style>
  <w:style w:type="table" w:styleId="style154">
    <w:name w:val="Table Grid"/>
    <w:basedOn w:val="style105"/>
    <w:next w:val="style154"/>
    <w:uiPriority w:val="59"/>
    <w:pPr>
      <w:spacing w:after="0" w:lineRule="auto" w:line="24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635</Words>
  <Characters>3557</Characters>
  <Application>WPS Office</Application>
  <DocSecurity>0</DocSecurity>
  <Paragraphs>83</Paragraphs>
  <ScaleCrop>false</ScaleCrop>
  <LinksUpToDate>false</LinksUpToDate>
  <CharactersWithSpaces>4224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2016-12-19T11:38:56Z</dcterms:created>
  <dc:creator>kemipher</dc:creator>
  <lastModifiedBy>HTC One M9</lastModifiedBy>
  <dcterms:modified xsi:type="dcterms:W3CDTF">2016-12-19T11:38:56Z</dcterms:modified>
  <revision>2</revision>
</coreProperties>
</file>

<file path=docProps/custom.xml><?xml version="1.0" encoding="utf-8"?>
<Properties xmlns="http://schemas.openxmlformats.org/officeDocument/2006/custom-properties" xmlns:vt="http://schemas.openxmlformats.org/officeDocument/2006/docPropsVTypes"/>
</file>