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sz w:val="24"/>
          <w:szCs w:val="24"/>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Fonts w:ascii="Calibri" w:cs="Calibri" w:hAnsi="Calibri" w:eastAsia="Calibri"/>
          <w:sz w:val="24"/>
          <w:szCs w:val="24"/>
          <w:rtl w:val="0"/>
          <w:lang w:val="en-US"/>
        </w:rPr>
        <w:t xml:space="preserve">                                                                  </w:t>
      </w:r>
    </w:p>
    <w:p>
      <w:pPr>
        <w:pStyle w:val="Body A"/>
        <w:rPr>
          <w:lang w:val="en-US"/>
        </w:rPr>
      </w:pPr>
      <w:r>
        <w:rPr>
          <w:sz w:val="24"/>
          <w:szCs w:val="24"/>
          <w:rtl w:val="0"/>
        </w:rPr>
        <mc:AlternateContent>
          <mc:Choice Requires="wpg">
            <w:drawing>
              <wp:anchor distT="152400" distB="152400" distL="152400" distR="152400" simplePos="0" relativeHeight="251660288" behindDoc="0" locked="0" layoutInCell="1" allowOverlap="1">
                <wp:simplePos x="0" y="0"/>
                <wp:positionH relativeFrom="column">
                  <wp:posOffset>2889885</wp:posOffset>
                </wp:positionH>
                <wp:positionV relativeFrom="line">
                  <wp:posOffset>99693</wp:posOffset>
                </wp:positionV>
                <wp:extent cx="3114042" cy="46672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Group">
                    <wpg:wgp>
                      <wpg:cNvGrpSpPr/>
                      <wpg:grpSpPr>
                        <a:xfrm>
                          <a:off x="0" y="0"/>
                          <a:ext cx="3114042" cy="466725"/>
                          <a:chOff x="0" y="0"/>
                          <a:chExt cx="3114041" cy="466725"/>
                        </a:xfrm>
                      </wpg:grpSpPr>
                      <wps:wsp>
                        <wps:cNvPr id="1073741826" name="Shape 1073741826"/>
                        <wps:cNvSpPr/>
                        <wps:spPr>
                          <a:xfrm>
                            <a:off x="-1" y="0"/>
                            <a:ext cx="3114043" cy="466725"/>
                          </a:xfrm>
                          <a:prstGeom prst="rect">
                            <a:avLst/>
                          </a:prstGeom>
                          <a:solidFill>
                            <a:srgbClr val="FFFFFF"/>
                          </a:solidFill>
                          <a:ln w="12700" cap="flat">
                            <a:noFill/>
                            <a:miter lim="400000"/>
                          </a:ln>
                          <a:effectLst/>
                        </wps:spPr>
                        <wps:bodyPr/>
                      </wps:wsp>
                      <wps:wsp>
                        <wps:cNvPr id="1073741827" name="Shape 1073741827"/>
                        <wps:cNvSpPr/>
                        <wps:spPr>
                          <a:xfrm>
                            <a:off x="-1" y="0"/>
                            <a:ext cx="3114043" cy="466725"/>
                          </a:xfrm>
                          <a:prstGeom prst="rect">
                            <a:avLst/>
                          </a:prstGeom>
                          <a:noFill/>
                          <a:ln w="12700" cap="flat">
                            <a:noFill/>
                            <a:miter lim="400000"/>
                          </a:ln>
                          <a:effectLst/>
                        </wps:spPr>
                        <wps:txbx>
                          <w:txbxContent>
                            <w:p>
                              <w:pPr>
                                <w:pStyle w:val="Body A"/>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12.0pt;mso-wrap-distance-top:12.0pt;mso-wrap-distance-right:12.0pt;mso-wrap-distance-bottom:12.0pt;" coordorigin="0,0" coordsize="3114041,466725">
                <w10:wrap type="through" side="bothSides" anchorx="text"/>
                <v:rect id="_x0000_s1027" style="position:absolute;left:0;top:0;width:3114041;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1;height:466725;">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rect>
              </v:group>
            </w:pict>
          </mc:Fallback>
        </mc:AlternateContent>
      </w:r>
    </w:p>
    <w:p>
      <w:pPr>
        <w:pStyle w:val="Body A"/>
        <w:rPr>
          <w:lang w:val="en-US"/>
        </w:rPr>
      </w:pPr>
    </w:p>
    <w:p>
      <w:pPr>
        <w:pStyle w:val="Body A"/>
        <w:rPr>
          <w:lang w:val="en-US"/>
        </w:rPr>
      </w:pPr>
    </w:p>
    <w:p>
      <w:pPr>
        <w:pStyle w:val="Body A"/>
        <w:rPr>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Danah Al-Khatrash</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caps w:val="0"/>
                <w:smallCaps w:val="0"/>
                <w:strike w:val="0"/>
                <w:dstrike w:val="0"/>
                <w:outline w:val="0"/>
                <w:color w:val="000000"/>
                <w:spacing w:val="0"/>
                <w:kern w:val="0"/>
                <w:position w:val="0"/>
                <w:sz w:val="24"/>
                <w:szCs w:val="24"/>
                <w:u w:val="none" w:color="000000"/>
                <w:vertAlign w:val="baseline"/>
                <w:rtl w:val="0"/>
                <w:lang w:val="en-US"/>
              </w:rPr>
              <w:t>1472</w:t>
            </w:r>
          </w:p>
        </w:tc>
      </w:tr>
      <w:tr>
        <w:tblPrEx>
          <w:shd w:val="clear" w:color="auto" w:fill="auto"/>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Diploma in Child Psychology</w:t>
            </w:r>
          </w:p>
        </w:tc>
      </w:tr>
      <w:tr>
        <w:tblPrEx>
          <w:shd w:val="clear" w:color="auto" w:fill="auto"/>
        </w:tblPrEx>
        <w:trPr>
          <w:trHeight w:val="26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6</w:t>
            </w:r>
          </w:p>
        </w:tc>
      </w:tr>
    </w:tbl>
    <w:p>
      <w:pPr>
        <w:pStyle w:val="Body A"/>
        <w:spacing w:line="240" w:lineRule="auto"/>
        <w:rPr>
          <w:lang w:val="en-US"/>
        </w:rPr>
      </w:pPr>
    </w:p>
    <w:p>
      <w:pPr>
        <w:pStyle w:val="Body A"/>
        <w:spacing w:line="240" w:lineRule="auto"/>
        <w:rPr>
          <w:lang w:val="en-US"/>
        </w:rPr>
      </w:pPr>
    </w:p>
    <w:p>
      <w:pPr>
        <w:pStyle w:val="Body A"/>
        <w:rPr>
          <w:rFonts w:ascii="Calibri" w:cs="Calibri" w:hAnsi="Calibri" w:eastAsia="Calibri"/>
          <w:b w:val="1"/>
          <w:bCs w:val="1"/>
          <w:lang w:val="en-US"/>
        </w:rPr>
      </w:pPr>
    </w:p>
    <w:p>
      <w:pPr>
        <w:pStyle w:val="Body A"/>
        <w:rPr>
          <w:rFonts w:ascii="Calibri" w:cs="Calibri" w:hAnsi="Calibri" w:eastAsia="Calibri"/>
          <w:b w:val="1"/>
          <w:bCs w:val="1"/>
          <w:sz w:val="28"/>
          <w:szCs w:val="28"/>
          <w:lang w:val="en-US"/>
        </w:rPr>
      </w:pPr>
      <w:r>
        <w:rPr>
          <w:rFonts w:ascii="Calibri" w:cs="Calibri" w:hAnsi="Calibri" w:eastAsia="Calibri"/>
          <w:b w:val="1"/>
          <w:bCs w:val="1"/>
          <w:sz w:val="28"/>
          <w:szCs w:val="28"/>
          <w:rtl w:val="0"/>
          <w:lang w:val="en-US"/>
        </w:rPr>
        <w:t>Marking Criteria:</w:t>
      </w:r>
    </w:p>
    <w:p>
      <w:pPr>
        <w:pStyle w:val="Body A"/>
        <w:rPr>
          <w:lang w:val="en-US"/>
        </w:rPr>
      </w:pPr>
      <w:r>
        <w:rPr>
          <w:rFonts w:ascii="Calibri" w:cs="Calibri" w:hAnsi="Calibri" w:eastAsia="Calibri"/>
          <w:b w:val="1"/>
          <w:bCs w:val="1"/>
          <w:sz w:val="22"/>
          <w:szCs w:val="22"/>
          <w:rtl w:val="0"/>
          <w:lang w:val="en-US"/>
        </w:rPr>
        <w:t xml:space="preserve"> </w:t>
      </w:r>
      <w:r>
        <w:rPr>
          <w:rFonts w:ascii="Calibri" w:cs="Calibri" w:hAnsi="Calibri" w:eastAsia="Calibri"/>
          <w:sz w:val="22"/>
          <w:szCs w:val="22"/>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rPr>
          <w:lang w:val="en-US"/>
        </w:rPr>
      </w:pPr>
      <w:r>
        <w:rPr>
          <w:rFonts w:ascii="Calibri" w:cs="Calibri" w:hAnsi="Calibri" w:eastAsia="Calibri"/>
          <w:sz w:val="22"/>
          <w:szCs w:val="22"/>
          <w:rtl w:val="0"/>
          <w:lang w:val="en-US"/>
        </w:rPr>
        <w:t xml:space="preserve">For high grades use examples and illustrations where appropriate. </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1037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40"/>
              <w:bottom w:type="dxa" w:w="80"/>
              <w:right w:type="dxa" w:w="80"/>
            </w:tcMar>
            <w:vAlign w:val="top"/>
          </w:tcPr>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1. i. When children begin to acquire and use social skills, this process is called socialization. At first, this starts with the child</w:t>
            </w:r>
            <w:r>
              <w:rPr>
                <w:rFonts w:hAnsi="Trebuchet MS Bold" w:hint="default"/>
                <w:sz w:val="24"/>
                <w:szCs w:val="24"/>
                <w:rtl w:val="0"/>
                <w:lang w:val="en-US"/>
              </w:rPr>
              <w:t>’</w:t>
            </w:r>
            <w:r>
              <w:rPr>
                <w:rFonts w:ascii="Trebuchet MS Bold"/>
                <w:sz w:val="24"/>
                <w:szCs w:val="24"/>
                <w:rtl w:val="0"/>
                <w:lang w:val="en-US"/>
              </w:rPr>
              <w:t xml:space="preserve">s family. After that, this skill starts to be generalized and used with people outside of the family and outside the home. </w:t>
            </w:r>
          </w:p>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ii. Separation anxiety refers to the way a child reacts when they are separated from their primary caregivers. This is usually presented by crying, screaming  and protesting. This lasts until the age of three years.</w:t>
            </w:r>
          </w:p>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iii. Shy babies are the children of introverted parents or parents who do not possess an active social life. Since genetics play a part in the way children develop, that might be the reason why some children are shy.</w:t>
            </w:r>
          </w:p>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iv. When children develop emotions during infancy, this is the start of developing an attachment to a person or a bonding. Actions performed by parents and carers to develop this include skin contact, feeding and bathing. As the child grows older, this kind of regular contact with parents, family members and carers are crucial to the child</w:t>
            </w:r>
            <w:r>
              <w:rPr>
                <w:rFonts w:hAnsi="Trebuchet MS Bold" w:hint="default"/>
                <w:sz w:val="24"/>
                <w:szCs w:val="24"/>
                <w:rtl w:val="0"/>
                <w:lang w:val="en-US"/>
              </w:rPr>
              <w:t>’</w:t>
            </w:r>
            <w:r>
              <w:rPr>
                <w:rFonts w:ascii="Trebuchet MS Bold"/>
                <w:sz w:val="24"/>
                <w:szCs w:val="24"/>
                <w:rtl w:val="0"/>
                <w:lang w:val="en-US"/>
              </w:rPr>
              <w:t>s development.</w:t>
            </w:r>
          </w:p>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v. Primary socialisation begins during infancy. The infant learns how to interact with others and what is socially acceptable in their  family first. Secondary socialisation  is between the child and other people who are not part of the family. Also, these skills are applied in other settings, not in the house.</w:t>
            </w:r>
          </w:p>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vi. Babies and toddlers interact differently. A baby</w:t>
            </w:r>
            <w:r>
              <w:rPr>
                <w:rFonts w:hAnsi="Trebuchet MS Bold" w:hint="default"/>
                <w:sz w:val="24"/>
                <w:szCs w:val="24"/>
                <w:rtl w:val="0"/>
                <w:lang w:val="en-US"/>
              </w:rPr>
              <w:t>’</w:t>
            </w:r>
            <w:r>
              <w:rPr>
                <w:rFonts w:ascii="Trebuchet MS Bold"/>
                <w:sz w:val="24"/>
                <w:szCs w:val="24"/>
                <w:rtl w:val="0"/>
                <w:lang w:val="en-US"/>
              </w:rPr>
              <w:t>s first interaction is usually with their mother. Once a bond with a primary caregiver is established, babies begin to develop bonds with others. Babies generally develop positive feelings. Toddlers begin to exhibit negative and positive emotions as responses to other people</w:t>
            </w:r>
            <w:r>
              <w:rPr>
                <w:rFonts w:hAnsi="Trebuchet MS Bold" w:hint="default"/>
                <w:sz w:val="24"/>
                <w:szCs w:val="24"/>
                <w:rtl w:val="0"/>
                <w:lang w:val="en-US"/>
              </w:rPr>
              <w:t>’</w:t>
            </w:r>
            <w:r>
              <w:rPr>
                <w:rFonts w:ascii="Trebuchet MS Bold"/>
                <w:sz w:val="24"/>
                <w:szCs w:val="24"/>
                <w:rtl w:val="0"/>
                <w:lang w:val="en-US"/>
              </w:rPr>
              <w:t>s feelings.</w:t>
            </w:r>
          </w:p>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vii. Authoritarian parents do not allow their children to act as they please. They expect them to do as they are told. Authoritative parents raise their children by providing guidance, expecting good behavior from their children by letting them have a say in how they act.</w:t>
            </w:r>
          </w:p>
          <w:p>
            <w:pPr>
              <w:pStyle w:val="Body A"/>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viii. Social phobia refers to a fear of taking part in social events. Children with a social phobia may avoid public speaking, social gatherings and interacting with adults. This usually appears in adolescence. </w:t>
            </w:r>
          </w:p>
          <w:p>
            <w:pPr>
              <w:pStyle w:val="Body A"/>
              <w:spacing w:after="0" w:line="240" w:lineRule="auto"/>
              <w:ind w:left="360" w:hanging="360"/>
              <w:jc w:val="both"/>
            </w:pPr>
            <w:r>
              <w:rPr>
                <w:rFonts w:ascii="Trebuchet MS Bold"/>
                <w:sz w:val="24"/>
                <w:szCs w:val="24"/>
                <w:rtl w:val="0"/>
                <w:lang w:val="en-US"/>
              </w:rPr>
              <w:t>ix. The different stages of social and emotional developments in children occur in infancy, early childhood, middle childhood and adolescence. They evolve responding positively to primary caregiver at birth to vocalizing with familiar faces, developing negative emotions in response to others and forming friendships.</w:t>
            </w:r>
          </w:p>
        </w:tc>
      </w:tr>
      <w:tr>
        <w:tblPrEx>
          <w:shd w:val="clear" w:color="auto" w:fill="auto"/>
        </w:tblPrEx>
        <w:trPr>
          <w:trHeight w:val="1009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40"/>
              <w:bottom w:type="dxa" w:w="80"/>
              <w:right w:type="dxa" w:w="80"/>
            </w:tcMar>
            <w:vAlign w:val="top"/>
          </w:tcPr>
          <w:p>
            <w:pPr>
              <w:pStyle w:val="Body A"/>
              <w:spacing w:after="0" w:line="240" w:lineRule="auto"/>
              <w:ind w:left="360" w:hanging="360"/>
              <w:jc w:val="both"/>
              <w:rPr>
                <w:sz w:val="24"/>
                <w:szCs w:val="24"/>
                <w:lang w:val="en-US"/>
              </w:rPr>
            </w:pPr>
            <w:r>
              <w:rPr>
                <w:rFonts w:ascii="Trebuchet MS Bold"/>
                <w:sz w:val="24"/>
                <w:szCs w:val="24"/>
                <w:rtl w:val="0"/>
                <w:lang w:val="en-US"/>
              </w:rPr>
              <w:t>2.  According to Bandura</w:t>
            </w:r>
            <w:r>
              <w:rPr>
                <w:rFonts w:hAnsi="Trebuchet MS Bold" w:hint="default"/>
                <w:sz w:val="24"/>
                <w:szCs w:val="24"/>
                <w:rtl w:val="0"/>
                <w:lang w:val="en-US"/>
              </w:rPr>
              <w:t>’</w:t>
            </w:r>
            <w:r>
              <w:rPr>
                <w:rFonts w:ascii="Trebuchet MS Bold"/>
                <w:sz w:val="24"/>
                <w:szCs w:val="24"/>
                <w:rtl w:val="0"/>
                <w:lang w:val="en-US"/>
              </w:rPr>
              <w:t>s theory, aggression and violent behavior is learned. No one is born with an innate need to hurt others. therefore, it is safe to say that adults who commit felonies have had negative experiences growing up. Children tend to mimic the behavior that has been modeled to them. If they have repeatedly witnessed aggressive behavior, either by the adults in their lives or even in movies or video games, they are likely to copy that violent behaviour. Children use this displayed behavior as a reference of what is socially acceptable and what isn</w:t>
            </w:r>
            <w:r>
              <w:rPr>
                <w:rFonts w:hAnsi="Trebuchet MS Bold" w:hint="default"/>
                <w:sz w:val="24"/>
                <w:szCs w:val="24"/>
                <w:rtl w:val="0"/>
                <w:lang w:val="en-US"/>
              </w:rPr>
              <w:t>’</w:t>
            </w:r>
            <w:r>
              <w:rPr>
                <w:rFonts w:ascii="Trebuchet MS Bold"/>
                <w:sz w:val="24"/>
                <w:szCs w:val="24"/>
                <w:rtl w:val="0"/>
                <w:lang w:val="en-US"/>
              </w:rPr>
              <w:t>t. They grow up into adults with the same values as the adults that they looked up to when they were young.</w:t>
            </w:r>
          </w:p>
          <w:p>
            <w:pPr>
              <w:pStyle w:val="Body A"/>
              <w:spacing w:after="0" w:line="240" w:lineRule="auto"/>
              <w:ind w:left="360" w:hanging="360"/>
              <w:jc w:val="both"/>
              <w:rPr>
                <w:sz w:val="24"/>
                <w:szCs w:val="24"/>
                <w:lang w:val="en-US"/>
              </w:rPr>
            </w:pPr>
            <w:r>
              <w:rPr>
                <w:rFonts w:ascii="Trebuchet MS Bold"/>
                <w:sz w:val="24"/>
                <w:szCs w:val="24"/>
                <w:rtl w:val="0"/>
                <w:lang w:val="en-US"/>
              </w:rPr>
              <w:t>3. There are several external factors that may affect children</w:t>
            </w:r>
            <w:r>
              <w:rPr>
                <w:rFonts w:hAnsi="Trebuchet MS Bold" w:hint="default"/>
                <w:sz w:val="24"/>
                <w:szCs w:val="24"/>
                <w:rtl w:val="0"/>
                <w:lang w:val="en-US"/>
              </w:rPr>
              <w:t>’</w:t>
            </w:r>
            <w:r>
              <w:rPr>
                <w:rFonts w:ascii="Trebuchet MS Bold"/>
                <w:sz w:val="24"/>
                <w:szCs w:val="24"/>
                <w:rtl w:val="0"/>
                <w:lang w:val="en-US"/>
              </w:rPr>
              <w:t>s social development. Firstly, a family</w:t>
            </w:r>
            <w:r>
              <w:rPr>
                <w:rFonts w:hAnsi="Trebuchet MS Bold" w:hint="default"/>
                <w:sz w:val="24"/>
                <w:szCs w:val="24"/>
                <w:rtl w:val="0"/>
                <w:lang w:val="en-US"/>
              </w:rPr>
              <w:t>’</w:t>
            </w:r>
            <w:r>
              <w:rPr>
                <w:rFonts w:ascii="Trebuchet MS Bold"/>
                <w:sz w:val="24"/>
                <w:szCs w:val="24"/>
                <w:rtl w:val="0"/>
                <w:lang w:val="en-US"/>
              </w:rPr>
              <w:t>s financial status will have an impact on whether or not a family is able to provide opportunities for their children to socialize with others outside of their homes. Another factor is their school environment, particularly their teachers</w:t>
            </w:r>
            <w:r>
              <w:rPr>
                <w:rFonts w:hAnsi="Trebuchet MS Bold" w:hint="default"/>
                <w:sz w:val="24"/>
                <w:szCs w:val="24"/>
                <w:rtl w:val="0"/>
                <w:lang w:val="en-US"/>
              </w:rPr>
              <w:t xml:space="preserve">’ </w:t>
            </w:r>
            <w:r>
              <w:rPr>
                <w:rFonts w:ascii="Trebuchet MS Bold"/>
                <w:sz w:val="24"/>
                <w:szCs w:val="24"/>
                <w:rtl w:val="0"/>
                <w:lang w:val="en-US"/>
              </w:rPr>
              <w:t>guidance and influence. Teachers play an important role in creating chances for children to make friends with their peers. Another factor is when parents fail to provide a secure foundation for healthy emotional development. When children are exposed to stress from violent video games, movies or even celebrity influences, this will affect their development negatively. Lastly, another major factor is bullying. If children don</w:t>
            </w:r>
            <w:r>
              <w:rPr>
                <w:rFonts w:hAnsi="Trebuchet MS Bold" w:hint="default"/>
                <w:sz w:val="24"/>
                <w:szCs w:val="24"/>
                <w:rtl w:val="0"/>
                <w:lang w:val="en-US"/>
              </w:rPr>
              <w:t>’</w:t>
            </w:r>
            <w:r>
              <w:rPr>
                <w:rFonts w:ascii="Trebuchet MS Bold"/>
                <w:sz w:val="24"/>
                <w:szCs w:val="24"/>
                <w:rtl w:val="0"/>
                <w:lang w:val="en-US"/>
              </w:rPr>
              <w:t>t fit in with the popular kids in school, they might be singled out by others causing them to have low self-esteem.</w:t>
            </w:r>
          </w:p>
          <w:p>
            <w:pPr>
              <w:pStyle w:val="Body A"/>
              <w:spacing w:after="0" w:line="240" w:lineRule="auto"/>
              <w:ind w:left="360" w:hanging="360"/>
              <w:jc w:val="both"/>
            </w:pPr>
            <w:r>
              <w:rPr>
                <w:rFonts w:ascii="Trebuchet MS Bold"/>
                <w:sz w:val="24"/>
                <w:szCs w:val="24"/>
                <w:rtl w:val="0"/>
                <w:lang w:val="en-US"/>
              </w:rPr>
              <w:t>4. Starting from infancy, emotional development grows in complexity in every stage of a child</w:t>
            </w:r>
            <w:r>
              <w:rPr>
                <w:rFonts w:hAnsi="Trebuchet MS Bold" w:hint="default"/>
                <w:sz w:val="24"/>
                <w:szCs w:val="24"/>
                <w:rtl w:val="0"/>
                <w:lang w:val="en-US"/>
              </w:rPr>
              <w:t>’</w:t>
            </w:r>
            <w:r>
              <w:rPr>
                <w:rFonts w:ascii="Trebuchet MS Bold"/>
                <w:sz w:val="24"/>
                <w:szCs w:val="24"/>
                <w:rtl w:val="0"/>
                <w:lang w:val="en-US"/>
              </w:rPr>
              <w:t>s life all the way until adulthood. The kind of love that babies receive will affect their emotional development and their abilities to form bonds and attachments with others. As they grow, they will develop an interest in others and begin to display various emotions as responses to negative and positive situations. The older they get, the more complex these emotions will be so that they are better able to cope with them and function socially.Children first start by identifying and understanding their own feelings before they start to read and understand other people</w:t>
            </w:r>
            <w:r>
              <w:rPr>
                <w:rFonts w:hAnsi="Trebuchet MS Bold" w:hint="default"/>
                <w:sz w:val="24"/>
                <w:szCs w:val="24"/>
                <w:rtl w:val="0"/>
                <w:lang w:val="en-US"/>
              </w:rPr>
              <w:t>’</w:t>
            </w:r>
            <w:r>
              <w:rPr>
                <w:rFonts w:ascii="Trebuchet MS Bold"/>
                <w:sz w:val="24"/>
                <w:szCs w:val="24"/>
                <w:rtl w:val="0"/>
                <w:lang w:val="en-US"/>
              </w:rPr>
              <w:t>s feelings. An important stage for them is when they start to manage and shape the way they behave. When they start to develop empathy with others they will start to build and maintain strong relationships with others. The type of relationship that a child has with their parents will usually mirror the kind of relationship that the child will have with others in the future.</w:t>
            </w:r>
          </w:p>
        </w:tc>
      </w:tr>
    </w:tbl>
    <w:p>
      <w:pPr>
        <w:pStyle w:val="Body A"/>
        <w:spacing w:line="240" w:lineRule="auto"/>
        <w:rPr>
          <w:rFonts w:ascii="Calibri" w:cs="Calibri" w:hAnsi="Calibri" w:eastAsia="Calibri"/>
          <w:b w:val="1"/>
          <w:bCs w:val="1"/>
          <w:color w:val="002060"/>
          <w:sz w:val="28"/>
          <w:szCs w:val="28"/>
          <w:u w:color="002060"/>
          <w:lang w:val="en-US"/>
        </w:rPr>
      </w:pPr>
    </w:p>
    <w:p>
      <w:pPr>
        <w:pStyle w:val="Body A"/>
        <w:spacing w:after="0" w:line="240" w:lineRule="auto"/>
        <w:rPr>
          <w:rFonts w:ascii="Trebuchet MS Bold" w:cs="Trebuchet MS Bold" w:hAnsi="Trebuchet MS Bold" w:eastAsia="Trebuchet MS Bold"/>
          <w:color w:val="001ae6"/>
          <w:sz w:val="24"/>
          <w:szCs w:val="24"/>
          <w:u w:color="001ae6"/>
          <w:lang w:val="en-US"/>
        </w:rPr>
      </w:pPr>
      <w:r>
        <w:rPr>
          <w:rFonts w:ascii="Trebuchet MS Bold"/>
          <w:color w:val="002060"/>
          <w:sz w:val="24"/>
          <w:szCs w:val="24"/>
          <w:u w:color="002060"/>
          <w:rtl w:val="0"/>
          <w:lang w:val="en-US"/>
        </w:rPr>
        <w:t>Student Statement:</w:t>
      </w:r>
    </w:p>
    <w:p>
      <w:pPr>
        <w:pStyle w:val="Body A"/>
        <w:spacing w:after="0" w:line="240" w:lineRule="auto"/>
        <w:rPr>
          <w:color w:val="000000"/>
          <w:u w:color="000000"/>
          <w:lang w:val="en-US"/>
        </w:rPr>
      </w:pPr>
      <w:r>
        <w:rPr>
          <w:rFonts w:ascii="Trebuchet MS"/>
          <w:color w:val="000000"/>
          <w:sz w:val="22"/>
          <w:szCs w:val="22"/>
          <w:u w:color="000000"/>
          <w:rtl w:val="0"/>
          <w:lang w:val="en-US"/>
        </w:rPr>
        <w:t>By submitting this assignment, I confirm that this is my own work.</w:t>
      </w:r>
    </w:p>
    <w:p>
      <w:pPr>
        <w:pStyle w:val="Body A"/>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538"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drawing>
                <wp:inline distT="0" distB="0" distL="0" distR="0">
                  <wp:extent cx="1682159" cy="297712"/>
                  <wp:effectExtent l="0" t="0" r="0" b="0"/>
                  <wp:docPr id="1073741829" name="officeArt object" descr="Untitled.png"/>
                  <wp:cNvGraphicFramePr/>
                  <a:graphic xmlns:a="http://schemas.openxmlformats.org/drawingml/2006/main">
                    <a:graphicData uri="http://schemas.openxmlformats.org/drawingml/2006/picture">
                      <pic:pic xmlns:pic="http://schemas.openxmlformats.org/drawingml/2006/picture">
                        <pic:nvPicPr>
                          <pic:cNvPr id="1073741829" name="image2.png" descr="Untitled.png"/>
                          <pic:cNvPicPr/>
                        </pic:nvPicPr>
                        <pic:blipFill>
                          <a:blip r:embed="rId5">
                            <a:extLst/>
                          </a:blip>
                          <a:stretch>
                            <a:fillRect/>
                          </a:stretch>
                        </pic:blipFill>
                        <pic:spPr>
                          <a:xfrm>
                            <a:off x="0" y="0"/>
                            <a:ext cx="1682159" cy="297712"/>
                          </a:xfrm>
                          <a:prstGeom prst="rect">
                            <a:avLst/>
                          </a:prstGeom>
                          <a:ln w="12700" cap="flat">
                            <a:noFill/>
                            <a:miter lim="400000"/>
                          </a:ln>
                          <a:effectLst/>
                        </pic:spPr>
                      </pic:pic>
                    </a:graphicData>
                  </a:graphic>
                </wp:inline>
              </w:drawing>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18</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-08-2016</w:t>
            </w:r>
          </w:p>
        </w:tc>
      </w:tr>
    </w:tbl>
    <w:p>
      <w:pPr>
        <w:pStyle w:val="Body A"/>
        <w:spacing w:after="0" w:line="240" w:lineRule="auto"/>
        <w:rPr>
          <w:color w:val="000000"/>
          <w:u w:color="000000"/>
          <w:lang w:val="en-US"/>
        </w:rPr>
      </w:pPr>
    </w:p>
    <w:p>
      <w:pPr>
        <w:pStyle w:val="Body A"/>
        <w:shd w:val="clear" w:color="auto" w:fill="d9d9d9"/>
        <w:rPr>
          <w:rFonts w:ascii="Trebuchet MS Bold" w:cs="Trebuchet MS Bold" w:hAnsi="Trebuchet MS Bold" w:eastAsia="Trebuchet MS Bold"/>
          <w:sz w:val="24"/>
          <w:szCs w:val="24"/>
          <w:lang w:val="en-US"/>
        </w:rPr>
      </w:pPr>
      <w:r>
        <w:rPr>
          <w:rFonts w:ascii="Trebuchet MS Bold"/>
          <w:sz w:val="24"/>
          <w:szCs w:val="24"/>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26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6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6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shd w:val="clear" w:color="auto" w:fill="d9d9d9"/>
        <w:spacing w:line="240" w:lineRule="auto"/>
      </w:pPr>
      <w:r>
        <w:rPr>
          <w:lang w:val="en-US"/>
        </w:rPr>
        <w:br w:type="page"/>
      </w:r>
    </w:p>
    <w:p>
      <w:pPr>
        <w:pStyle w:val="Body A"/>
        <w:shd w:val="clear" w:color="auto" w:fill="d9d9d9"/>
        <w:spacing w:line="240" w:lineRule="auto"/>
      </w:pP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rebuchet MS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