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E2748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ED39B94" wp14:editId="770455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9E9872" w14:textId="77777777" w:rsidR="00607874" w:rsidRDefault="00021F8E" w:rsidP="00A851DA">
      <w:pPr>
        <w:rPr>
          <w:lang w:val="en-US"/>
        </w:rPr>
      </w:pPr>
      <w:r>
        <w:rPr>
          <w:noProof/>
          <w:lang w:val="en-US"/>
        </w:rPr>
        <mc:AlternateContent>
          <mc:Choice Requires="wps">
            <w:drawing>
              <wp:anchor distT="0" distB="0" distL="114300" distR="114300" simplePos="0" relativeHeight="251660288" behindDoc="0" locked="0" layoutInCell="1" allowOverlap="1" wp14:anchorId="7C44AC6F" wp14:editId="71981FB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7E4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864E6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44AC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427E4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864E69" w14:textId="77777777" w:rsidR="00405895" w:rsidRDefault="00405895"/>
                  </w:txbxContent>
                </v:textbox>
              </v:shape>
            </w:pict>
          </mc:Fallback>
        </mc:AlternateContent>
      </w:r>
    </w:p>
    <w:p w14:paraId="704B290C" w14:textId="77777777" w:rsidR="00607874" w:rsidRDefault="00607874" w:rsidP="00A851DA">
      <w:pPr>
        <w:rPr>
          <w:lang w:val="en-US"/>
        </w:rPr>
      </w:pPr>
    </w:p>
    <w:p w14:paraId="0E72B72F" w14:textId="77777777" w:rsidR="00607874" w:rsidRDefault="00607874" w:rsidP="00A851DA">
      <w:pPr>
        <w:rPr>
          <w:lang w:val="en-US"/>
        </w:rPr>
      </w:pPr>
    </w:p>
    <w:p w14:paraId="61EA496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31FEE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100C7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BB8667" w14:textId="77777777" w:rsidR="00A851DA" w:rsidRPr="00B0415E" w:rsidRDefault="00946887">
            <w:pPr>
              <w:pStyle w:val="Default"/>
              <w:rPr>
                <w:rFonts w:asciiTheme="minorHAnsi" w:hAnsiTheme="minorHAnsi"/>
              </w:rPr>
            </w:pPr>
            <w:r>
              <w:rPr>
                <w:rFonts w:asciiTheme="minorHAnsi" w:hAnsiTheme="minorHAnsi"/>
              </w:rPr>
              <w:t>Malvi Khimasia</w:t>
            </w:r>
          </w:p>
        </w:tc>
      </w:tr>
      <w:tr w:rsidR="00A851DA" w:rsidRPr="00B0415E" w14:paraId="3D31BE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0A3F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429A99" w14:textId="77777777" w:rsidR="00A851DA" w:rsidRPr="00B0415E" w:rsidRDefault="00946887">
            <w:pPr>
              <w:pStyle w:val="Default"/>
              <w:rPr>
                <w:rFonts w:asciiTheme="minorHAnsi" w:hAnsiTheme="minorHAnsi"/>
              </w:rPr>
            </w:pPr>
            <w:r>
              <w:rPr>
                <w:rFonts w:asciiTheme="minorHAnsi" w:hAnsiTheme="minorHAnsi"/>
              </w:rPr>
              <w:t>2106</w:t>
            </w:r>
          </w:p>
        </w:tc>
      </w:tr>
      <w:tr w:rsidR="00A851DA" w:rsidRPr="00B0415E" w14:paraId="391569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7EC5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BB27A94" w14:textId="77777777" w:rsidR="00A851DA" w:rsidRPr="00B0415E" w:rsidRDefault="00946887">
            <w:pPr>
              <w:pStyle w:val="Default"/>
              <w:rPr>
                <w:rFonts w:asciiTheme="minorHAnsi" w:hAnsiTheme="minorHAnsi"/>
              </w:rPr>
            </w:pPr>
            <w:r>
              <w:rPr>
                <w:rFonts w:asciiTheme="minorHAnsi" w:hAnsiTheme="minorHAnsi"/>
              </w:rPr>
              <w:t>Diploma in Forensic Accounting</w:t>
            </w:r>
          </w:p>
        </w:tc>
      </w:tr>
      <w:tr w:rsidR="00A851DA" w:rsidRPr="00B0415E" w14:paraId="61FE43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85655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8D04CE" w14:textId="238259EA" w:rsidR="00A851DA" w:rsidRPr="00B0415E" w:rsidRDefault="0060092F">
            <w:r>
              <w:t>7</w:t>
            </w:r>
          </w:p>
        </w:tc>
      </w:tr>
    </w:tbl>
    <w:p w14:paraId="725D53FA" w14:textId="77777777" w:rsidR="00CC2FB3" w:rsidRDefault="00CC2FB3" w:rsidP="00A851DA">
      <w:pPr>
        <w:rPr>
          <w:b/>
          <w:lang w:val="en-US"/>
        </w:rPr>
      </w:pPr>
    </w:p>
    <w:p w14:paraId="016B9D21" w14:textId="77777777" w:rsidR="00443E6F" w:rsidRDefault="00527C11" w:rsidP="00A851DA">
      <w:pPr>
        <w:rPr>
          <w:b/>
          <w:sz w:val="28"/>
          <w:lang w:val="en-US"/>
        </w:rPr>
      </w:pPr>
      <w:r w:rsidRPr="00443E6F">
        <w:rPr>
          <w:b/>
          <w:sz w:val="28"/>
          <w:lang w:val="en-US"/>
        </w:rPr>
        <w:t>Marking Criteria:</w:t>
      </w:r>
    </w:p>
    <w:p w14:paraId="18779F7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2DF6C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AC2B7EF" w14:textId="77777777" w:rsidTr="00BD5B32">
        <w:trPr>
          <w:trHeight w:val="7078"/>
        </w:trPr>
        <w:tc>
          <w:tcPr>
            <w:tcW w:w="9242" w:type="dxa"/>
          </w:tcPr>
          <w:p w14:paraId="7E16B74F" w14:textId="77777777" w:rsidR="0060092F" w:rsidRP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t>1 i. Non-financial sources of evidence are:</w:t>
            </w:r>
          </w:p>
          <w:p w14:paraId="48833CB2" w14:textId="380E9550" w:rsidR="0060092F" w:rsidRPr="0060092F" w:rsidRDefault="0060092F" w:rsidP="0060092F">
            <w:pPr>
              <w:pStyle w:val="ListParagraph"/>
              <w:numPr>
                <w:ilvl w:val="0"/>
                <w:numId w:val="27"/>
              </w:numPr>
              <w:tabs>
                <w:tab w:val="left" w:pos="5491"/>
              </w:tabs>
              <w:spacing w:before="30" w:after="30"/>
              <w:ind w:left="850" w:right="850"/>
              <w:rPr>
                <w:rFonts w:ascii="Ariel" w:hAnsi="Ariel"/>
                <w:sz w:val="24"/>
                <w:szCs w:val="24"/>
              </w:rPr>
            </w:pPr>
            <w:r w:rsidRPr="0060092F">
              <w:rPr>
                <w:rFonts w:ascii="Ariel" w:hAnsi="Ariel"/>
                <w:sz w:val="24"/>
                <w:szCs w:val="24"/>
              </w:rPr>
              <w:t xml:space="preserve">Physiological traits - these refer to identifying and interpreting the characteristics of a fraudster such as their </w:t>
            </w:r>
            <w:r w:rsidRPr="0060092F">
              <w:rPr>
                <w:rFonts w:ascii="Ariel" w:hAnsi="Ariel"/>
                <w:sz w:val="24"/>
                <w:szCs w:val="24"/>
              </w:rPr>
              <w:t>behavior</w:t>
            </w:r>
            <w:r w:rsidRPr="0060092F">
              <w:rPr>
                <w:rFonts w:ascii="Ariel" w:hAnsi="Ariel"/>
                <w:sz w:val="24"/>
                <w:szCs w:val="24"/>
              </w:rPr>
              <w:t>, physical expressions, communication channels and lifestyle.</w:t>
            </w:r>
          </w:p>
          <w:p w14:paraId="6DBC6130" w14:textId="77777777" w:rsidR="0060092F" w:rsidRPr="0060092F" w:rsidRDefault="0060092F" w:rsidP="0060092F">
            <w:pPr>
              <w:pStyle w:val="ListParagraph"/>
              <w:numPr>
                <w:ilvl w:val="0"/>
                <w:numId w:val="27"/>
              </w:numPr>
              <w:tabs>
                <w:tab w:val="left" w:pos="5491"/>
              </w:tabs>
              <w:spacing w:before="30" w:after="30"/>
              <w:ind w:left="850" w:right="850"/>
              <w:rPr>
                <w:rFonts w:ascii="Ariel" w:hAnsi="Ariel"/>
                <w:sz w:val="24"/>
                <w:szCs w:val="24"/>
              </w:rPr>
            </w:pPr>
            <w:r w:rsidRPr="0060092F">
              <w:rPr>
                <w:rFonts w:ascii="Ariel" w:hAnsi="Ariel"/>
                <w:sz w:val="24"/>
                <w:szCs w:val="24"/>
              </w:rPr>
              <w:t>Interviews - This process involves gathering evidence by asking a series of questions to the suspect. Questions can be pre-planned and modified as the interview progresses to leave no chances for escape. The suspect's body language and speech during the interview also aid in building evidence.</w:t>
            </w:r>
          </w:p>
          <w:p w14:paraId="6EE9572F" w14:textId="77777777" w:rsidR="0060092F" w:rsidRPr="0060092F" w:rsidRDefault="0060092F" w:rsidP="0060092F">
            <w:pPr>
              <w:pStyle w:val="ListParagraph"/>
              <w:numPr>
                <w:ilvl w:val="0"/>
                <w:numId w:val="27"/>
              </w:numPr>
              <w:tabs>
                <w:tab w:val="left" w:pos="5491"/>
              </w:tabs>
              <w:spacing w:before="30" w:after="30"/>
              <w:ind w:left="850" w:right="850"/>
              <w:rPr>
                <w:rFonts w:ascii="Ariel" w:hAnsi="Ariel"/>
                <w:sz w:val="24"/>
                <w:szCs w:val="24"/>
              </w:rPr>
            </w:pPr>
            <w:r w:rsidRPr="0060092F">
              <w:rPr>
                <w:rFonts w:ascii="Ariel" w:hAnsi="Ariel"/>
                <w:sz w:val="24"/>
                <w:szCs w:val="24"/>
              </w:rPr>
              <w:t>Document examination - This involves scrutinizing handwriting and signatures, examining typewriters, photocopiers and printers used to print the document in question, deciphering and detecting alterations and erasures.</w:t>
            </w:r>
          </w:p>
          <w:p w14:paraId="08C2A3E2" w14:textId="1845F676" w:rsidR="0060092F" w:rsidRDefault="0060092F" w:rsidP="0060092F">
            <w:pPr>
              <w:pStyle w:val="ListParagraph"/>
              <w:numPr>
                <w:ilvl w:val="0"/>
                <w:numId w:val="27"/>
              </w:numPr>
              <w:tabs>
                <w:tab w:val="left" w:pos="5491"/>
              </w:tabs>
              <w:spacing w:before="30" w:after="30"/>
              <w:ind w:left="850" w:right="850"/>
              <w:rPr>
                <w:rFonts w:ascii="Ariel" w:hAnsi="Ariel"/>
                <w:sz w:val="24"/>
                <w:szCs w:val="24"/>
              </w:rPr>
            </w:pPr>
            <w:r w:rsidRPr="0060092F">
              <w:rPr>
                <w:rFonts w:ascii="Ariel" w:hAnsi="Ariel"/>
                <w:sz w:val="24"/>
                <w:szCs w:val="24"/>
              </w:rPr>
              <w:t xml:space="preserve">Handwriting identification - Just as no two people are alike, in the same way no two peoples' handwritings are alike.  The examiner must study the variations within the handwriting in combination with individual characteristics that distinguish one </w:t>
            </w:r>
            <w:r w:rsidRPr="0060092F">
              <w:rPr>
                <w:rFonts w:ascii="Ariel" w:hAnsi="Ariel"/>
                <w:sz w:val="24"/>
                <w:szCs w:val="24"/>
              </w:rPr>
              <w:t>person’s</w:t>
            </w:r>
            <w:r w:rsidRPr="0060092F">
              <w:rPr>
                <w:rFonts w:ascii="Ariel" w:hAnsi="Ariel"/>
                <w:sz w:val="24"/>
                <w:szCs w:val="24"/>
              </w:rPr>
              <w:t xml:space="preserve"> writing from that of another.</w:t>
            </w:r>
          </w:p>
          <w:p w14:paraId="33B3DB41" w14:textId="77777777" w:rsidR="0060092F" w:rsidRPr="0060092F" w:rsidRDefault="0060092F" w:rsidP="0060092F">
            <w:pPr>
              <w:pStyle w:val="ListParagraph"/>
              <w:tabs>
                <w:tab w:val="left" w:pos="5491"/>
              </w:tabs>
              <w:spacing w:before="30" w:after="30"/>
              <w:ind w:left="850" w:right="850"/>
              <w:rPr>
                <w:rFonts w:ascii="Ariel" w:hAnsi="Ariel"/>
                <w:sz w:val="24"/>
                <w:szCs w:val="24"/>
              </w:rPr>
            </w:pPr>
          </w:p>
          <w:p w14:paraId="15EF25DB" w14:textId="77777777" w:rsid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t xml:space="preserve">ii. Body language is a way of expressing nonverbally through gestures, movements, facial expressions, etc.  The process of interview can be quite stressful especially for the one who is being interviewed.  The investigator will hence look out for signs of stress through calibration. Speech errors and stuttering, hesitation, stammering, pausing for long, high vocal tone, excessive blinking, sweating, startled facial expressions are linked to anxiety and stress related gestures. Crossing the legs or arms indicates a defensive attitude however body language differs from person to person. Body language aids in determining whether the suspect is </w:t>
            </w:r>
          </w:p>
          <w:p w14:paraId="2E15C7AE" w14:textId="128C02DA" w:rsid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lastRenderedPageBreak/>
              <w:t>guilty or not but only to a certain extent and cannot be taken as a factual evidence.</w:t>
            </w:r>
          </w:p>
          <w:p w14:paraId="3FC2EABB" w14:textId="77777777" w:rsidR="0060092F" w:rsidRPr="0060092F" w:rsidRDefault="0060092F" w:rsidP="0060092F">
            <w:pPr>
              <w:tabs>
                <w:tab w:val="left" w:pos="5491"/>
              </w:tabs>
              <w:spacing w:before="30" w:after="30"/>
              <w:ind w:left="850" w:right="850"/>
              <w:rPr>
                <w:rFonts w:ascii="Ariel" w:hAnsi="Ariel"/>
                <w:sz w:val="24"/>
                <w:szCs w:val="24"/>
              </w:rPr>
            </w:pPr>
          </w:p>
          <w:p w14:paraId="149A28FE" w14:textId="77777777" w:rsid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t>iii. SCAN Analysis is aimed at detecting deception rather than detecting truthfulness. SCAN Analysis assist investigators in separating fact from fiction. SCAN procedure requires a written down statement of the events that occurred in a timely manner in the interviewee's own words providing a proper detailed account of the facts. An analyst would then investigate and analyse the handwritten statement and judge by applying SCAN analysis to generate questions that could reveal important details within the statement or details that are missing. Criteria that is present in the statement are highlighted accordingly which either can indicate truthfulness or deception, depending on the criterion itself.</w:t>
            </w:r>
          </w:p>
          <w:p w14:paraId="18D1B2BE" w14:textId="77777777" w:rsidR="0060092F" w:rsidRPr="0060092F" w:rsidRDefault="0060092F" w:rsidP="0060092F">
            <w:pPr>
              <w:tabs>
                <w:tab w:val="left" w:pos="5491"/>
              </w:tabs>
              <w:spacing w:before="30" w:after="30"/>
              <w:ind w:left="850" w:right="850"/>
              <w:rPr>
                <w:rFonts w:ascii="Ariel" w:hAnsi="Ariel"/>
                <w:sz w:val="24"/>
                <w:szCs w:val="24"/>
              </w:rPr>
            </w:pPr>
          </w:p>
          <w:p w14:paraId="79235663" w14:textId="77777777" w:rsid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t>iv. Visual assessing cues refers to communication through the eyes with its movement and the principles related to it which, is a more reliable indicator of honesty. Eye movement both laterally and vertically are associated with different parts of the brain, and these movements provide an insight to the interviewer as to how the interviewee thinks and is accessing information.  It is however important to understand whether the interviewee is left handed or right handed in order to comprehend the cues correctly. For example for a right handed person, eye movement to the left and up indicates recalling the past in visual images and for eye movement to the right and up indicates constructing images of the future. Looking downward normally shows sign of guilt or defeat. Eye movements of the interviewees determine whether the thought process is truthful or deceptive.</w:t>
            </w:r>
          </w:p>
          <w:p w14:paraId="6CB5E2FB" w14:textId="77777777" w:rsidR="0060092F" w:rsidRPr="0060092F" w:rsidRDefault="0060092F" w:rsidP="0060092F">
            <w:pPr>
              <w:tabs>
                <w:tab w:val="left" w:pos="5491"/>
              </w:tabs>
              <w:spacing w:before="30" w:after="30"/>
              <w:ind w:left="850" w:right="850"/>
              <w:rPr>
                <w:rFonts w:ascii="Ariel" w:hAnsi="Ariel"/>
                <w:sz w:val="24"/>
                <w:szCs w:val="24"/>
              </w:rPr>
            </w:pPr>
          </w:p>
          <w:p w14:paraId="5BB6040E" w14:textId="528259B9" w:rsid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t xml:space="preserve">v. Deception Cues can also be used to identify deception. Liars often suppress "nervous" </w:t>
            </w:r>
            <w:r w:rsidRPr="0060092F">
              <w:rPr>
                <w:rFonts w:ascii="Ariel" w:hAnsi="Ariel"/>
                <w:sz w:val="24"/>
                <w:szCs w:val="24"/>
              </w:rPr>
              <w:t>behaviors</w:t>
            </w:r>
            <w:r w:rsidRPr="0060092F">
              <w:rPr>
                <w:rFonts w:ascii="Ariel" w:hAnsi="Ariel"/>
                <w:sz w:val="24"/>
                <w:szCs w:val="24"/>
              </w:rPr>
              <w:t xml:space="preserve"> when lying, partly because the individual may </w:t>
            </w:r>
            <w:r w:rsidRPr="0060092F">
              <w:rPr>
                <w:rFonts w:ascii="Ariel" w:hAnsi="Ariel"/>
                <w:sz w:val="24"/>
                <w:szCs w:val="24"/>
              </w:rPr>
              <w:t>self-consciously</w:t>
            </w:r>
            <w:r w:rsidRPr="0060092F">
              <w:rPr>
                <w:rFonts w:ascii="Ariel" w:hAnsi="Ariel"/>
                <w:sz w:val="24"/>
                <w:szCs w:val="24"/>
              </w:rPr>
              <w:t xml:space="preserve"> try to control or cease motions of the feet, legs, hands and fingers. Replacing of pronouns such as "my" with "the" when explaining a situation in order to be not linked with it. Verbal cues can be more reliable compared to non-verbal cues. Interviewers should be cautious when the question asked is answered by repeating the question in the answer, or when the answers are filled with "umm", "uh uhuh" before responding to the question. Other possible indicators of deception include bodily discomfort such as compressed lips, chin withdrawal and turning the body away from the speaker.</w:t>
            </w:r>
          </w:p>
          <w:p w14:paraId="6DB8FC59" w14:textId="77777777" w:rsidR="0060092F" w:rsidRPr="0060092F" w:rsidRDefault="0060092F" w:rsidP="0060092F">
            <w:pPr>
              <w:tabs>
                <w:tab w:val="left" w:pos="5491"/>
              </w:tabs>
              <w:spacing w:before="30" w:after="30"/>
              <w:ind w:left="850" w:right="850"/>
              <w:rPr>
                <w:rFonts w:ascii="Ariel" w:hAnsi="Ariel"/>
                <w:sz w:val="24"/>
                <w:szCs w:val="24"/>
              </w:rPr>
            </w:pPr>
          </w:p>
          <w:p w14:paraId="70C68318" w14:textId="71C1131A" w:rsid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t xml:space="preserve">2. The goals of an audit and of a fraud investigation are both different hence the questions asked will also tend to differ. The goal of an audit is not to detect fraud but to ensure financial statements are free from material misstatements and to express an opinion as to whether the company's financial statements are fairly presented. The goal of a fraud investigation is to gather evidence to prove a crime or fraud has been committed. Audits draw conclusions by examining source documents, general ledgers, analytical  procedures, sampling and testing, just to name a few. Questions asked in an audit are guided by GAAP hence there are set standard rules. There are no standard set questions prepared for fraud </w:t>
            </w:r>
            <w:r w:rsidRPr="0060092F">
              <w:rPr>
                <w:rFonts w:ascii="Ariel" w:hAnsi="Ariel"/>
                <w:sz w:val="24"/>
                <w:szCs w:val="24"/>
              </w:rPr>
              <w:lastRenderedPageBreak/>
              <w:t xml:space="preserve">investigation as they differ from case to case, however the investigators need to get </w:t>
            </w:r>
            <w:r w:rsidRPr="0060092F">
              <w:rPr>
                <w:rFonts w:ascii="Ariel" w:hAnsi="Ariel"/>
                <w:sz w:val="24"/>
                <w:szCs w:val="24"/>
              </w:rPr>
              <w:t>firsthand</w:t>
            </w:r>
            <w:r w:rsidRPr="0060092F">
              <w:rPr>
                <w:rFonts w:ascii="Ariel" w:hAnsi="Ariel"/>
                <w:sz w:val="24"/>
                <w:szCs w:val="24"/>
              </w:rPr>
              <w:t xml:space="preserve"> information from interviewees or witnesses to be equipped with questions. Fraud investigations are carried out in depth and require far more detailed evidence to arrive at a conclusion and therefore the questions asked would be broader covering all aspects of the situation.</w:t>
            </w:r>
          </w:p>
          <w:p w14:paraId="1706B965" w14:textId="77777777" w:rsidR="0060092F" w:rsidRPr="0060092F" w:rsidRDefault="0060092F" w:rsidP="0060092F">
            <w:pPr>
              <w:tabs>
                <w:tab w:val="left" w:pos="5491"/>
              </w:tabs>
              <w:spacing w:before="30" w:after="30"/>
              <w:ind w:left="850" w:right="850"/>
              <w:rPr>
                <w:rFonts w:ascii="Ariel" w:hAnsi="Ariel"/>
                <w:sz w:val="24"/>
                <w:szCs w:val="24"/>
              </w:rPr>
            </w:pPr>
          </w:p>
          <w:p w14:paraId="0AA03326" w14:textId="77777777" w:rsidR="0060092F" w:rsidRPr="0060092F" w:rsidRDefault="0060092F" w:rsidP="0060092F">
            <w:pPr>
              <w:tabs>
                <w:tab w:val="left" w:pos="5491"/>
              </w:tabs>
              <w:spacing w:before="30" w:after="30"/>
              <w:ind w:left="850" w:right="850"/>
              <w:rPr>
                <w:rFonts w:ascii="Ariel" w:hAnsi="Ariel"/>
                <w:sz w:val="24"/>
                <w:szCs w:val="24"/>
              </w:rPr>
            </w:pPr>
            <w:r w:rsidRPr="0060092F">
              <w:rPr>
                <w:rFonts w:ascii="Ariel" w:hAnsi="Ariel"/>
                <w:sz w:val="24"/>
                <w:szCs w:val="24"/>
              </w:rPr>
              <w:t>3. Interviews are conducted to extract information through interrogation methods by asking questions simple or complex depending on the nature of the investigation. Interviews for financially sophisticated victims include investment fraud, diamonds, gold and foreign exchange to name a few. Victims will have access to documents such as collateral financial information or any other relevant information, which will enable investigators to prepare the type of questions to ask in the interview. Interview process must consider the appropriate time to interview and in what order to allow for a smooth continuous flow of information. Interviewing procedure would probably include the below:</w:t>
            </w:r>
          </w:p>
          <w:p w14:paraId="3ED6DCFF" w14:textId="77777777" w:rsidR="0060092F" w:rsidRPr="0060092F" w:rsidRDefault="0060092F" w:rsidP="0060092F">
            <w:pPr>
              <w:pStyle w:val="ListParagraph"/>
              <w:numPr>
                <w:ilvl w:val="0"/>
                <w:numId w:val="28"/>
              </w:numPr>
              <w:tabs>
                <w:tab w:val="left" w:pos="5491"/>
              </w:tabs>
              <w:spacing w:before="30" w:after="30"/>
              <w:ind w:left="850" w:right="850"/>
              <w:rPr>
                <w:rFonts w:ascii="Ariel" w:hAnsi="Ariel"/>
                <w:sz w:val="24"/>
                <w:szCs w:val="24"/>
              </w:rPr>
            </w:pPr>
            <w:r w:rsidRPr="0060092F">
              <w:rPr>
                <w:rFonts w:ascii="Ariel" w:hAnsi="Ariel"/>
                <w:sz w:val="24"/>
                <w:szCs w:val="24"/>
              </w:rPr>
              <w:t>Introduction to the victim - aims and objectives of the interview shared and explained</w:t>
            </w:r>
          </w:p>
          <w:p w14:paraId="53E8F236" w14:textId="77777777" w:rsidR="0060092F" w:rsidRPr="0060092F" w:rsidRDefault="0060092F" w:rsidP="0060092F">
            <w:pPr>
              <w:pStyle w:val="ListParagraph"/>
              <w:numPr>
                <w:ilvl w:val="0"/>
                <w:numId w:val="28"/>
              </w:numPr>
              <w:tabs>
                <w:tab w:val="left" w:pos="5491"/>
              </w:tabs>
              <w:spacing w:before="30" w:after="30"/>
              <w:ind w:left="850" w:right="850"/>
              <w:rPr>
                <w:rFonts w:ascii="Ariel" w:hAnsi="Ariel"/>
                <w:sz w:val="24"/>
                <w:szCs w:val="24"/>
              </w:rPr>
            </w:pPr>
            <w:r w:rsidRPr="0060092F">
              <w:rPr>
                <w:rFonts w:ascii="Ariel" w:hAnsi="Ariel"/>
                <w:sz w:val="24"/>
                <w:szCs w:val="24"/>
              </w:rPr>
              <w:t xml:space="preserve">Background - information about the victim and their business and finance management </w:t>
            </w:r>
          </w:p>
          <w:p w14:paraId="2AA0D7B6" w14:textId="77777777" w:rsidR="0060092F" w:rsidRPr="0060092F" w:rsidRDefault="0060092F" w:rsidP="0060092F">
            <w:pPr>
              <w:pStyle w:val="ListParagraph"/>
              <w:numPr>
                <w:ilvl w:val="0"/>
                <w:numId w:val="28"/>
              </w:numPr>
              <w:tabs>
                <w:tab w:val="left" w:pos="5491"/>
              </w:tabs>
              <w:spacing w:before="30" w:after="30"/>
              <w:ind w:left="850" w:right="850"/>
              <w:rPr>
                <w:rFonts w:ascii="Ariel" w:hAnsi="Ariel"/>
                <w:sz w:val="24"/>
                <w:szCs w:val="24"/>
              </w:rPr>
            </w:pPr>
            <w:r w:rsidRPr="0060092F">
              <w:rPr>
                <w:rFonts w:ascii="Ariel" w:hAnsi="Ariel"/>
                <w:sz w:val="24"/>
                <w:szCs w:val="24"/>
              </w:rPr>
              <w:t>List of interviewees- Consideration should be given on who to interview such as former employees, current employee, co-workers, suppliers, customers, family members, financial institutions, accountants etc.</w:t>
            </w:r>
          </w:p>
          <w:p w14:paraId="77802FA4" w14:textId="77777777" w:rsidR="0060092F" w:rsidRPr="0060092F" w:rsidRDefault="0060092F" w:rsidP="0060092F">
            <w:pPr>
              <w:pStyle w:val="ListParagraph"/>
              <w:numPr>
                <w:ilvl w:val="0"/>
                <w:numId w:val="28"/>
              </w:numPr>
              <w:tabs>
                <w:tab w:val="left" w:pos="5491"/>
              </w:tabs>
              <w:spacing w:before="30" w:after="30"/>
              <w:ind w:left="850" w:right="850"/>
              <w:rPr>
                <w:rFonts w:ascii="Ariel" w:hAnsi="Ariel"/>
                <w:sz w:val="24"/>
                <w:szCs w:val="24"/>
              </w:rPr>
            </w:pPr>
            <w:r w:rsidRPr="0060092F">
              <w:rPr>
                <w:rFonts w:ascii="Ariel" w:hAnsi="Ariel"/>
                <w:sz w:val="24"/>
                <w:szCs w:val="24"/>
              </w:rPr>
              <w:t>Description and details of what happened such as factors the victim considered when deciding to invest, who was involved, and why they think they were the targets.</w:t>
            </w:r>
          </w:p>
          <w:p w14:paraId="0BB08E35" w14:textId="77777777" w:rsidR="0060092F" w:rsidRPr="0060092F" w:rsidRDefault="0060092F" w:rsidP="0060092F">
            <w:pPr>
              <w:pStyle w:val="ListParagraph"/>
              <w:numPr>
                <w:ilvl w:val="0"/>
                <w:numId w:val="28"/>
              </w:numPr>
              <w:tabs>
                <w:tab w:val="left" w:pos="5491"/>
              </w:tabs>
              <w:spacing w:before="30" w:after="30"/>
              <w:ind w:left="850" w:right="850"/>
              <w:rPr>
                <w:rFonts w:ascii="Ariel" w:hAnsi="Ariel"/>
                <w:sz w:val="24"/>
                <w:szCs w:val="24"/>
              </w:rPr>
            </w:pPr>
            <w:r w:rsidRPr="0060092F">
              <w:rPr>
                <w:rFonts w:ascii="Ariel" w:hAnsi="Ariel"/>
                <w:sz w:val="24"/>
                <w:szCs w:val="24"/>
              </w:rPr>
              <w:t>Recording – Interviews should be recorded for proof of evidence of words verbally spoken and exchanged by both the investigator and witness. Interviews can be audiotaped or videotaped. Video tape is usually preferable due to the visibility of the expressions and body language of both the investigator.</w:t>
            </w:r>
          </w:p>
          <w:p w14:paraId="1974D7B0" w14:textId="77777777" w:rsidR="008A5EA4" w:rsidRPr="00DA4C1B" w:rsidRDefault="008A5EA4" w:rsidP="008A5EA4">
            <w:pPr>
              <w:pStyle w:val="NoSpacing"/>
              <w:spacing w:before="30" w:after="30"/>
              <w:ind w:left="850" w:right="850" w:hanging="426"/>
              <w:rPr>
                <w:rFonts w:ascii="Ariel" w:hAnsi="Ariel"/>
                <w:sz w:val="24"/>
                <w:szCs w:val="24"/>
              </w:rPr>
            </w:pPr>
          </w:p>
          <w:p w14:paraId="32833562" w14:textId="77777777" w:rsidR="008A5EA4" w:rsidRPr="00DA4C1B" w:rsidRDefault="008A5EA4" w:rsidP="008A5EA4">
            <w:pPr>
              <w:spacing w:before="30" w:after="30"/>
              <w:ind w:left="850" w:right="850"/>
              <w:rPr>
                <w:rFonts w:ascii="Ariel" w:hAnsi="Ariel"/>
                <w:sz w:val="24"/>
                <w:szCs w:val="24"/>
              </w:rPr>
            </w:pPr>
          </w:p>
          <w:p w14:paraId="6EA3BE26" w14:textId="77777777" w:rsidR="00CC2FB3" w:rsidRPr="005E00BC" w:rsidRDefault="00CC2FB3" w:rsidP="008A5EA4">
            <w:pPr>
              <w:spacing w:before="30" w:after="30"/>
              <w:ind w:left="850" w:right="850"/>
              <w:rPr>
                <w:rFonts w:ascii="Ariel" w:hAnsi="Ariel"/>
                <w:sz w:val="24"/>
                <w:szCs w:val="24"/>
              </w:rPr>
            </w:pPr>
          </w:p>
        </w:tc>
      </w:tr>
    </w:tbl>
    <w:p w14:paraId="3B1716A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CDD6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6A2E73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8D1F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60CF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4181E2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14:paraId="195DDD8C" w14:textId="77777777" w:rsidTr="00405895">
        <w:tc>
          <w:tcPr>
            <w:tcW w:w="2310" w:type="dxa"/>
            <w:shd w:val="clear" w:color="auto" w:fill="D9D9D9" w:themeFill="background1" w:themeFillShade="D9"/>
          </w:tcPr>
          <w:p w14:paraId="4C49F16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BE9C1D" w14:textId="77777777" w:rsidR="00405895" w:rsidRPr="00B0415E" w:rsidRDefault="00BD5B32" w:rsidP="00A851DA">
            <w:pPr>
              <w:rPr>
                <w:rFonts w:cs="Bliss-Regular"/>
                <w:color w:val="000000"/>
              </w:rPr>
            </w:pPr>
            <w:r>
              <w:rPr>
                <w:rFonts w:cs="Bliss-Regular"/>
                <w:color w:val="000000"/>
              </w:rPr>
              <w:t>Malvi Khimasia</w:t>
            </w:r>
          </w:p>
        </w:tc>
        <w:tc>
          <w:tcPr>
            <w:tcW w:w="1276" w:type="dxa"/>
            <w:shd w:val="clear" w:color="auto" w:fill="D9D9D9" w:themeFill="background1" w:themeFillShade="D9"/>
          </w:tcPr>
          <w:p w14:paraId="6A77D80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A6858B" w14:textId="28713B0D" w:rsidR="00405895" w:rsidRPr="00B0415E" w:rsidRDefault="0060092F" w:rsidP="00A851DA">
            <w:pPr>
              <w:rPr>
                <w:rFonts w:cs="Bliss-Regular"/>
                <w:color w:val="000000"/>
              </w:rPr>
            </w:pPr>
            <w:r>
              <w:rPr>
                <w:rFonts w:cs="Bliss-Regular"/>
                <w:color w:val="000000"/>
              </w:rPr>
              <w:t>30</w:t>
            </w:r>
            <w:r w:rsidR="004E29E8">
              <w:rPr>
                <w:rFonts w:cs="Bliss-Regular"/>
                <w:color w:val="000000"/>
              </w:rPr>
              <w:t>.11</w:t>
            </w:r>
            <w:r w:rsidR="008A5EA4">
              <w:rPr>
                <w:rFonts w:cs="Bliss-Regular"/>
                <w:color w:val="000000"/>
              </w:rPr>
              <w:t>.16</w:t>
            </w:r>
          </w:p>
        </w:tc>
      </w:tr>
    </w:tbl>
    <w:p w14:paraId="0F41F8B6" w14:textId="77777777" w:rsidR="00A851DA" w:rsidRPr="00B0415E" w:rsidRDefault="00A851DA" w:rsidP="00A851DA">
      <w:pPr>
        <w:rPr>
          <w:rFonts w:cs="Bliss-Regular"/>
          <w:color w:val="000000"/>
          <w:lang w:val="en-US"/>
        </w:rPr>
      </w:pPr>
    </w:p>
    <w:p w14:paraId="70EF1CD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F9651FB" w14:textId="77777777" w:rsidTr="00B0415E">
        <w:trPr>
          <w:trHeight w:val="249"/>
        </w:trPr>
        <w:tc>
          <w:tcPr>
            <w:tcW w:w="4621" w:type="dxa"/>
            <w:shd w:val="clear" w:color="auto" w:fill="D9D9D9" w:themeFill="background1" w:themeFillShade="D9"/>
          </w:tcPr>
          <w:p w14:paraId="2031F27E" w14:textId="77777777" w:rsidR="00503D7E" w:rsidRPr="00B0415E" w:rsidRDefault="00503D7E" w:rsidP="00503D7E">
            <w:pPr>
              <w:rPr>
                <w:b/>
                <w:color w:val="002060"/>
              </w:rPr>
            </w:pPr>
            <w:r w:rsidRPr="00B0415E">
              <w:rPr>
                <w:b/>
                <w:color w:val="002060"/>
              </w:rPr>
              <w:t>Total Marks</w:t>
            </w:r>
          </w:p>
        </w:tc>
        <w:tc>
          <w:tcPr>
            <w:tcW w:w="4621" w:type="dxa"/>
          </w:tcPr>
          <w:p w14:paraId="3730A0D1" w14:textId="77777777" w:rsidR="00503D7E" w:rsidRPr="00B0415E" w:rsidRDefault="00503D7E" w:rsidP="00503D7E">
            <w:pPr>
              <w:rPr>
                <w:rFonts w:cs="Times New Roman"/>
                <w:szCs w:val="32"/>
              </w:rPr>
            </w:pPr>
          </w:p>
        </w:tc>
      </w:tr>
      <w:tr w:rsidR="00503D7E" w:rsidRPr="00B0415E" w14:paraId="5397D742" w14:textId="77777777" w:rsidTr="00B0415E">
        <w:tc>
          <w:tcPr>
            <w:tcW w:w="4621" w:type="dxa"/>
            <w:shd w:val="clear" w:color="auto" w:fill="D9D9D9" w:themeFill="background1" w:themeFillShade="D9"/>
          </w:tcPr>
          <w:p w14:paraId="24D40525" w14:textId="77777777" w:rsidR="00503D7E" w:rsidRPr="00B0415E" w:rsidRDefault="00503D7E" w:rsidP="00503D7E">
            <w:pPr>
              <w:rPr>
                <w:b/>
                <w:color w:val="002060"/>
              </w:rPr>
            </w:pPr>
            <w:bookmarkStart w:id="0" w:name="_GoBack"/>
            <w:r w:rsidRPr="00B0415E">
              <w:rPr>
                <w:b/>
                <w:color w:val="002060"/>
              </w:rPr>
              <w:t>Marks Obtained</w:t>
            </w:r>
          </w:p>
        </w:tc>
        <w:tc>
          <w:tcPr>
            <w:tcW w:w="4621" w:type="dxa"/>
          </w:tcPr>
          <w:p w14:paraId="74D612B0" w14:textId="77777777" w:rsidR="00503D7E" w:rsidRPr="00B0415E" w:rsidRDefault="00503D7E" w:rsidP="00503D7E">
            <w:pPr>
              <w:rPr>
                <w:rFonts w:cs="Times New Roman"/>
                <w:szCs w:val="32"/>
              </w:rPr>
            </w:pPr>
          </w:p>
        </w:tc>
      </w:tr>
      <w:bookmarkEnd w:id="0"/>
      <w:tr w:rsidR="00503D7E" w:rsidRPr="00B0415E" w14:paraId="01E4651A" w14:textId="77777777" w:rsidTr="00B0415E">
        <w:tc>
          <w:tcPr>
            <w:tcW w:w="4621" w:type="dxa"/>
            <w:shd w:val="clear" w:color="auto" w:fill="D9D9D9" w:themeFill="background1" w:themeFillShade="D9"/>
          </w:tcPr>
          <w:p w14:paraId="0329D96B" w14:textId="77777777" w:rsidR="00503D7E" w:rsidRPr="00B0415E" w:rsidRDefault="00B0415E" w:rsidP="00503D7E">
            <w:pPr>
              <w:rPr>
                <w:b/>
                <w:color w:val="002060"/>
              </w:rPr>
            </w:pPr>
            <w:r w:rsidRPr="00B0415E">
              <w:rPr>
                <w:b/>
                <w:color w:val="002060"/>
              </w:rPr>
              <w:t>Percentage / Grade</w:t>
            </w:r>
          </w:p>
        </w:tc>
        <w:tc>
          <w:tcPr>
            <w:tcW w:w="4621" w:type="dxa"/>
          </w:tcPr>
          <w:p w14:paraId="77869A8F" w14:textId="77777777" w:rsidR="00503D7E" w:rsidRPr="00B0415E" w:rsidRDefault="00503D7E" w:rsidP="00503D7E">
            <w:pPr>
              <w:rPr>
                <w:rFonts w:cs="Times New Roman"/>
                <w:szCs w:val="32"/>
              </w:rPr>
            </w:pPr>
          </w:p>
        </w:tc>
      </w:tr>
    </w:tbl>
    <w:p w14:paraId="3207584F" w14:textId="77777777" w:rsidR="00EA30AB" w:rsidRPr="00B0415E" w:rsidRDefault="00EA30AB" w:rsidP="00503D7E">
      <w:pPr>
        <w:rPr>
          <w:rFonts w:cs="Times New Roman"/>
          <w:sz w:val="24"/>
          <w:szCs w:val="32"/>
        </w:rPr>
      </w:pPr>
    </w:p>
    <w:sectPr w:rsidR="00EA30AB" w:rsidRPr="00B0415E" w:rsidSect="000617E8">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81F46" w14:textId="77777777" w:rsidR="005F2294" w:rsidRDefault="005F2294" w:rsidP="00CB4D0A">
      <w:pPr>
        <w:spacing w:after="0" w:line="240" w:lineRule="auto"/>
      </w:pPr>
      <w:r>
        <w:separator/>
      </w:r>
    </w:p>
  </w:endnote>
  <w:endnote w:type="continuationSeparator" w:id="0">
    <w:p w14:paraId="76CC0B1A" w14:textId="77777777" w:rsidR="005F2294" w:rsidRDefault="005F22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2B5AA" w14:textId="77777777" w:rsidR="005F2294" w:rsidRDefault="005F2294" w:rsidP="00CB4D0A">
      <w:pPr>
        <w:spacing w:after="0" w:line="240" w:lineRule="auto"/>
      </w:pPr>
      <w:r>
        <w:separator/>
      </w:r>
    </w:p>
  </w:footnote>
  <w:footnote w:type="continuationSeparator" w:id="0">
    <w:p w14:paraId="0FC83611" w14:textId="77777777" w:rsidR="005F2294" w:rsidRDefault="005F22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26FC3"/>
    <w:multiLevelType w:val="hybridMultilevel"/>
    <w:tmpl w:val="98B8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30907"/>
    <w:multiLevelType w:val="hybridMultilevel"/>
    <w:tmpl w:val="E0B07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7B1118"/>
    <w:multiLevelType w:val="hybridMultilevel"/>
    <w:tmpl w:val="E08E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B5F86"/>
    <w:multiLevelType w:val="hybridMultilevel"/>
    <w:tmpl w:val="C5E6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F025B1"/>
    <w:multiLevelType w:val="hybridMultilevel"/>
    <w:tmpl w:val="6B34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210AFE"/>
    <w:multiLevelType w:val="hybridMultilevel"/>
    <w:tmpl w:val="E8A0E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43354F9"/>
    <w:multiLevelType w:val="hybridMultilevel"/>
    <w:tmpl w:val="2B6A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637667"/>
    <w:multiLevelType w:val="hybridMultilevel"/>
    <w:tmpl w:val="5508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C932F6"/>
    <w:multiLevelType w:val="hybridMultilevel"/>
    <w:tmpl w:val="6C0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425060"/>
    <w:multiLevelType w:val="hybridMultilevel"/>
    <w:tmpl w:val="5B788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C3056D"/>
    <w:multiLevelType w:val="hybridMultilevel"/>
    <w:tmpl w:val="98B6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75B05"/>
    <w:multiLevelType w:val="hybridMultilevel"/>
    <w:tmpl w:val="4E56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D6679E"/>
    <w:multiLevelType w:val="hybridMultilevel"/>
    <w:tmpl w:val="BB62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72715F"/>
    <w:multiLevelType w:val="hybridMultilevel"/>
    <w:tmpl w:val="4DC4E90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4AD87826"/>
    <w:multiLevelType w:val="hybridMultilevel"/>
    <w:tmpl w:val="5350A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2056B5"/>
    <w:multiLevelType w:val="hybridMultilevel"/>
    <w:tmpl w:val="3CBA0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967ED5"/>
    <w:multiLevelType w:val="hybridMultilevel"/>
    <w:tmpl w:val="27B6C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CB52B2"/>
    <w:multiLevelType w:val="hybridMultilevel"/>
    <w:tmpl w:val="56E4F8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55183219"/>
    <w:multiLevelType w:val="hybridMultilevel"/>
    <w:tmpl w:val="37729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8856AA"/>
    <w:multiLevelType w:val="hybridMultilevel"/>
    <w:tmpl w:val="EE82B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6E4B7A"/>
    <w:multiLevelType w:val="hybridMultilevel"/>
    <w:tmpl w:val="9A3A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EE6654"/>
    <w:multiLevelType w:val="hybridMultilevel"/>
    <w:tmpl w:val="C0669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747A2F"/>
    <w:multiLevelType w:val="hybridMultilevel"/>
    <w:tmpl w:val="7B88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521D6"/>
    <w:multiLevelType w:val="hybridMultilevel"/>
    <w:tmpl w:val="6488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2C673A"/>
    <w:multiLevelType w:val="hybridMultilevel"/>
    <w:tmpl w:val="D88AD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A56B42"/>
    <w:multiLevelType w:val="hybridMultilevel"/>
    <w:tmpl w:val="0EE6F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037D0B"/>
    <w:multiLevelType w:val="hybridMultilevel"/>
    <w:tmpl w:val="DF2A0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4"/>
  </w:num>
  <w:num w:numId="3">
    <w:abstractNumId w:val="7"/>
  </w:num>
  <w:num w:numId="4">
    <w:abstractNumId w:val="27"/>
  </w:num>
  <w:num w:numId="5">
    <w:abstractNumId w:val="8"/>
  </w:num>
  <w:num w:numId="6">
    <w:abstractNumId w:val="10"/>
  </w:num>
  <w:num w:numId="7">
    <w:abstractNumId w:val="18"/>
  </w:num>
  <w:num w:numId="8">
    <w:abstractNumId w:val="19"/>
  </w:num>
  <w:num w:numId="9">
    <w:abstractNumId w:val="23"/>
  </w:num>
  <w:num w:numId="10">
    <w:abstractNumId w:val="0"/>
  </w:num>
  <w:num w:numId="11">
    <w:abstractNumId w:val="6"/>
  </w:num>
  <w:num w:numId="12">
    <w:abstractNumId w:val="4"/>
  </w:num>
  <w:num w:numId="13">
    <w:abstractNumId w:val="11"/>
  </w:num>
  <w:num w:numId="14">
    <w:abstractNumId w:val="25"/>
  </w:num>
  <w:num w:numId="15">
    <w:abstractNumId w:val="9"/>
  </w:num>
  <w:num w:numId="16">
    <w:abstractNumId w:val="21"/>
  </w:num>
  <w:num w:numId="17">
    <w:abstractNumId w:val="2"/>
  </w:num>
  <w:num w:numId="18">
    <w:abstractNumId w:val="5"/>
  </w:num>
  <w:num w:numId="19">
    <w:abstractNumId w:val="12"/>
  </w:num>
  <w:num w:numId="20">
    <w:abstractNumId w:val="22"/>
  </w:num>
  <w:num w:numId="21">
    <w:abstractNumId w:val="20"/>
  </w:num>
  <w:num w:numId="22">
    <w:abstractNumId w:val="13"/>
  </w:num>
  <w:num w:numId="23">
    <w:abstractNumId w:val="14"/>
  </w:num>
  <w:num w:numId="24">
    <w:abstractNumId w:val="1"/>
  </w:num>
  <w:num w:numId="25">
    <w:abstractNumId w:val="15"/>
  </w:num>
  <w:num w:numId="26">
    <w:abstractNumId w:val="16"/>
  </w:num>
  <w:num w:numId="27">
    <w:abstractNumId w:val="26"/>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833"/>
    <w:rsid w:val="00021F8E"/>
    <w:rsid w:val="00035CDD"/>
    <w:rsid w:val="00040083"/>
    <w:rsid w:val="00055992"/>
    <w:rsid w:val="000617E8"/>
    <w:rsid w:val="000820E8"/>
    <w:rsid w:val="000E2DF2"/>
    <w:rsid w:val="001175EE"/>
    <w:rsid w:val="001337D8"/>
    <w:rsid w:val="00157CF6"/>
    <w:rsid w:val="00182416"/>
    <w:rsid w:val="00187EB4"/>
    <w:rsid w:val="001F0481"/>
    <w:rsid w:val="00200C92"/>
    <w:rsid w:val="0020451E"/>
    <w:rsid w:val="00206B9D"/>
    <w:rsid w:val="0023259C"/>
    <w:rsid w:val="002B0BD7"/>
    <w:rsid w:val="002B5508"/>
    <w:rsid w:val="002B573D"/>
    <w:rsid w:val="002C5CB2"/>
    <w:rsid w:val="002F779F"/>
    <w:rsid w:val="00371885"/>
    <w:rsid w:val="003E2B87"/>
    <w:rsid w:val="00402786"/>
    <w:rsid w:val="00405895"/>
    <w:rsid w:val="004058DF"/>
    <w:rsid w:val="00443E6F"/>
    <w:rsid w:val="00486F1A"/>
    <w:rsid w:val="00490CB9"/>
    <w:rsid w:val="004A2CE2"/>
    <w:rsid w:val="004B346B"/>
    <w:rsid w:val="004E29E8"/>
    <w:rsid w:val="004E3CDA"/>
    <w:rsid w:val="004F4B4D"/>
    <w:rsid w:val="0050216D"/>
    <w:rsid w:val="00503D7E"/>
    <w:rsid w:val="0050778F"/>
    <w:rsid w:val="00527C11"/>
    <w:rsid w:val="00535F31"/>
    <w:rsid w:val="00574D64"/>
    <w:rsid w:val="00591365"/>
    <w:rsid w:val="005B31E4"/>
    <w:rsid w:val="005D2421"/>
    <w:rsid w:val="005E00BC"/>
    <w:rsid w:val="005F2294"/>
    <w:rsid w:val="0060092F"/>
    <w:rsid w:val="006034F6"/>
    <w:rsid w:val="00607874"/>
    <w:rsid w:val="00607E77"/>
    <w:rsid w:val="00617BB3"/>
    <w:rsid w:val="00645CDD"/>
    <w:rsid w:val="006823A7"/>
    <w:rsid w:val="00687EE8"/>
    <w:rsid w:val="0070347F"/>
    <w:rsid w:val="0070678E"/>
    <w:rsid w:val="007C6CD4"/>
    <w:rsid w:val="007D450C"/>
    <w:rsid w:val="007E1F9C"/>
    <w:rsid w:val="00831C11"/>
    <w:rsid w:val="008A5EA4"/>
    <w:rsid w:val="008A60B4"/>
    <w:rsid w:val="008B3C31"/>
    <w:rsid w:val="008B64FE"/>
    <w:rsid w:val="00935BF7"/>
    <w:rsid w:val="00946887"/>
    <w:rsid w:val="0095442C"/>
    <w:rsid w:val="00983942"/>
    <w:rsid w:val="009C37E0"/>
    <w:rsid w:val="009E41F4"/>
    <w:rsid w:val="00A14B66"/>
    <w:rsid w:val="00A65CF7"/>
    <w:rsid w:val="00A81AB4"/>
    <w:rsid w:val="00A851DA"/>
    <w:rsid w:val="00AC7D5B"/>
    <w:rsid w:val="00AD7DD2"/>
    <w:rsid w:val="00AE1481"/>
    <w:rsid w:val="00B0415E"/>
    <w:rsid w:val="00B04678"/>
    <w:rsid w:val="00BA67F9"/>
    <w:rsid w:val="00BC46DF"/>
    <w:rsid w:val="00BD5B32"/>
    <w:rsid w:val="00C03577"/>
    <w:rsid w:val="00C21836"/>
    <w:rsid w:val="00C53029"/>
    <w:rsid w:val="00C65FEA"/>
    <w:rsid w:val="00CA0AC2"/>
    <w:rsid w:val="00CA31F3"/>
    <w:rsid w:val="00CB4D0A"/>
    <w:rsid w:val="00CC2FB3"/>
    <w:rsid w:val="00CC575A"/>
    <w:rsid w:val="00CF123B"/>
    <w:rsid w:val="00D039AC"/>
    <w:rsid w:val="00D35BBC"/>
    <w:rsid w:val="00D427DE"/>
    <w:rsid w:val="00D5587D"/>
    <w:rsid w:val="00D707CC"/>
    <w:rsid w:val="00D821FE"/>
    <w:rsid w:val="00DB0793"/>
    <w:rsid w:val="00DB4060"/>
    <w:rsid w:val="00E00821"/>
    <w:rsid w:val="00E04DB4"/>
    <w:rsid w:val="00E30679"/>
    <w:rsid w:val="00E4597D"/>
    <w:rsid w:val="00E54832"/>
    <w:rsid w:val="00E56A90"/>
    <w:rsid w:val="00E641CC"/>
    <w:rsid w:val="00EA30AB"/>
    <w:rsid w:val="00EB3925"/>
    <w:rsid w:val="00EF1310"/>
    <w:rsid w:val="00F337C0"/>
    <w:rsid w:val="00F76A29"/>
    <w:rsid w:val="00F96EB3"/>
    <w:rsid w:val="00FC253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8BC32"/>
  <w15:docId w15:val="{2CAE2886-3E08-4865-BCBE-415622C5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5EA4"/>
    <w:pPr>
      <w:spacing w:after="0" w:line="240" w:lineRule="auto"/>
    </w:pPr>
  </w:style>
  <w:style w:type="character" w:styleId="CommentReference">
    <w:name w:val="annotation reference"/>
    <w:basedOn w:val="DefaultParagraphFont"/>
    <w:uiPriority w:val="99"/>
    <w:semiHidden/>
    <w:unhideWhenUsed/>
    <w:rsid w:val="004E29E8"/>
    <w:rPr>
      <w:sz w:val="16"/>
      <w:szCs w:val="16"/>
    </w:rPr>
  </w:style>
  <w:style w:type="paragraph" w:styleId="CommentText">
    <w:name w:val="annotation text"/>
    <w:basedOn w:val="Normal"/>
    <w:link w:val="CommentTextChar"/>
    <w:uiPriority w:val="99"/>
    <w:semiHidden/>
    <w:unhideWhenUsed/>
    <w:rsid w:val="004E29E8"/>
    <w:pPr>
      <w:spacing w:line="240" w:lineRule="auto"/>
    </w:pPr>
    <w:rPr>
      <w:sz w:val="20"/>
      <w:szCs w:val="20"/>
    </w:rPr>
  </w:style>
  <w:style w:type="character" w:customStyle="1" w:styleId="CommentTextChar">
    <w:name w:val="Comment Text Char"/>
    <w:basedOn w:val="DefaultParagraphFont"/>
    <w:link w:val="CommentText"/>
    <w:uiPriority w:val="99"/>
    <w:semiHidden/>
    <w:rsid w:val="004E29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77908-51AE-48B6-9543-232B793FC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4</cp:revision>
  <cp:lastPrinted>2016-11-15T14:00:00Z</cp:lastPrinted>
  <dcterms:created xsi:type="dcterms:W3CDTF">2016-11-30T06:33:00Z</dcterms:created>
  <dcterms:modified xsi:type="dcterms:W3CDTF">2016-11-30T06:36:00Z</dcterms:modified>
</cp:coreProperties>
</file>