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4100"/>
        <w:rPr>
          <w:rFonts w:asciiTheme="minorHAnsi" w:hAnsiTheme="minorHAnsi"/>
        </w:rPr>
      </w:pPr>
      <w:r>
        <w:rPr>
          <w:rFonts w:asciiTheme="minorHAnsi" w:hAnsiTheme="minorHAnsi"/>
          <w:noProof/>
        </w:rPr>
        <w:drawing>
          <wp:anchor distT="0" distB="0" distL="0" distR="0" simplePos="false" relativeHeight="2" behindDoc="false" locked="false" layoutInCell="true" allowOverlap="true">
            <wp:simplePos x="0" y="0"/>
            <wp:positionH relativeFrom="column">
              <wp:posOffset>-342900</wp:posOffset>
            </wp:positionH>
            <wp:positionV relativeFrom="paragraph">
              <wp:posOffset>-295275</wp:posOffset>
            </wp:positionV>
            <wp:extent cx="2809875" cy="1419225"/>
            <wp:effectExtent l="0" t="0" r="0" b="0"/>
            <wp:wrapNone/>
            <wp:docPr id="1026" name="Image1" descr="BOLC_Logo"/>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true">
                    <a:blip r:embed="rId2" cstate="print">
                      <a:extLst>
                        <a:ext uri="{28A0092B-C50C-407E-A947-70E740481C1C}">
                          <a14:useLocalDpi xmlns:a14="http://schemas.microsoft.com/office/drawing/2010/main" val="0"/>
                        </a:ext>
                      </a:extLst>
                    </a:blip>
                    <a:srcRect l="20320" t="20000" r="23669" b="32001"/>
                    <a:stretch>
                      <a:fillRect/>
                    </a:stretch>
                  </pic:blipFill>
                  <pic:spPr>
                    <a:xfrm>
                      <a:off x="0" y="0"/>
                      <a:ext cx="2809875" cy="1419225"/>
                    </a:xfrm>
                    <a:prstGeom prst="rect">
                      <a:avLst/>
                    </a:prstGeom>
                  </pic:spPr>
                </pic:pic>
              </a:graphicData>
            </a:graphic>
          </wp:anchor>
        </w:drawing>
      </w:r>
      <w:r>
        <w:rPr>
          <w:rFonts w:asciiTheme="minorHAnsi" w:hAnsiTheme="minorHAnsi"/>
        </w:rPr>
        <w:t xml:space="preserve">                                                                  </w:t>
      </w:r>
    </w:p>
    <w:p>
      <w:pPr>
        <w:pStyle w:val="style0"/>
        <w:rPr>
          <w:lang w:val="en-US"/>
        </w:rPr>
      </w:pPr>
      <w:r>
        <w:rPr>
          <w:noProof/>
          <w:lang w:val="en-US" w:eastAsia="zh-TW"/>
        </w:rPr>
        <w:pict>
          <v:shapetype id="_x0000_t202" coordsize="21600,21600" o:spt="202" path="m,l,21600r21600,l21600,xe">
            <v:stroke joinstyle="miter"/>
            <v:path gradientshapeok="t" o:connecttype="rect"/>
          </v:shapetype>
          <v:shape id="1028" type="#_x0000_t202" fillcolor="white" stroked="f" style="position:absolute;margin-left:227.55pt;margin-top:7.85pt;width:245.2pt;height:36.75pt;z-index:3;mso-position-horizontal-relative:text;mso-position-vertical-relative:text;mso-width-relative:margin;mso-height-relative:margin;mso-wrap-distance-left:0.0pt;mso-wrap-distance-right:0.0pt;visibility:visible;">
            <v:stroke on="f" joinstyle="miter"/>
            <v:fill/>
            <v:path o:connecttype="rect" gradientshapeok="t"/>
            <v:textbox>
              <w:txbxContent>
                <w:p>
                  <w:pPr>
                    <w:pStyle w:val="style0"/>
                    <w:jc w:val="center"/>
                    <w:rPr>
                      <w:b/>
                      <w:bCs/>
                      <w:color w:val="002060"/>
                      <w:sz w:val="44"/>
                      <w:szCs w:val="40"/>
                    </w:rPr>
                  </w:pPr>
                  <w:r>
                    <w:rPr>
                      <w:sz w:val="24"/>
                    </w:rPr>
                    <w:t xml:space="preserve">   </w:t>
                  </w:r>
                  <w:r>
                    <w:rPr>
                      <w:b/>
                      <w:bCs/>
                      <w:color w:val="002060"/>
                      <w:sz w:val="44"/>
                      <w:szCs w:val="40"/>
                    </w:rPr>
                    <w:t>Assignment Cover Sheet</w:t>
                  </w:r>
                </w:p>
                <w:p>
                  <w:pPr>
                    <w:pStyle w:val="style0"/>
                    <w:rPr/>
                  </w:pPr>
                </w:p>
              </w:txbxContent>
            </v:textbox>
          </v:shape>
        </w:pict>
      </w:r>
    </w:p>
    <w:p>
      <w:pPr>
        <w:pStyle w:val="style0"/>
        <w:rPr>
          <w:lang w:val="en-US"/>
        </w:rPr>
      </w:pPr>
    </w:p>
    <w:p>
      <w:pPr>
        <w:pStyle w:val="style0"/>
        <w:rPr>
          <w:lang w:val="en-US"/>
        </w:rPr>
      </w:pPr>
    </w:p>
    <w:p>
      <w:pPr>
        <w:pStyle w:val="style0"/>
        <w:rPr>
          <w:lang w:val="en-US"/>
        </w:rPr>
      </w:pPr>
    </w:p>
    <w:tbl>
      <w:tblPr>
        <w:tblStyle w:val="style154"/>
        <w:tblW w:w="0" w:type="auto"/>
        <w:tblLook w:val="04A0" w:firstRow="1" w:lastRow="0" w:firstColumn="1" w:lastColumn="0" w:noHBand="0" w:noVBand="1"/>
      </w:tblPr>
      <w:tblGrid>
        <w:gridCol w:w="2566"/>
        <w:gridCol w:w="6676"/>
      </w:tblGrid>
      <w:tr>
        <w:trPr/>
        <w:tc>
          <w:tcPr>
            <w:tcW w:w="2566" w:type="dxa"/>
            <w:tcBorders>
              <w:top w:val="single" w:sz="4" w:space="0" w:color="auto"/>
              <w:left w:val="single" w:sz="4" w:space="0" w:color="auto"/>
              <w:bottom w:val="single" w:sz="4" w:space="0" w:color="auto"/>
              <w:right w:val="single" w:sz="4" w:space="0" w:color="auto"/>
            </w:tcBorders>
            <w:shd w:val="clear" w:color="auto" w:fill="d9d9d9"/>
            <w:tcFitText w:val="false"/>
            <w:hideMark/>
          </w:tcPr>
          <w:p>
            <w:pPr>
              <w:pStyle w:val="style0"/>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FitText w:val="false"/>
            <w:hideMark/>
          </w:tcPr>
          <w:p>
            <w:pPr>
              <w:pStyle w:val="style4100"/>
              <w:rPr>
                <w:rFonts w:asciiTheme="minorHAnsi" w:hAnsiTheme="minorHAnsi"/>
              </w:rPr>
            </w:pPr>
            <w:r>
              <w:rPr>
                <w:rFonts w:asciiTheme="minorHAnsi" w:hAnsiTheme="minorHAnsi"/>
              </w:rPr>
              <w:t>Effah Eugene Tannor</w:t>
            </w:r>
          </w:p>
        </w:tc>
      </w:tr>
      <w:tr>
        <w:tblPrEx/>
        <w:trPr/>
        <w:tc>
          <w:tcPr>
            <w:tcW w:w="2566" w:type="dxa"/>
            <w:tcBorders>
              <w:top w:val="single" w:sz="4" w:space="0" w:color="auto"/>
              <w:left w:val="single" w:sz="4" w:space="0" w:color="auto"/>
              <w:bottom w:val="single" w:sz="4" w:space="0" w:color="auto"/>
              <w:right w:val="single" w:sz="4" w:space="0" w:color="auto"/>
            </w:tcBorders>
            <w:shd w:val="clear" w:color="auto" w:fill="d9d9d9"/>
            <w:tcFitText w:val="false"/>
            <w:hideMark/>
          </w:tcPr>
          <w:p>
            <w:pPr>
              <w:pStyle w:val="style0"/>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FitText w:val="false"/>
          </w:tcPr>
          <w:p>
            <w:pPr>
              <w:pStyle w:val="style4100"/>
              <w:rPr>
                <w:rFonts w:asciiTheme="minorHAnsi" w:hAnsiTheme="minorHAnsi"/>
              </w:rPr>
            </w:pPr>
            <w:r>
              <w:rPr>
                <w:rFonts w:asciiTheme="minorHAnsi" w:hAnsiTheme="minorHAnsi"/>
              </w:rPr>
              <w:t>2312</w:t>
            </w:r>
          </w:p>
        </w:tc>
      </w:tr>
      <w:tr>
        <w:tblPrEx/>
        <w:trPr/>
        <w:tc>
          <w:tcPr>
            <w:tcW w:w="2566" w:type="dxa"/>
            <w:tcBorders>
              <w:top w:val="single" w:sz="4" w:space="0" w:color="auto"/>
              <w:left w:val="single" w:sz="4" w:space="0" w:color="auto"/>
              <w:bottom w:val="single" w:sz="4" w:space="0" w:color="auto"/>
              <w:right w:val="single" w:sz="4" w:space="0" w:color="auto"/>
            </w:tcBorders>
            <w:shd w:val="clear" w:color="auto" w:fill="d9d9d9"/>
            <w:tcFitText w:val="false"/>
            <w:hideMark/>
          </w:tcPr>
          <w:p>
            <w:pPr>
              <w:pStyle w:val="style0"/>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tcFitText w:val="false"/>
            <w:hideMark/>
          </w:tcPr>
          <w:p>
            <w:pPr>
              <w:pStyle w:val="style4100"/>
              <w:rPr>
                <w:rFonts w:asciiTheme="minorHAnsi" w:hAnsiTheme="minorHAnsi"/>
              </w:rPr>
            </w:pPr>
            <w:r>
              <w:rPr>
                <w:rFonts w:asciiTheme="minorHAnsi" w:hAnsiTheme="minorHAnsi"/>
              </w:rPr>
              <w:t>Diploma in Forensic Accounting (Level 4)</w:t>
            </w:r>
          </w:p>
        </w:tc>
      </w:tr>
      <w:tr>
        <w:tblPrEx/>
        <w:trPr/>
        <w:tc>
          <w:tcPr>
            <w:tcW w:w="2566" w:type="dxa"/>
            <w:tcBorders>
              <w:top w:val="single" w:sz="4" w:space="0" w:color="auto"/>
              <w:left w:val="single" w:sz="4" w:space="0" w:color="auto"/>
              <w:bottom w:val="single" w:sz="4" w:space="0" w:color="auto"/>
              <w:right w:val="single" w:sz="4" w:space="0" w:color="auto"/>
            </w:tcBorders>
            <w:shd w:val="clear" w:color="auto" w:fill="d9d9d9"/>
            <w:tcFitText w:val="false"/>
            <w:hideMark/>
          </w:tcPr>
          <w:p>
            <w:pPr>
              <w:pStyle w:val="style0"/>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FitText w:val="false"/>
            <w:hideMark/>
          </w:tcPr>
          <w:p>
            <w:pPr>
              <w:pStyle w:val="style0"/>
              <w:rPr/>
            </w:pPr>
            <w:r>
              <w:t>One</w:t>
            </w:r>
          </w:p>
        </w:tc>
      </w:tr>
    </w:tbl>
    <w:p>
      <w:pPr>
        <w:pStyle w:val="style0"/>
        <w:rPr>
          <w:b/>
          <w:lang w:val="en-US"/>
        </w:rPr>
      </w:pPr>
    </w:p>
    <w:p>
      <w:pPr>
        <w:pStyle w:val="style0"/>
        <w:rPr>
          <w:b/>
          <w:sz w:val="28"/>
          <w:lang w:val="en-US"/>
        </w:rPr>
      </w:pPr>
      <w:r>
        <w:rPr>
          <w:b/>
          <w:sz w:val="28"/>
          <w:lang w:val="en-US"/>
        </w:rPr>
        <w:t>Marking Criteria:</w:t>
      </w:r>
    </w:p>
    <w:p>
      <w:pPr>
        <w:pStyle w:val="style0"/>
        <w:rPr>
          <w:lang w:val="en-US"/>
        </w:rPr>
      </w:pPr>
      <w:r>
        <w:rPr>
          <w:b/>
          <w:lang w:val="en-US"/>
        </w:rPr>
        <w:t xml:space="preserve"> </w:t>
      </w:r>
      <w:r>
        <w:rPr>
          <w:lang w:val="en-US"/>
        </w:rPr>
        <w:t xml:space="preserve">We </w:t>
      </w:r>
      <w:r>
        <w:rPr>
          <w:lang w:val="en-US"/>
        </w:rPr>
        <w:t>expect the learners to write minimum one well expressed point in three lines against each allocated mark. This means one needs to write 15 lines with 5 well expressed points to get high grades for a 5 marks question.</w:t>
      </w:r>
    </w:p>
    <w:p>
      <w:pPr>
        <w:pStyle w:val="style0"/>
        <w:rPr>
          <w:lang w:val="en-US"/>
        </w:rPr>
      </w:pPr>
      <w:r>
        <w:rPr>
          <w:lang w:val="en-US"/>
        </w:rPr>
        <w:t>For high grades use examples and illust</w:t>
      </w:r>
      <w:r>
        <w:rPr>
          <w:lang w:val="en-US"/>
        </w:rPr>
        <w:t xml:space="preserve">rations where appropriate. </w:t>
      </w:r>
    </w:p>
    <w:tbl>
      <w:tblPr>
        <w:tblStyle w:val="style154"/>
        <w:tblW w:w="0" w:type="auto"/>
        <w:tblLook w:val="04A0" w:firstRow="1" w:lastRow="0" w:firstColumn="1" w:lastColumn="0" w:noHBand="0" w:noVBand="1"/>
      </w:tblPr>
      <w:tblGrid>
        <w:gridCol w:w="9242"/>
      </w:tblGrid>
      <w:tr>
        <w:trPr/>
        <w:tc>
          <w:tcPr>
            <w:tcW w:w="9242" w:type="dxa"/>
            <w:tcBorders/>
            <w:tcFitText w:val="false"/>
          </w:tcPr>
          <w:p>
            <w:pPr>
              <w:pStyle w:val="style0"/>
              <w:rPr>
                <w:rFonts w:ascii="Arial" w:cs="Arial" w:hAnsi="Arial"/>
                <w:sz w:val="24"/>
                <w:szCs w:val="24"/>
              </w:rPr>
            </w:pPr>
          </w:p>
          <w:p>
            <w:pPr>
              <w:pStyle w:val="style0"/>
              <w:jc w:val="center"/>
              <w:rPr>
                <w:rFonts w:ascii="Times New Roman" w:cs="Times New Roman" w:hAnsi="Times New Roman"/>
                <w:b/>
                <w:sz w:val="20"/>
                <w:szCs w:val="20"/>
              </w:rPr>
            </w:pPr>
            <w:r>
              <w:rPr>
                <w:rFonts w:ascii="Times New Roman" w:cs="Times New Roman" w:hAnsi="Times New Roman"/>
                <w:b/>
                <w:sz w:val="20"/>
                <w:szCs w:val="20"/>
              </w:rPr>
              <w:t xml:space="preserve"> </w:t>
            </w:r>
            <w:r>
              <w:rPr>
                <w:rFonts w:ascii="Times New Roman" w:cs="Times New Roman" w:hAnsi="Times New Roman"/>
                <w:b/>
                <w:sz w:val="20"/>
                <w:szCs w:val="20"/>
              </w:rPr>
              <w:t>ASSIGNMENT ONE</w:t>
            </w:r>
          </w:p>
          <w:p>
            <w:pPr>
              <w:pStyle w:val="style0"/>
              <w:numPr>
                <w:ilvl w:val="0"/>
                <w:numId w:val="1"/>
              </w:numPr>
              <w:jc w:val="both"/>
              <w:contextualSpacing/>
              <w:rPr>
                <w:rFonts w:ascii="Times New Roman" w:cs="Times New Roman" w:hAnsi="Times New Roman"/>
                <w:sz w:val="20"/>
                <w:szCs w:val="20"/>
              </w:rPr>
            </w:pPr>
            <w:r>
              <w:rPr>
                <w:rFonts w:ascii="Times New Roman" w:cs="Times New Roman" w:hAnsi="Times New Roman"/>
                <w:sz w:val="20"/>
                <w:szCs w:val="20"/>
              </w:rPr>
              <w:t>Fraud can be defined as an act of using deception schemes, intentional concealment, forgery, falsification of data and lying, omission or perversion of truth to gain unlawful advantage.</w:t>
            </w:r>
          </w:p>
          <w:p>
            <w:pPr>
              <w:pStyle w:val="style0"/>
              <w:jc w:val="both"/>
              <w:rPr>
                <w:rFonts w:ascii="Times New Roman" w:cs="Times New Roman" w:hAnsi="Times New Roman"/>
                <w:sz w:val="20"/>
                <w:szCs w:val="20"/>
              </w:rPr>
            </w:pPr>
            <w:r>
              <w:rPr>
                <w:rFonts w:ascii="Times New Roman" w:cs="Times New Roman" w:hAnsi="Times New Roman"/>
                <w:sz w:val="20"/>
                <w:szCs w:val="20"/>
              </w:rPr>
              <w:t xml:space="preserve">                  Fraud can be categorized into three main types and it includes the following;</w:t>
            </w:r>
          </w:p>
          <w:p>
            <w:pPr>
              <w:pStyle w:val="style0"/>
              <w:numPr>
                <w:ilvl w:val="0"/>
                <w:numId w:val="3"/>
              </w:numPr>
              <w:jc w:val="both"/>
              <w:contextualSpacing/>
              <w:rPr>
                <w:rFonts w:ascii="Times New Roman" w:cs="Times New Roman" w:hAnsi="Times New Roman"/>
                <w:sz w:val="20"/>
                <w:szCs w:val="20"/>
              </w:rPr>
            </w:pPr>
            <w:r>
              <w:rPr>
                <w:rFonts w:ascii="Times New Roman" w:cs="Times New Roman" w:hAnsi="Times New Roman"/>
                <w:b/>
                <w:sz w:val="20"/>
                <w:szCs w:val="20"/>
              </w:rPr>
              <w:t>INTERNAL OR OCCUPATIONAL FRAUD</w:t>
            </w:r>
            <w:r>
              <w:rPr>
                <w:rFonts w:ascii="Times New Roman" w:cs="Times New Roman" w:hAnsi="Times New Roman"/>
                <w:sz w:val="20"/>
                <w:szCs w:val="20"/>
              </w:rPr>
              <w:t xml:space="preserve">: This is defined to include “the use of one’s occupation for personal enrichment through the deliberate misuse or misapplication of the employing entity’s resources or assets.” – Association of Certified Fraud Examiners.  Occupational fraud can also be grouped under the following: </w:t>
            </w:r>
          </w:p>
          <w:p>
            <w:pPr>
              <w:pStyle w:val="style0"/>
              <w:numPr>
                <w:ilvl w:val="0"/>
                <w:numId w:val="4"/>
              </w:numPr>
              <w:jc w:val="both"/>
              <w:contextualSpacing/>
              <w:rPr>
                <w:rFonts w:ascii="Times New Roman" w:cs="Times New Roman" w:hAnsi="Times New Roman"/>
                <w:sz w:val="20"/>
                <w:szCs w:val="20"/>
              </w:rPr>
            </w:pPr>
            <w:r>
              <w:rPr>
                <w:rFonts w:ascii="Times New Roman" w:cs="Times New Roman" w:hAnsi="Times New Roman"/>
                <w:b/>
                <w:sz w:val="20"/>
                <w:szCs w:val="20"/>
              </w:rPr>
              <w:t>Corruption:</w:t>
            </w:r>
            <w:r>
              <w:rPr>
                <w:rFonts w:ascii="Times New Roman" w:cs="Times New Roman" w:hAnsi="Times New Roman"/>
                <w:sz w:val="20"/>
                <w:szCs w:val="20"/>
              </w:rPr>
              <w:t xml:space="preserve"> This is defined to include bribery, as offering money or other valuable gifts to influence the decision of other in one’s favor; Conflict of Interest, it occurs when one exerts an influence to achieve undisclosed personal benefits, which essentially may not be of a monetary nature and the consequences will eventually affect the employing entity.  Extortion:  the demand of money as opposed to offering it as a bribe in order to achieve a desired outcome.</w:t>
            </w:r>
          </w:p>
          <w:p>
            <w:pPr>
              <w:pStyle w:val="style0"/>
              <w:numPr>
                <w:ilvl w:val="0"/>
                <w:numId w:val="4"/>
              </w:numPr>
              <w:jc w:val="both"/>
              <w:contextualSpacing/>
              <w:rPr>
                <w:rFonts w:ascii="Times New Roman" w:cs="Times New Roman" w:hAnsi="Times New Roman"/>
                <w:sz w:val="20"/>
                <w:szCs w:val="20"/>
              </w:rPr>
            </w:pPr>
            <w:r>
              <w:rPr>
                <w:rFonts w:ascii="Times New Roman" w:cs="Times New Roman" w:hAnsi="Times New Roman"/>
                <w:b/>
                <w:sz w:val="20"/>
                <w:szCs w:val="20"/>
              </w:rPr>
              <w:t>Asset Misappropriation:</w:t>
            </w:r>
            <w:r>
              <w:rPr>
                <w:rFonts w:ascii="Times New Roman" w:cs="Times New Roman" w:hAnsi="Times New Roman"/>
                <w:sz w:val="20"/>
                <w:szCs w:val="20"/>
              </w:rPr>
              <w:t xml:space="preserve"> This is the misuse of an employing entity’s assets or resources by employees to their advantage. Examples include cash theft, inventory misappropriation and inventory theft.</w:t>
            </w:r>
          </w:p>
          <w:p>
            <w:pPr>
              <w:pStyle w:val="style0"/>
              <w:numPr>
                <w:ilvl w:val="0"/>
                <w:numId w:val="4"/>
              </w:numPr>
              <w:jc w:val="both"/>
              <w:contextualSpacing/>
              <w:rPr>
                <w:rFonts w:ascii="Times New Roman" w:cs="Times New Roman" w:hAnsi="Times New Roman"/>
                <w:sz w:val="20"/>
                <w:szCs w:val="20"/>
              </w:rPr>
            </w:pPr>
            <w:r>
              <w:rPr>
                <w:rFonts w:ascii="Times New Roman" w:cs="Times New Roman" w:hAnsi="Times New Roman"/>
                <w:b/>
                <w:sz w:val="20"/>
                <w:szCs w:val="20"/>
              </w:rPr>
              <w:t>Financial Statement Fraud</w:t>
            </w:r>
            <w:r>
              <w:rPr>
                <w:rFonts w:ascii="Times New Roman" w:cs="Times New Roman" w:hAnsi="Times New Roman"/>
                <w:sz w:val="20"/>
                <w:szCs w:val="20"/>
              </w:rPr>
              <w:t>: This is the fraudulent corporate reporting of an entity’s finances that results in material misstatements. It includes falsification of accounting records, omission of financial transactions, inadequate disclosures that have material effect on the financial statements and or the misapplication of financial reporting standards.</w:t>
            </w:r>
          </w:p>
          <w:p>
            <w:pPr>
              <w:pStyle w:val="style0"/>
              <w:numPr>
                <w:ilvl w:val="0"/>
                <w:numId w:val="3"/>
              </w:numPr>
              <w:jc w:val="both"/>
              <w:contextualSpacing/>
              <w:rPr>
                <w:rFonts w:ascii="Times New Roman" w:cs="Times New Roman" w:hAnsi="Times New Roman"/>
                <w:sz w:val="20"/>
                <w:szCs w:val="20"/>
              </w:rPr>
            </w:pPr>
            <w:r>
              <w:rPr>
                <w:rFonts w:ascii="Times New Roman" w:cs="Times New Roman" w:hAnsi="Times New Roman"/>
                <w:b/>
                <w:sz w:val="20"/>
                <w:szCs w:val="20"/>
              </w:rPr>
              <w:t>EXTERNAL FRAUD</w:t>
            </w:r>
            <w:r>
              <w:rPr>
                <w:rFonts w:ascii="Times New Roman" w:cs="Times New Roman" w:hAnsi="Times New Roman"/>
                <w:sz w:val="20"/>
                <w:szCs w:val="20"/>
              </w:rPr>
              <w:t>: This is an act of using deception schemes, forgery or falsification of data and lying by entity’s third parties to gain unlawful advantage over the entity. Examples include proprietary information theft, loan fraud or a dishonest customer submitting a falsified account to a company for payment.</w:t>
            </w:r>
          </w:p>
          <w:p>
            <w:pPr>
              <w:pStyle w:val="style0"/>
              <w:numPr>
                <w:ilvl w:val="0"/>
                <w:numId w:val="3"/>
              </w:numPr>
              <w:jc w:val="both"/>
              <w:contextualSpacing/>
              <w:rPr>
                <w:rFonts w:ascii="Times New Roman" w:cs="Times New Roman" w:hAnsi="Times New Roman"/>
                <w:sz w:val="20"/>
                <w:szCs w:val="20"/>
              </w:rPr>
            </w:pPr>
            <w:r>
              <w:rPr>
                <w:rFonts w:ascii="Times New Roman" w:cs="Times New Roman" w:hAnsi="Times New Roman"/>
                <w:b/>
                <w:sz w:val="20"/>
                <w:szCs w:val="20"/>
              </w:rPr>
              <w:t>INDIVIDUAL FRAUD</w:t>
            </w:r>
            <w:r>
              <w:rPr>
                <w:rFonts w:ascii="Times New Roman" w:cs="Times New Roman" w:hAnsi="Times New Roman"/>
                <w:sz w:val="20"/>
                <w:szCs w:val="20"/>
              </w:rPr>
              <w:t>: This is an act whereby fraudsters devised schemes to defraud individuals. These include the use of Charles Ponzi Scheme and advanced-fee strategies.</w:t>
            </w:r>
          </w:p>
          <w:p>
            <w:pPr>
              <w:pStyle w:val="style0"/>
              <w:ind w:left="360"/>
              <w:jc w:val="both"/>
              <w:rPr>
                <w:rFonts w:ascii="Times New Roman" w:cs="Times New Roman" w:hAnsi="Times New Roman"/>
                <w:sz w:val="20"/>
                <w:szCs w:val="20"/>
              </w:rPr>
            </w:pPr>
            <w:r>
              <w:rPr>
                <w:rFonts w:ascii="Times New Roman" w:cs="Times New Roman" w:hAnsi="Times New Roman"/>
                <w:sz w:val="20"/>
                <w:szCs w:val="20"/>
              </w:rPr>
              <w:t>However, in order for a fraud to prevail, the following conditions must be met concurren</w:t>
            </w:r>
            <w:r>
              <w:rPr>
                <w:rFonts w:ascii="Times New Roman" w:cs="Times New Roman" w:hAnsi="Times New Roman"/>
                <w:sz w:val="20"/>
                <w:szCs w:val="20"/>
              </w:rPr>
              <w:t>tly known as the fraud triangle.</w:t>
            </w:r>
          </w:p>
          <w:p>
            <w:pPr>
              <w:pStyle w:val="style0"/>
              <w:tabs>
                <w:tab w:val="left" w:leader="none" w:pos="720"/>
                <w:tab w:val="left" w:leader="none" w:pos="5159"/>
              </w:tabs>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 xml:space="preserve">                      </w:t>
            </w:r>
          </w:p>
          <w:p>
            <w:pPr>
              <w:pStyle w:val="style0"/>
              <w:tabs>
                <w:tab w:val="left" w:leader="none" w:pos="720"/>
                <w:tab w:val="left" w:leader="none" w:pos="1440"/>
                <w:tab w:val="left" w:leader="none" w:pos="2160"/>
                <w:tab w:val="left" w:leader="none" w:pos="2880"/>
                <w:tab w:val="left" w:leader="none" w:pos="5159"/>
              </w:tabs>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   </w:t>
            </w:r>
          </w:p>
          <w:p>
            <w:pPr>
              <w:pStyle w:val="style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          </w:t>
            </w:r>
          </w:p>
          <w:p>
            <w:pPr>
              <w:pStyle w:val="style0"/>
              <w:jc w:val="both"/>
              <w:rPr>
                <w:rFonts w:ascii="Times New Roman" w:cs="Times New Roman" w:hAnsi="Times New Roman"/>
                <w:sz w:val="20"/>
                <w:szCs w:val="20"/>
              </w:rPr>
            </w:pPr>
            <w:r>
              <w:rPr>
                <w:rFonts w:ascii="Times New Roman" w:cs="Times New Roman" w:hAnsi="Times New Roman"/>
                <w:sz w:val="20"/>
                <w:szCs w:val="20"/>
              </w:rPr>
              <w:tab/>
            </w:r>
          </w:p>
          <w:p>
            <w:pPr>
              <w:pStyle w:val="style0"/>
              <w:jc w:val="both"/>
              <w:rPr>
                <w:rFonts w:ascii="Times New Roman" w:cs="Times New Roman" w:hAnsi="Times New Roman"/>
                <w:sz w:val="20"/>
                <w:szCs w:val="20"/>
              </w:rPr>
            </w:pPr>
            <w:r>
              <w:rPr>
                <w:rFonts w:ascii="Times New Roman" w:cs="Times New Roman" w:hAnsi="Times New Roman"/>
                <w:noProof/>
                <w:sz w:val="20"/>
                <w:szCs w:val="20"/>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1030" type="#_x0000_t5" adj="10800," fillcolor="white" style="position:absolute;margin-left:167.21pt;margin-top:304.73pt;width:115.55pt;height:133.45pt;z-index:4;mso-position-horizontal-relative:page;mso-position-vertical-relative:page;mso-width-relative:page;mso-height-relative:page;mso-wrap-distance-left:0.0pt;mso-wrap-distance-right:0.0pt;visibility:visible;">
                  <v:stroke joinstyle="miter"/>
                  <v:fill/>
                  <v:path textboxrect="0,10800,10800,18000;5400,10800,16200,18000;10800,10800,21600,18000;0,7200,7200,21600;7200,7200,14400,21600;14400,7200,21600,21600" o:connecttype="custom" o:connectlocs="@0,0;@1,10800;0,21600;10800,21600;21600,21600;@2,10800" gradientshapeok="t"/>
                </v:shape>
              </w:pict>
            </w:r>
          </w:p>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Pressur</w:t>
            </w:r>
            <w:r>
              <w:rPr>
                <w:rFonts w:ascii="Times New Roman" w:cs="Times New Roman" w:hAnsi="Times New Roman"/>
                <w:sz w:val="20"/>
                <w:szCs w:val="20"/>
              </w:rPr>
              <w:t>e</w:t>
            </w:r>
            <w:r>
              <w:rPr>
                <w:rFonts w:ascii="Times New Roman" w:cs="Times New Roman" w:hAnsi="Times New Roman"/>
                <w:sz w:val="20"/>
                <w:szCs w:val="20"/>
              </w:rPr>
              <w:t xml:space="preserve">              </w:t>
            </w:r>
            <w:r>
              <w:rPr>
                <w:rFonts w:ascii="Times New Roman" w:cs="Times New Roman" w:hAnsi="Times New Roman"/>
                <w:sz w:val="20"/>
                <w:szCs w:val="20"/>
              </w:rPr>
              <w:t xml:space="preserve">         </w:t>
            </w:r>
            <w:r>
              <w:rPr>
                <w:rFonts w:ascii="Times New Roman" w:cs="Times New Roman" w:hAnsi="Times New Roman"/>
                <w:sz w:val="20"/>
                <w:szCs w:val="20"/>
              </w:rPr>
              <w:t>Opportunity</w:t>
            </w:r>
            <w:r>
              <w:rPr>
                <w:rFonts w:ascii="Times New Roman" w:cs="Times New Roman" w:hAnsi="Times New Roman"/>
                <w:sz w:val="20"/>
                <w:szCs w:val="20"/>
              </w:rPr>
              <w:t xml:space="preserve"> </w:t>
            </w:r>
          </w:p>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Rationalization</w:t>
            </w:r>
            <w:r>
              <w:rPr>
                <w:rFonts w:ascii="Times New Roman" w:cs="Times New Roman" w:hAnsi="Times New Roman"/>
                <w:sz w:val="20"/>
                <w:szCs w:val="20"/>
              </w:rPr>
              <w:t xml:space="preserve"> </w:t>
            </w:r>
          </w:p>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p>
          <w:p>
            <w:pPr>
              <w:pStyle w:val="style0"/>
              <w:numPr>
                <w:ilvl w:val="0"/>
                <w:numId w:val="5"/>
              </w:numPr>
              <w:jc w:val="both"/>
              <w:contextualSpacing/>
              <w:rPr>
                <w:rFonts w:ascii="Times New Roman" w:cs="Times New Roman" w:hAnsi="Times New Roman"/>
                <w:sz w:val="20"/>
                <w:szCs w:val="20"/>
              </w:rPr>
            </w:pPr>
            <w:r>
              <w:rPr>
                <w:rFonts w:ascii="Times New Roman" w:cs="Times New Roman" w:hAnsi="Times New Roman"/>
                <w:b/>
                <w:sz w:val="20"/>
                <w:szCs w:val="20"/>
              </w:rPr>
              <w:t>PRESSURE</w:t>
            </w:r>
            <w:r>
              <w:rPr>
                <w:rFonts w:ascii="Times New Roman" w:cs="Times New Roman" w:hAnsi="Times New Roman"/>
                <w:sz w:val="20"/>
                <w:szCs w:val="20"/>
              </w:rPr>
              <w:t>: This happens when one is highly indebted, feeling too much addicted to gambling or work related issues whereby one is passed over for a promotion.</w:t>
            </w:r>
          </w:p>
          <w:p>
            <w:pPr>
              <w:pStyle w:val="style0"/>
              <w:numPr>
                <w:ilvl w:val="0"/>
                <w:numId w:val="5"/>
              </w:numPr>
              <w:jc w:val="both"/>
              <w:contextualSpacing/>
              <w:rPr>
                <w:rFonts w:ascii="Times New Roman" w:cs="Times New Roman" w:hAnsi="Times New Roman"/>
                <w:sz w:val="20"/>
                <w:szCs w:val="20"/>
              </w:rPr>
            </w:pPr>
            <w:r>
              <w:rPr>
                <w:rFonts w:ascii="Times New Roman" w:cs="Times New Roman" w:hAnsi="Times New Roman"/>
                <w:b/>
                <w:sz w:val="20"/>
                <w:szCs w:val="20"/>
              </w:rPr>
              <w:t xml:space="preserve">OPPORTUNITY </w:t>
            </w:r>
            <w:r>
              <w:rPr>
                <w:rFonts w:ascii="Times New Roman" w:cs="Times New Roman" w:hAnsi="Times New Roman"/>
                <w:sz w:val="20"/>
                <w:szCs w:val="20"/>
              </w:rPr>
              <w:t>:This occurs whereby there is so much trust in an employee, weak or non-existence of internal control mechanisms</w:t>
            </w:r>
          </w:p>
          <w:p>
            <w:pPr>
              <w:pStyle w:val="style0"/>
              <w:numPr>
                <w:ilvl w:val="0"/>
                <w:numId w:val="5"/>
              </w:numPr>
              <w:jc w:val="both"/>
              <w:contextualSpacing/>
              <w:rPr>
                <w:rFonts w:ascii="Times New Roman" w:cs="Times New Roman" w:hAnsi="Times New Roman"/>
                <w:sz w:val="20"/>
                <w:szCs w:val="20"/>
              </w:rPr>
            </w:pPr>
            <w:r>
              <w:rPr>
                <w:rFonts w:ascii="Times New Roman" w:cs="Times New Roman" w:hAnsi="Times New Roman"/>
                <w:b/>
                <w:sz w:val="20"/>
                <w:szCs w:val="20"/>
              </w:rPr>
              <w:t>RATIONALIZATION</w:t>
            </w:r>
            <w:r>
              <w:rPr>
                <w:rFonts w:ascii="Times New Roman" w:cs="Times New Roman" w:hAnsi="Times New Roman"/>
                <w:sz w:val="20"/>
                <w:szCs w:val="20"/>
              </w:rPr>
              <w:t>: This normally happens when there are no ethical considerations in an organization, examples, lack of integrity and objectivity and or the act of borrowing an entity’s money with the intention of repaying when the financial status improve.</w:t>
            </w:r>
          </w:p>
          <w:p>
            <w:pPr>
              <w:pStyle w:val="style0"/>
              <w:ind w:left="360"/>
              <w:jc w:val="both"/>
              <w:rPr>
                <w:rFonts w:ascii="Times New Roman" w:cs="Times New Roman" w:hAnsi="Times New Roman"/>
                <w:sz w:val="20"/>
                <w:szCs w:val="20"/>
              </w:rPr>
            </w:pPr>
            <w:r>
              <w:rPr>
                <w:rFonts w:ascii="Times New Roman" w:cs="Times New Roman" w:hAnsi="Times New Roman"/>
                <w:sz w:val="20"/>
                <w:szCs w:val="20"/>
              </w:rPr>
              <w:t>(ii) Forensic Accountants require special dexterity and expertise that are very different from those of traditional auditors and accountants. The skills that are essential to the successful practice of forensic accounting are as follows:</w:t>
            </w:r>
          </w:p>
          <w:p>
            <w:pPr>
              <w:pStyle w:val="style0"/>
              <w:numPr>
                <w:ilvl w:val="0"/>
                <w:numId w:val="6"/>
              </w:numPr>
              <w:jc w:val="both"/>
              <w:contextualSpacing/>
              <w:rPr>
                <w:rFonts w:ascii="Times New Roman" w:cs="Times New Roman" w:hAnsi="Times New Roman"/>
                <w:sz w:val="20"/>
                <w:szCs w:val="20"/>
              </w:rPr>
            </w:pPr>
            <w:r>
              <w:rPr>
                <w:rFonts w:ascii="Times New Roman" w:cs="Times New Roman" w:hAnsi="Times New Roman"/>
                <w:sz w:val="20"/>
                <w:szCs w:val="20"/>
              </w:rPr>
              <w:t>Interviewing Skills: The practice of forensic accounting requires expertise in interviewing people whom are dealt with in the successful execution of investigation. This skill is very necessary to the extent that forensic accountants must obtain evidence that is admissible in a court of competent jurisdiction.</w:t>
            </w:r>
          </w:p>
          <w:p>
            <w:pPr>
              <w:pStyle w:val="style0"/>
              <w:numPr>
                <w:ilvl w:val="0"/>
                <w:numId w:val="6"/>
              </w:numPr>
              <w:jc w:val="both"/>
              <w:contextualSpacing/>
              <w:rPr>
                <w:rFonts w:ascii="Times New Roman" w:cs="Times New Roman" w:hAnsi="Times New Roman"/>
                <w:sz w:val="20"/>
                <w:szCs w:val="20"/>
              </w:rPr>
            </w:pPr>
            <w:r>
              <w:rPr>
                <w:rFonts w:ascii="Times New Roman" w:cs="Times New Roman" w:hAnsi="Times New Roman"/>
                <w:sz w:val="20"/>
                <w:szCs w:val="20"/>
              </w:rPr>
              <w:t>Professional Skepticism Skill: The practitioner of forensic accounting should be able to question the originality or the legitimacy of all transactions giving rise to investigation and must be firm in his or her judgments at all times.</w:t>
            </w:r>
          </w:p>
          <w:p>
            <w:pPr>
              <w:pStyle w:val="style0"/>
              <w:numPr>
                <w:ilvl w:val="0"/>
                <w:numId w:val="6"/>
              </w:numPr>
              <w:jc w:val="both"/>
              <w:contextualSpacing/>
              <w:rPr>
                <w:rFonts w:ascii="Times New Roman" w:cs="Times New Roman" w:hAnsi="Times New Roman"/>
                <w:sz w:val="20"/>
                <w:szCs w:val="20"/>
              </w:rPr>
            </w:pPr>
            <w:r>
              <w:rPr>
                <w:rFonts w:ascii="Times New Roman" w:cs="Times New Roman" w:hAnsi="Times New Roman"/>
                <w:sz w:val="20"/>
                <w:szCs w:val="20"/>
              </w:rPr>
              <w:t>Fraud Identification Skill: Practitioners of forensic accounting should possess the ability to detect and identify fraud with limited initial information.</w:t>
            </w:r>
          </w:p>
          <w:p>
            <w:pPr>
              <w:pStyle w:val="style0"/>
              <w:numPr>
                <w:ilvl w:val="0"/>
                <w:numId w:val="6"/>
              </w:numPr>
              <w:jc w:val="both"/>
              <w:contextualSpacing/>
              <w:rPr>
                <w:rFonts w:ascii="Times New Roman" w:cs="Times New Roman" w:hAnsi="Times New Roman"/>
                <w:sz w:val="20"/>
                <w:szCs w:val="20"/>
              </w:rPr>
            </w:pPr>
            <w:r>
              <w:rPr>
                <w:rFonts w:ascii="Times New Roman" w:cs="Times New Roman" w:hAnsi="Times New Roman"/>
                <w:sz w:val="20"/>
                <w:szCs w:val="20"/>
              </w:rPr>
              <w:t>Evidence Gathering Skills: The practitioners of Forensic Accounting should have a broad spectrum of knowledge in gathering reliable, sufficient appropriate evidence to be presented in the court of law.</w:t>
            </w:r>
          </w:p>
          <w:p>
            <w:pPr>
              <w:pStyle w:val="style0"/>
              <w:numPr>
                <w:ilvl w:val="0"/>
                <w:numId w:val="6"/>
              </w:numPr>
              <w:jc w:val="both"/>
              <w:contextualSpacing/>
              <w:rPr>
                <w:rFonts w:ascii="Times New Roman" w:cs="Times New Roman" w:hAnsi="Times New Roman"/>
                <w:sz w:val="20"/>
                <w:szCs w:val="20"/>
              </w:rPr>
            </w:pPr>
            <w:r>
              <w:rPr>
                <w:rFonts w:ascii="Times New Roman" w:cs="Times New Roman" w:hAnsi="Times New Roman"/>
                <w:sz w:val="20"/>
                <w:szCs w:val="20"/>
              </w:rPr>
              <w:t>Auditing Skills: The Practice of Forensic Accounting requires skills in auditing financial statements prepared by companies so that the secondary purpose (detection of errors and irregularities) for auditing financial statement could be meet. Moreover, knowledge in the International financial reporting standards (IFRS), International Standard on Auditing (IAS) and other regulatory requirement is needed in practicing forensic accounting.</w:t>
            </w:r>
          </w:p>
          <w:p>
            <w:pPr>
              <w:pStyle w:val="style0"/>
              <w:numPr>
                <w:ilvl w:val="0"/>
                <w:numId w:val="6"/>
              </w:numPr>
              <w:jc w:val="both"/>
              <w:contextualSpacing/>
              <w:rPr>
                <w:rFonts w:ascii="Times New Roman" w:cs="Times New Roman" w:hAnsi="Times New Roman"/>
                <w:sz w:val="20"/>
                <w:szCs w:val="20"/>
              </w:rPr>
            </w:pPr>
            <w:r>
              <w:rPr>
                <w:rFonts w:ascii="Times New Roman" w:cs="Times New Roman" w:hAnsi="Times New Roman"/>
                <w:sz w:val="20"/>
                <w:szCs w:val="20"/>
              </w:rPr>
              <w:t>Investigative, Research and Communicative Skills to develop the mind with the intention to gather sufficient, appropriate and reliable evidence.</w:t>
            </w:r>
          </w:p>
          <w:p>
            <w:pPr>
              <w:pStyle w:val="style0"/>
              <w:ind w:left="720"/>
              <w:jc w:val="both"/>
              <w:contextualSpacing/>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 xml:space="preserve"> (iii) </w:t>
            </w:r>
            <w:r>
              <w:rPr>
                <w:rFonts w:ascii="Times New Roman" w:cs="Times New Roman" w:hAnsi="Times New Roman"/>
                <w:sz w:val="20"/>
                <w:szCs w:val="20"/>
              </w:rPr>
              <w:tab/>
            </w:r>
            <w:r>
              <w:rPr>
                <w:rFonts w:ascii="Times New Roman" w:cs="Times New Roman" w:hAnsi="Times New Roman"/>
                <w:sz w:val="20"/>
                <w:szCs w:val="20"/>
              </w:rPr>
              <w:t>The Forensic Accountant should possess the following qualities of the mind or the body.</w:t>
            </w:r>
          </w:p>
          <w:p>
            <w:pPr>
              <w:pStyle w:val="style0"/>
              <w:numPr>
                <w:ilvl w:val="0"/>
                <w:numId w:val="7"/>
              </w:numPr>
              <w:jc w:val="both"/>
              <w:contextualSpacing/>
              <w:rPr>
                <w:rFonts w:ascii="Times New Roman" w:cs="Times New Roman" w:hAnsi="Times New Roman"/>
                <w:sz w:val="20"/>
                <w:szCs w:val="20"/>
              </w:rPr>
            </w:pPr>
            <w:r>
              <w:rPr>
                <w:rFonts w:ascii="Times New Roman" w:cs="Times New Roman" w:hAnsi="Times New Roman"/>
                <w:sz w:val="20"/>
                <w:szCs w:val="20"/>
              </w:rPr>
              <w:t>Financial Audit Techniques in order to detect significant fraudulent financial misstatement reporting.</w:t>
            </w:r>
          </w:p>
          <w:p>
            <w:pPr>
              <w:pStyle w:val="style0"/>
              <w:numPr>
                <w:ilvl w:val="0"/>
                <w:numId w:val="7"/>
              </w:numPr>
              <w:jc w:val="both"/>
              <w:contextualSpacing/>
              <w:rPr>
                <w:rFonts w:ascii="Times New Roman" w:cs="Times New Roman" w:hAnsi="Times New Roman"/>
                <w:sz w:val="20"/>
                <w:szCs w:val="20"/>
              </w:rPr>
            </w:pPr>
            <w:r>
              <w:rPr>
                <w:rFonts w:ascii="Times New Roman" w:cs="Times New Roman" w:hAnsi="Times New Roman"/>
                <w:sz w:val="20"/>
                <w:szCs w:val="20"/>
              </w:rPr>
              <w:t>Problem-solving, Critical and logical thinking and detective techniques in order to be more proactive.</w:t>
            </w:r>
          </w:p>
          <w:p>
            <w:pPr>
              <w:pStyle w:val="style0"/>
              <w:numPr>
                <w:ilvl w:val="0"/>
                <w:numId w:val="7"/>
              </w:numPr>
              <w:jc w:val="both"/>
              <w:contextualSpacing/>
              <w:rPr>
                <w:rFonts w:ascii="Times New Roman" w:cs="Times New Roman" w:hAnsi="Times New Roman"/>
                <w:sz w:val="20"/>
                <w:szCs w:val="20"/>
              </w:rPr>
            </w:pPr>
            <w:r>
              <w:rPr>
                <w:rFonts w:ascii="Times New Roman" w:cs="Times New Roman" w:hAnsi="Times New Roman"/>
                <w:sz w:val="20"/>
                <w:szCs w:val="20"/>
              </w:rPr>
              <w:t>The Forensic Accountant should be creative and innovative for his reports to be more reliable and of weight.</w:t>
            </w:r>
          </w:p>
          <w:p>
            <w:pPr>
              <w:pStyle w:val="style0"/>
              <w:numPr>
                <w:ilvl w:val="0"/>
                <w:numId w:val="7"/>
              </w:numPr>
              <w:jc w:val="both"/>
              <w:contextualSpacing/>
              <w:rPr>
                <w:rFonts w:ascii="Times New Roman" w:cs="Times New Roman" w:hAnsi="Times New Roman"/>
                <w:sz w:val="20"/>
                <w:szCs w:val="20"/>
              </w:rPr>
            </w:pPr>
            <w:r>
              <w:rPr>
                <w:rFonts w:ascii="Times New Roman" w:cs="Times New Roman" w:hAnsi="Times New Roman"/>
                <w:sz w:val="20"/>
                <w:szCs w:val="20"/>
              </w:rPr>
              <w:t xml:space="preserve">Should be objective minded, intelligent, integrity, persistent, determined and </w:t>
            </w:r>
            <w:r>
              <w:rPr>
                <w:rFonts w:ascii="Times New Roman" w:cs="Times New Roman" w:hAnsi="Times New Roman"/>
                <w:sz w:val="20"/>
                <w:szCs w:val="20"/>
              </w:rPr>
              <w:t>self-confident</w:t>
            </w:r>
            <w:r>
              <w:rPr>
                <w:rFonts w:ascii="Times New Roman" w:cs="Times New Roman" w:hAnsi="Times New Roman"/>
                <w:sz w:val="20"/>
                <w:szCs w:val="20"/>
              </w:rPr>
              <w:t xml:space="preserve"> in order to be able to carry out a successful fraud investigation.</w:t>
            </w:r>
          </w:p>
          <w:p>
            <w:pPr>
              <w:pStyle w:val="style0"/>
              <w:numPr>
                <w:ilvl w:val="0"/>
                <w:numId w:val="7"/>
              </w:numPr>
              <w:jc w:val="both"/>
              <w:contextualSpacing/>
              <w:rPr>
                <w:rFonts w:ascii="Times New Roman" w:cs="Times New Roman" w:hAnsi="Times New Roman"/>
                <w:sz w:val="20"/>
                <w:szCs w:val="20"/>
              </w:rPr>
            </w:pPr>
            <w:r>
              <w:rPr>
                <w:rFonts w:ascii="Times New Roman" w:cs="Times New Roman" w:hAnsi="Times New Roman"/>
                <w:sz w:val="20"/>
                <w:szCs w:val="20"/>
              </w:rPr>
              <w:t xml:space="preserve">The forensic Accountant should be independent of the mind, skeptical in his </w:t>
            </w:r>
            <w:r>
              <w:rPr>
                <w:rFonts w:ascii="Times New Roman" w:cs="Times New Roman" w:hAnsi="Times New Roman"/>
                <w:sz w:val="20"/>
                <w:szCs w:val="20"/>
              </w:rPr>
              <w:t>judgements</w:t>
            </w:r>
            <w:r>
              <w:rPr>
                <w:rFonts w:ascii="Times New Roman" w:cs="Times New Roman" w:hAnsi="Times New Roman"/>
                <w:sz w:val="20"/>
                <w:szCs w:val="20"/>
              </w:rPr>
              <w:t>, time bound, confidential and an arbitrator to settle financial disputes.</w:t>
            </w:r>
          </w:p>
          <w:p>
            <w:pPr>
              <w:pStyle w:val="style0"/>
              <w:numPr>
                <w:ilvl w:val="0"/>
                <w:numId w:val="7"/>
              </w:numPr>
              <w:jc w:val="both"/>
              <w:contextualSpacing/>
              <w:rPr>
                <w:rFonts w:ascii="Times New Roman" w:cs="Times New Roman" w:hAnsi="Times New Roman"/>
                <w:sz w:val="20"/>
                <w:szCs w:val="20"/>
              </w:rPr>
            </w:pPr>
            <w:r>
              <w:rPr>
                <w:rFonts w:ascii="Times New Roman" w:cs="Times New Roman" w:hAnsi="Times New Roman"/>
                <w:sz w:val="20"/>
                <w:szCs w:val="20"/>
              </w:rPr>
              <w:t xml:space="preserve">The Practitioner should have a background in law since the reports will eventually be used in the law of court and for good defense. </w:t>
            </w:r>
          </w:p>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 xml:space="preserve">(iv)  </w:t>
            </w:r>
            <w:r>
              <w:rPr>
                <w:rFonts w:ascii="Times New Roman" w:cs="Times New Roman" w:hAnsi="Times New Roman"/>
                <w:sz w:val="20"/>
                <w:szCs w:val="20"/>
              </w:rPr>
              <w:tab/>
            </w:r>
            <w:r>
              <w:rPr>
                <w:rFonts w:ascii="Times New Roman" w:cs="Times New Roman" w:hAnsi="Times New Roman"/>
                <w:sz w:val="20"/>
                <w:szCs w:val="20"/>
              </w:rPr>
              <w:t>The basic steps involved in fraud investigation are;</w:t>
            </w:r>
          </w:p>
          <w:p>
            <w:pPr>
              <w:pStyle w:val="style0"/>
              <w:numPr>
                <w:ilvl w:val="0"/>
                <w:numId w:val="2"/>
              </w:numPr>
              <w:jc w:val="both"/>
              <w:contextualSpacing/>
              <w:rPr>
                <w:rFonts w:ascii="Times New Roman" w:cs="Times New Roman" w:hAnsi="Times New Roman"/>
                <w:sz w:val="20"/>
                <w:szCs w:val="20"/>
              </w:rPr>
            </w:pPr>
            <w:r>
              <w:rPr>
                <w:rFonts w:ascii="Times New Roman" w:cs="Times New Roman" w:hAnsi="Times New Roman"/>
                <w:sz w:val="20"/>
                <w:szCs w:val="20"/>
              </w:rPr>
              <w:t>Acceptance of the investigation by the investigation team</w:t>
            </w:r>
          </w:p>
          <w:p>
            <w:pPr>
              <w:pStyle w:val="style0"/>
              <w:numPr>
                <w:ilvl w:val="0"/>
                <w:numId w:val="2"/>
              </w:numPr>
              <w:jc w:val="both"/>
              <w:contextualSpacing/>
              <w:rPr>
                <w:rFonts w:ascii="Times New Roman" w:cs="Times New Roman" w:hAnsi="Times New Roman"/>
                <w:sz w:val="20"/>
                <w:szCs w:val="20"/>
              </w:rPr>
            </w:pPr>
            <w:r>
              <w:rPr>
                <w:rFonts w:ascii="Times New Roman" w:cs="Times New Roman" w:hAnsi="Times New Roman"/>
                <w:sz w:val="20"/>
                <w:szCs w:val="20"/>
              </w:rPr>
              <w:t>Planning the investigation.</w:t>
            </w:r>
          </w:p>
          <w:p>
            <w:pPr>
              <w:pStyle w:val="style0"/>
              <w:numPr>
                <w:ilvl w:val="0"/>
                <w:numId w:val="2"/>
              </w:numPr>
              <w:jc w:val="both"/>
              <w:contextualSpacing/>
              <w:rPr>
                <w:rFonts w:ascii="Times New Roman" w:cs="Times New Roman" w:hAnsi="Times New Roman"/>
                <w:sz w:val="20"/>
                <w:szCs w:val="20"/>
              </w:rPr>
            </w:pPr>
            <w:r>
              <w:rPr>
                <w:rFonts w:ascii="Times New Roman" w:cs="Times New Roman" w:hAnsi="Times New Roman"/>
                <w:sz w:val="20"/>
                <w:szCs w:val="20"/>
              </w:rPr>
              <w:t xml:space="preserve">Gathering of Evidence </w:t>
            </w:r>
          </w:p>
          <w:p>
            <w:pPr>
              <w:pStyle w:val="style0"/>
              <w:numPr>
                <w:ilvl w:val="0"/>
                <w:numId w:val="2"/>
              </w:numPr>
              <w:jc w:val="both"/>
              <w:contextualSpacing/>
              <w:rPr>
                <w:rFonts w:ascii="Times New Roman" w:cs="Times New Roman" w:hAnsi="Times New Roman"/>
                <w:sz w:val="20"/>
                <w:szCs w:val="20"/>
              </w:rPr>
            </w:pPr>
            <w:r>
              <w:rPr>
                <w:rFonts w:ascii="Times New Roman" w:cs="Times New Roman" w:hAnsi="Times New Roman"/>
                <w:sz w:val="20"/>
                <w:szCs w:val="20"/>
              </w:rPr>
              <w:t>Reporting to the appropriate authorities summarizing the evidence obtained and losses suffered as a result of the fraud.</w:t>
            </w:r>
          </w:p>
          <w:p>
            <w:pPr>
              <w:pStyle w:val="style0"/>
              <w:numPr>
                <w:ilvl w:val="0"/>
                <w:numId w:val="2"/>
              </w:numPr>
              <w:jc w:val="both"/>
              <w:contextualSpacing/>
              <w:rPr>
                <w:rFonts w:ascii="Times New Roman" w:cs="Times New Roman" w:hAnsi="Times New Roman"/>
                <w:sz w:val="20"/>
                <w:szCs w:val="20"/>
              </w:rPr>
            </w:pPr>
            <w:r>
              <w:rPr>
                <w:rFonts w:ascii="Times New Roman" w:cs="Times New Roman" w:hAnsi="Times New Roman"/>
                <w:sz w:val="20"/>
                <w:szCs w:val="20"/>
              </w:rPr>
              <w:t>Court Proceedings: sufficient, appropriate reliable evidence gathered during the investigation will be presented to the law court upon request by the court.</w:t>
            </w:r>
          </w:p>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 xml:space="preserve">(v) </w:t>
            </w:r>
            <w:r>
              <w:rPr>
                <w:rFonts w:ascii="Times New Roman" w:cs="Times New Roman" w:hAnsi="Times New Roman"/>
                <w:sz w:val="20"/>
                <w:szCs w:val="20"/>
              </w:rPr>
              <w:tab/>
            </w:r>
          </w:p>
          <w:tbl>
            <w:tblPr>
              <w:tblStyle w:val="style154"/>
              <w:tblW w:w="0" w:type="auto"/>
              <w:tblLook w:val="04A0" w:firstRow="1" w:lastRow="0" w:firstColumn="1" w:lastColumn="0" w:noHBand="0" w:noVBand="1"/>
            </w:tblPr>
            <w:tblGrid>
              <w:gridCol w:w="1754"/>
              <w:gridCol w:w="1817"/>
              <w:gridCol w:w="1793"/>
              <w:gridCol w:w="1833"/>
              <w:gridCol w:w="1819"/>
            </w:tblGrid>
            <w:tr>
              <w:trPr/>
              <w:tc>
                <w:tcPr>
                  <w:tcW w:w="1915" w:type="dxa"/>
                  <w:tcBorders/>
                  <w:tcFitText w:val="false"/>
                </w:tcPr>
                <w:p>
                  <w:pPr>
                    <w:pStyle w:val="style0"/>
                    <w:jc w:val="both"/>
                    <w:rPr>
                      <w:rFonts w:ascii="Times New Roman" w:cs="Times New Roman" w:hAnsi="Times New Roman"/>
                      <w:sz w:val="20"/>
                      <w:szCs w:val="20"/>
                    </w:rPr>
                  </w:pPr>
                  <w:r>
                    <w:rPr>
                      <w:rFonts w:ascii="Times New Roman" w:cs="Times New Roman" w:hAnsi="Times New Roman"/>
                      <w:sz w:val="20"/>
                      <w:szCs w:val="20"/>
                    </w:rPr>
                    <w:t>I</w:t>
                  </w:r>
                </w:p>
                <w:p>
                  <w:pPr>
                    <w:pStyle w:val="style0"/>
                    <w:jc w:val="both"/>
                    <w:rPr>
                      <w:rFonts w:ascii="Times New Roman" w:cs="Times New Roman" w:hAnsi="Times New Roman"/>
                      <w:sz w:val="20"/>
                      <w:szCs w:val="20"/>
                    </w:rPr>
                  </w:pPr>
                </w:p>
                <w:p>
                  <w:pPr>
                    <w:pStyle w:val="style0"/>
                    <w:jc w:val="both"/>
                    <w:rPr>
                      <w:rFonts w:ascii="Times New Roman" w:cs="Times New Roman" w:hAnsi="Times New Roman"/>
                      <w:b/>
                      <w:i/>
                      <w:sz w:val="20"/>
                      <w:szCs w:val="20"/>
                    </w:rPr>
                  </w:pPr>
                  <w:r>
                    <w:rPr>
                      <w:rFonts w:ascii="Times New Roman" w:cs="Times New Roman" w:hAnsi="Times New Roman"/>
                      <w:b/>
                      <w:i/>
                      <w:sz w:val="20"/>
                      <w:szCs w:val="20"/>
                    </w:rPr>
                    <w:t>Item for Analysis</w:t>
                  </w:r>
                </w:p>
              </w:tc>
              <w:tc>
                <w:tcPr>
                  <w:tcW w:w="1915"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b/>
                      <w:i/>
                      <w:sz w:val="20"/>
                      <w:szCs w:val="20"/>
                    </w:rPr>
                  </w:pPr>
                  <w:r>
                    <w:rPr>
                      <w:rFonts w:ascii="Times New Roman" w:cs="Times New Roman" w:hAnsi="Times New Roman"/>
                      <w:b/>
                      <w:i/>
                      <w:sz w:val="20"/>
                      <w:szCs w:val="20"/>
                    </w:rPr>
                    <w:t>Forensic Accounting</w:t>
                  </w:r>
                </w:p>
              </w:tc>
              <w:tc>
                <w:tcPr>
                  <w:tcW w:w="1915"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b/>
                      <w:i/>
                      <w:sz w:val="20"/>
                      <w:szCs w:val="20"/>
                    </w:rPr>
                  </w:pPr>
                </w:p>
                <w:p>
                  <w:pPr>
                    <w:pStyle w:val="style0"/>
                    <w:jc w:val="both"/>
                    <w:rPr>
                      <w:rFonts w:ascii="Times New Roman" w:cs="Times New Roman" w:hAnsi="Times New Roman"/>
                      <w:b/>
                      <w:i/>
                      <w:sz w:val="20"/>
                      <w:szCs w:val="20"/>
                    </w:rPr>
                  </w:pPr>
                  <w:r>
                    <w:rPr>
                      <w:rFonts w:ascii="Times New Roman" w:cs="Times New Roman" w:hAnsi="Times New Roman"/>
                      <w:b/>
                      <w:i/>
                      <w:sz w:val="20"/>
                      <w:szCs w:val="20"/>
                    </w:rPr>
                    <w:t>Fraud Auditing</w:t>
                  </w:r>
                </w:p>
              </w:tc>
              <w:tc>
                <w:tcPr>
                  <w:tcW w:w="1915" w:type="dxa"/>
                  <w:tcBorders/>
                  <w:tcFitText w:val="false"/>
                </w:tcPr>
                <w:p>
                  <w:pPr>
                    <w:pStyle w:val="style0"/>
                    <w:jc w:val="both"/>
                    <w:rPr>
                      <w:rFonts w:ascii="Times New Roman" w:cs="Times New Roman" w:hAnsi="Times New Roman"/>
                      <w:b/>
                      <w:i/>
                      <w:sz w:val="20"/>
                      <w:szCs w:val="20"/>
                    </w:rPr>
                  </w:pPr>
                </w:p>
                <w:p>
                  <w:pPr>
                    <w:pStyle w:val="style0"/>
                    <w:jc w:val="both"/>
                    <w:rPr>
                      <w:rFonts w:ascii="Times New Roman" w:cs="Times New Roman" w:hAnsi="Times New Roman"/>
                      <w:b/>
                      <w:i/>
                      <w:sz w:val="20"/>
                      <w:szCs w:val="20"/>
                    </w:rPr>
                  </w:pPr>
                  <w:r>
                    <w:rPr>
                      <w:rFonts w:ascii="Times New Roman" w:cs="Times New Roman" w:hAnsi="Times New Roman"/>
                      <w:b/>
                      <w:i/>
                      <w:sz w:val="20"/>
                      <w:szCs w:val="20"/>
                    </w:rPr>
                    <w:t>Investigative Auditing</w:t>
                  </w:r>
                </w:p>
              </w:tc>
              <w:tc>
                <w:tcPr>
                  <w:tcW w:w="1916"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b/>
                      <w:i/>
                      <w:sz w:val="20"/>
                      <w:szCs w:val="20"/>
                    </w:rPr>
                  </w:pPr>
                </w:p>
                <w:p>
                  <w:pPr>
                    <w:pStyle w:val="style0"/>
                    <w:jc w:val="both"/>
                    <w:rPr>
                      <w:rFonts w:ascii="Times New Roman" w:cs="Times New Roman" w:hAnsi="Times New Roman"/>
                      <w:b/>
                      <w:i/>
                      <w:sz w:val="20"/>
                      <w:szCs w:val="20"/>
                    </w:rPr>
                  </w:pPr>
                  <w:r>
                    <w:rPr>
                      <w:rFonts w:ascii="Times New Roman" w:cs="Times New Roman" w:hAnsi="Times New Roman"/>
                      <w:b/>
                      <w:i/>
                      <w:sz w:val="20"/>
                      <w:szCs w:val="20"/>
                    </w:rPr>
                    <w:t>Financial Auditing</w:t>
                  </w:r>
                </w:p>
              </w:tc>
            </w:tr>
            <w:tr>
              <w:tblPrEx/>
              <w:trPr/>
              <w:tc>
                <w:tcPr>
                  <w:tcW w:w="1915"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Definition</w:t>
                  </w:r>
                </w:p>
              </w:tc>
              <w:tc>
                <w:tcPr>
                  <w:tcW w:w="1915"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This is the act of gathering and presenting financial information in a format that can be used in a court of law for the prosecution of economic crimes.- George A. Manning</w:t>
                  </w:r>
                </w:p>
              </w:tc>
              <w:tc>
                <w:tcPr>
                  <w:tcW w:w="1915"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This is the careful review of financial documents in cases where fraud is suspected.</w:t>
                  </w:r>
                </w:p>
              </w:tc>
              <w:tc>
                <w:tcPr>
                  <w:tcW w:w="1915"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 xml:space="preserve">This is the act of detecting, tracing, quantification and prevention of fraud, money laundering and terrorist financing. </w:t>
                  </w:r>
                </w:p>
              </w:tc>
              <w:tc>
                <w:tcPr>
                  <w:tcW w:w="1916"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 xml:space="preserve">This is an independent expression of opinion on the financial statements of an entity whether the financial statements prepared are free from material misstatements in compliance with the relevant financial accounting and auditing standards and regulatory requirement </w:t>
                  </w:r>
                </w:p>
              </w:tc>
            </w:tr>
            <w:tr>
              <w:tblPrEx/>
              <w:trPr/>
              <w:tc>
                <w:tcPr>
                  <w:tcW w:w="1915"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Nature and Scope</w:t>
                  </w:r>
                </w:p>
              </w:tc>
              <w:tc>
                <w:tcPr>
                  <w:tcW w:w="1915"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 xml:space="preserve">It encompasses accounting, auditing and investigative skills to detect fraud and prevent fraudulent accounting practices in the future.  </w:t>
                  </w:r>
                </w:p>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It analyses financial statements in order to prove or disprove financial fraud and serves as evidence of fraud (or the absence of it) in a court of competent jurisdiction.</w:t>
                  </w:r>
                </w:p>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 xml:space="preserve">It therefore deals with the identification of people involved in a matter where there is </w:t>
                  </w:r>
                  <w:r>
                    <w:rPr>
                      <w:rFonts w:ascii="Times New Roman" w:cs="Times New Roman" w:hAnsi="Times New Roman"/>
                      <w:sz w:val="20"/>
                      <w:szCs w:val="20"/>
                    </w:rPr>
                    <w:t>is</w:t>
                  </w:r>
                  <w:r>
                    <w:rPr>
                      <w:rFonts w:ascii="Times New Roman" w:cs="Times New Roman" w:hAnsi="Times New Roman"/>
                      <w:sz w:val="20"/>
                      <w:szCs w:val="20"/>
                    </w:rPr>
                    <w:t xml:space="preserve"> an alleged financial misconduct, determining the financial magnitude thereon.</w:t>
                  </w:r>
                </w:p>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p>
              </w:tc>
              <w:tc>
                <w:tcPr>
                  <w:tcW w:w="1915"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It covers the area of criminal activities restricted to fraud.</w:t>
                  </w:r>
                </w:p>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It is also programmed in such a way that the losses (financial or otherwise) incurred by the act of the perpetrators could be quantified in monetary terms.</w:t>
                  </w:r>
                </w:p>
              </w:tc>
              <w:tc>
                <w:tcPr>
                  <w:tcW w:w="1915"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Critical and in- depth examination and or analysis</w:t>
                  </w:r>
                </w:p>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 xml:space="preserve">The evidences are </w:t>
                  </w:r>
                  <w:r>
                    <w:rPr>
                      <w:rFonts w:ascii="Times New Roman" w:cs="Times New Roman" w:hAnsi="Times New Roman"/>
                      <w:sz w:val="20"/>
                      <w:szCs w:val="20"/>
                    </w:rPr>
                    <w:t>unquestionable,</w:t>
                  </w:r>
                  <w:r>
                    <w:rPr>
                      <w:rFonts w:ascii="Times New Roman" w:cs="Times New Roman" w:hAnsi="Times New Roman"/>
                      <w:sz w:val="20"/>
                      <w:szCs w:val="20"/>
                    </w:rPr>
                    <w:t xml:space="preserve"> therefore, its nature is decisive. </w:t>
                  </w:r>
                </w:p>
              </w:tc>
              <w:tc>
                <w:tcPr>
                  <w:tcW w:w="1916"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It opines on the financial statement of entities taking into consideration all the criteria used in the preparation and presentation of these statements.</w:t>
                  </w:r>
                </w:p>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It is aimed at building shareholders’ confidence with respect to their investment whether financial statements presented are from material misstatements, errors and or other irregularities.</w:t>
                  </w:r>
                </w:p>
              </w:tc>
            </w:tr>
            <w:tr>
              <w:tblPrEx/>
              <w:trPr/>
              <w:tc>
                <w:tcPr>
                  <w:tcW w:w="1915"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Primary Purpose</w:t>
                  </w:r>
                </w:p>
              </w:tc>
              <w:tc>
                <w:tcPr>
                  <w:tcW w:w="1915"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It is use to determine financial fraud, settling non-fraud related financial matters in business liquidation disputes, matrimonial disputes and insurance claims.</w:t>
                  </w:r>
                </w:p>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 xml:space="preserve">It is also a legal tool </w:t>
                  </w:r>
                  <w:r>
                    <w:rPr>
                      <w:rFonts w:ascii="Times New Roman" w:cs="Times New Roman" w:hAnsi="Times New Roman"/>
                      <w:sz w:val="20"/>
                      <w:szCs w:val="20"/>
                    </w:rPr>
                    <w:t>use</w:t>
                  </w:r>
                  <w:r>
                    <w:rPr>
                      <w:rFonts w:ascii="Times New Roman" w:cs="Times New Roman" w:hAnsi="Times New Roman"/>
                      <w:sz w:val="20"/>
                      <w:szCs w:val="20"/>
                    </w:rPr>
                    <w:t xml:space="preserve"> to detect, investigate and prevent fraud.</w:t>
                  </w:r>
                </w:p>
              </w:tc>
              <w:tc>
                <w:tcPr>
                  <w:tcW w:w="1915"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It is use to identify fraudulent transactions so that the results of it can be used in a court of law.</w:t>
                  </w:r>
                </w:p>
              </w:tc>
              <w:tc>
                <w:tcPr>
                  <w:tcW w:w="1915"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To discover financial irregularities and critically monitor the movement of an entity's resources.</w:t>
                  </w:r>
                </w:p>
              </w:tc>
              <w:tc>
                <w:tcPr>
                  <w:tcW w:w="1916"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 xml:space="preserve">The primary purpose is to express an independent opinion on the financial statements prepared by the management of an organization whether these statements are not materially misstated. </w:t>
                  </w:r>
                </w:p>
              </w:tc>
            </w:tr>
            <w:tr>
              <w:tblPrEx/>
              <w:trPr/>
              <w:tc>
                <w:tcPr>
                  <w:tcW w:w="1915"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Task Performed</w:t>
                  </w:r>
                </w:p>
              </w:tc>
              <w:tc>
                <w:tcPr>
                  <w:tcW w:w="1915"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A detailed planning of task aimed at documenting deterministic and calculative analysis.</w:t>
                  </w:r>
                </w:p>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It analyses financial statements in order to prove or disprove financial fraud      and serves as evidence of fraud (or the absence of it) in a court of competent jurisdiction.</w:t>
                  </w:r>
                </w:p>
              </w:tc>
              <w:tc>
                <w:tcPr>
                  <w:tcW w:w="1915"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It is also programmed in such a way that the losses (financial or otherwise) incurred by the act of the perpetrators could be quantified in monetary terms.</w:t>
                  </w:r>
                </w:p>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It involves detail testing, reviewing and examination of records relating to financial transactions in an organization.</w:t>
                  </w:r>
                </w:p>
              </w:tc>
              <w:tc>
                <w:tcPr>
                  <w:tcW w:w="1915"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Involves the identification of suspects, determination of damages, quantification of damages, prevention of damage, identification of financial activity and tracing financial assets.</w:t>
                  </w:r>
                </w:p>
              </w:tc>
              <w:tc>
                <w:tcPr>
                  <w:tcW w:w="1916"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 xml:space="preserve">Task performed are based on probabilistic measures and audit sampling techniques to conclude on its findings. </w:t>
                  </w:r>
                </w:p>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 xml:space="preserve">It is targeted at making sure that the relevant financial accounting and auditing standards are complied with </w:t>
                  </w:r>
                </w:p>
              </w:tc>
            </w:tr>
            <w:tr>
              <w:tblPrEx/>
              <w:trPr/>
              <w:tc>
                <w:tcPr>
                  <w:tcW w:w="1915"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Reporting</w:t>
                  </w:r>
                </w:p>
              </w:tc>
              <w:tc>
                <w:tcPr>
                  <w:tcW w:w="1915"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Investigation or expert reports are written and communicated to the appropriate authorities for the necessary action to be taken.</w:t>
                  </w:r>
                </w:p>
              </w:tc>
              <w:tc>
                <w:tcPr>
                  <w:tcW w:w="1915"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 xml:space="preserve">Expert reports are issued to all the stakeholders concerned. Examples of these stakeholders include, the National Crime Agency (NCA) , The Bureau for National Investigation (BNI), </w:t>
                  </w:r>
                </w:p>
              </w:tc>
              <w:tc>
                <w:tcPr>
                  <w:tcW w:w="1915"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Expert reports are issued to all the stakeholders concerned. Examples of these stakeholders include, the National Crime Agency (NCA) , The Bureau for National Investigation (BNI),</w:t>
                  </w:r>
                </w:p>
              </w:tc>
              <w:tc>
                <w:tcPr>
                  <w:tcW w:w="1916" w:type="dxa"/>
                  <w:tcBorders/>
                  <w:tcFitText w:val="false"/>
                </w:tcPr>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r>
                    <w:rPr>
                      <w:rFonts w:ascii="Times New Roman" w:cs="Times New Roman" w:hAnsi="Times New Roman"/>
                      <w:sz w:val="20"/>
                      <w:szCs w:val="20"/>
                    </w:rPr>
                    <w:t xml:space="preserve">Audit reports are issued to the shareholders of the entity for a better investment decision making. </w:t>
                  </w:r>
                </w:p>
              </w:tc>
            </w:tr>
          </w:tbl>
          <w:p>
            <w:pPr>
              <w:pStyle w:val="style0"/>
              <w:jc w:val="both"/>
              <w:rPr>
                <w:rFonts w:ascii="Times New Roman" w:cs="Times New Roman" w:hAnsi="Times New Roman"/>
                <w:sz w:val="20"/>
                <w:szCs w:val="20"/>
              </w:rPr>
            </w:pPr>
            <w:r>
              <w:rPr>
                <w:rFonts w:ascii="Times New Roman" w:cs="Times New Roman" w:hAnsi="Times New Roman"/>
                <w:sz w:val="20"/>
                <w:szCs w:val="20"/>
              </w:rPr>
              <w:tab/>
            </w:r>
          </w:p>
          <w:p>
            <w:pPr>
              <w:pStyle w:val="style0"/>
              <w:jc w:val="both"/>
              <w:rPr>
                <w:rFonts w:ascii="Times New Roman" w:cs="Times New Roman" w:hAnsi="Times New Roman"/>
                <w:sz w:val="20"/>
                <w:szCs w:val="20"/>
              </w:rPr>
            </w:pPr>
          </w:p>
          <w:p>
            <w:pPr>
              <w:pStyle w:val="style0"/>
              <w:jc w:val="both"/>
              <w:rPr>
                <w:rFonts w:ascii="Times New Roman" w:cs="Times New Roman" w:hAnsi="Times New Roman"/>
                <w:sz w:val="20"/>
                <w:szCs w:val="20"/>
              </w:rPr>
            </w:pPr>
          </w:p>
          <w:p>
            <w:pPr>
              <w:pStyle w:val="style0"/>
              <w:jc w:val="center"/>
              <w:rPr>
                <w:rFonts w:ascii="Times New Roman" w:cs="Times New Roman" w:hAnsi="Times New Roman"/>
                <w:b/>
                <w:sz w:val="20"/>
                <w:szCs w:val="20"/>
              </w:rPr>
            </w:pPr>
          </w:p>
          <w:p>
            <w:pPr>
              <w:pStyle w:val="style0"/>
              <w:jc w:val="center"/>
              <w:rPr>
                <w:rFonts w:ascii="Times New Roman" w:cs="Times New Roman" w:hAnsi="Times New Roman"/>
                <w:b/>
                <w:sz w:val="20"/>
                <w:szCs w:val="20"/>
              </w:rPr>
            </w:pPr>
          </w:p>
          <w:p>
            <w:pPr>
              <w:pStyle w:val="style0"/>
              <w:jc w:val="left"/>
              <w:rPr>
                <w:rFonts w:ascii="Times New Roman" w:cs="Times New Roman" w:hAnsi="Times New Roman"/>
                <w:b/>
                <w:sz w:val="20"/>
                <w:szCs w:val="20"/>
              </w:rPr>
            </w:pPr>
            <w:r>
              <w:rPr>
                <w:rFonts w:ascii="Times New Roman" w:cs="Times New Roman" w:hAnsi="Times New Roman"/>
                <w:b/>
                <w:sz w:val="20"/>
                <w:szCs w:val="20"/>
              </w:rPr>
              <w:t xml:space="preserve">                        </w:t>
            </w:r>
            <w:r>
              <w:rPr>
                <w:rFonts w:ascii="Times New Roman" w:cs="Times New Roman" w:hAnsi="Times New Roman"/>
                <w:b/>
                <w:sz w:val="20"/>
                <w:szCs w:val="20"/>
              </w:rPr>
              <w:t xml:space="preserve">      </w:t>
            </w:r>
            <w:r>
              <w:rPr>
                <w:rFonts w:ascii="Times New Roman" w:cs="Times New Roman" w:hAnsi="Times New Roman"/>
                <w:b/>
                <w:sz w:val="20"/>
                <w:szCs w:val="20"/>
              </w:rPr>
              <w:t xml:space="preserve">                  </w:t>
            </w:r>
          </w:p>
          <w:p>
            <w:pPr>
              <w:pStyle w:val="style0"/>
              <w:jc w:val="left"/>
              <w:rPr>
                <w:rFonts w:ascii="Times New Roman" w:cs="Times New Roman" w:hAnsi="Times New Roman"/>
                <w:b/>
                <w:sz w:val="20"/>
                <w:szCs w:val="20"/>
              </w:rPr>
            </w:pPr>
            <w:r>
              <w:rPr>
                <w:rFonts w:ascii="Times New Roman" w:cs="Times New Roman" w:hAnsi="Times New Roman"/>
                <w:b/>
                <w:sz w:val="20"/>
                <w:szCs w:val="20"/>
              </w:rPr>
              <w:t xml:space="preserve">                                                                           </w:t>
            </w:r>
            <w:r>
              <w:rPr>
                <w:rFonts w:ascii="Times New Roman" w:cs="Times New Roman" w:hAnsi="Times New Roman"/>
                <w:b/>
                <w:sz w:val="20"/>
                <w:szCs w:val="20"/>
              </w:rPr>
              <w:t>CASE STUDY</w:t>
            </w:r>
          </w:p>
          <w:p>
            <w:pPr>
              <w:pStyle w:val="style0"/>
              <w:numPr>
                <w:ilvl w:val="0"/>
                <w:numId w:val="8"/>
              </w:numPr>
              <w:jc w:val="both"/>
              <w:contextualSpacing/>
              <w:rPr>
                <w:rFonts w:ascii="Times New Roman" w:cs="Times New Roman" w:hAnsi="Times New Roman"/>
                <w:sz w:val="20"/>
                <w:szCs w:val="20"/>
              </w:rPr>
            </w:pPr>
            <w:r>
              <w:rPr>
                <w:rFonts w:ascii="Times New Roman" w:cs="Times New Roman" w:hAnsi="Times New Roman"/>
                <w:sz w:val="20"/>
                <w:szCs w:val="20"/>
              </w:rPr>
              <w:t xml:space="preserve"> Occupational Fraud is the use of one’s occupation for personal enrichment through the deliberate misuse or misapplication of the employing entity’s resources or assets - Association of Certified Fraud Examiners (ACFE).</w:t>
            </w:r>
          </w:p>
          <w:p>
            <w:pPr>
              <w:pStyle w:val="style0"/>
              <w:ind w:left="1080"/>
              <w:jc w:val="both"/>
              <w:contextualSpacing/>
              <w:rPr>
                <w:rFonts w:ascii="Times New Roman" w:cs="Times New Roman" w:hAnsi="Times New Roman"/>
                <w:sz w:val="20"/>
                <w:szCs w:val="20"/>
              </w:rPr>
            </w:pPr>
            <w:r>
              <w:rPr>
                <w:rFonts w:ascii="Times New Roman" w:cs="Times New Roman" w:hAnsi="Times New Roman"/>
                <w:sz w:val="20"/>
                <w:szCs w:val="20"/>
              </w:rPr>
              <w:t>In this scenario, the attitude of the administrator despite his credential in CPA is linked to the occupational fraud in which case, he is using his position to gain direct influence over the activities of the school through the use of the school’s resources.  This is clear case of corruption which leads to conflict of interest on his part. The administrator is exerting his positional influence to achieve his undisclosed personal benefits.</w:t>
            </w:r>
          </w:p>
          <w:p>
            <w:pPr>
              <w:pStyle w:val="style0"/>
              <w:ind w:left="1080"/>
              <w:jc w:val="both"/>
              <w:contextualSpacing/>
              <w:rPr>
                <w:rFonts w:ascii="Times New Roman" w:cs="Times New Roman" w:hAnsi="Times New Roman"/>
                <w:sz w:val="20"/>
                <w:szCs w:val="20"/>
              </w:rPr>
            </w:pPr>
            <w:r>
              <w:rPr>
                <w:rFonts w:ascii="Times New Roman" w:cs="Times New Roman" w:hAnsi="Times New Roman"/>
                <w:sz w:val="20"/>
                <w:szCs w:val="20"/>
              </w:rPr>
              <w:t xml:space="preserve">However, the investigation into the above case study could be started by the school doing the </w:t>
            </w:r>
            <w:r>
              <w:rPr>
                <w:rFonts w:ascii="Times New Roman" w:cs="Times New Roman" w:hAnsi="Times New Roman"/>
                <w:sz w:val="20"/>
                <w:szCs w:val="20"/>
              </w:rPr>
              <w:t>following;</w:t>
            </w:r>
            <w:bookmarkStart w:id="0" w:name="_GoBack"/>
            <w:bookmarkEnd w:id="0"/>
          </w:p>
          <w:p>
            <w:pPr>
              <w:pStyle w:val="style0"/>
              <w:numPr>
                <w:ilvl w:val="0"/>
                <w:numId w:val="9"/>
              </w:numPr>
              <w:jc w:val="both"/>
              <w:contextualSpacing/>
              <w:rPr>
                <w:rFonts w:ascii="Times New Roman" w:cs="Times New Roman" w:hAnsi="Times New Roman"/>
                <w:sz w:val="20"/>
                <w:szCs w:val="20"/>
              </w:rPr>
            </w:pPr>
            <w:r>
              <w:rPr>
                <w:rFonts w:ascii="Times New Roman" w:cs="Times New Roman" w:hAnsi="Times New Roman"/>
                <w:sz w:val="20"/>
                <w:szCs w:val="20"/>
              </w:rPr>
              <w:t>Appointing a Forensic Accountant with the relevant skills and mindset both in attributes and profession to investigate the administrator since he is a member of the CPA.</w:t>
            </w:r>
          </w:p>
          <w:p>
            <w:pPr>
              <w:pStyle w:val="style0"/>
              <w:numPr>
                <w:ilvl w:val="0"/>
                <w:numId w:val="9"/>
              </w:numPr>
              <w:jc w:val="both"/>
              <w:contextualSpacing/>
              <w:rPr>
                <w:rFonts w:ascii="Times New Roman" w:cs="Times New Roman" w:hAnsi="Times New Roman"/>
                <w:sz w:val="20"/>
                <w:szCs w:val="20"/>
              </w:rPr>
            </w:pPr>
            <w:r>
              <w:rPr>
                <w:rFonts w:ascii="Times New Roman" w:cs="Times New Roman" w:hAnsi="Times New Roman"/>
                <w:sz w:val="20"/>
                <w:szCs w:val="20"/>
              </w:rPr>
              <w:t>The Independent Forensic Accountant appointed should be able to accept the appointment and carry out the investigation with specialized skills and investigative techniques.</w:t>
            </w:r>
          </w:p>
          <w:p>
            <w:pPr>
              <w:pStyle w:val="style0"/>
              <w:numPr>
                <w:ilvl w:val="0"/>
                <w:numId w:val="9"/>
              </w:numPr>
              <w:jc w:val="both"/>
              <w:contextualSpacing/>
              <w:rPr>
                <w:rFonts w:ascii="Times New Roman" w:cs="Times New Roman" w:hAnsi="Times New Roman"/>
                <w:sz w:val="20"/>
                <w:szCs w:val="20"/>
              </w:rPr>
            </w:pPr>
            <w:r>
              <w:rPr>
                <w:rFonts w:ascii="Times New Roman" w:cs="Times New Roman" w:hAnsi="Times New Roman"/>
                <w:sz w:val="20"/>
                <w:szCs w:val="20"/>
              </w:rPr>
              <w:t xml:space="preserve">The investigative team should plan their work carefully in order to unravel how long the </w:t>
            </w:r>
          </w:p>
          <w:p>
            <w:pPr>
              <w:pStyle w:val="style0"/>
              <w:ind w:left="1440"/>
              <w:jc w:val="both"/>
              <w:contextualSpacing/>
              <w:rPr>
                <w:rFonts w:ascii="Times New Roman" w:cs="Times New Roman" w:hAnsi="Times New Roman"/>
                <w:sz w:val="20"/>
                <w:szCs w:val="20"/>
              </w:rPr>
            </w:pPr>
          </w:p>
          <w:p>
            <w:pPr>
              <w:pStyle w:val="style0"/>
              <w:ind w:left="1440"/>
              <w:jc w:val="both"/>
              <w:contextualSpacing/>
              <w:rPr>
                <w:rFonts w:ascii="Times New Roman" w:cs="Times New Roman" w:hAnsi="Times New Roman"/>
                <w:sz w:val="20"/>
                <w:szCs w:val="20"/>
              </w:rPr>
            </w:pPr>
            <w:r>
              <w:rPr>
                <w:rFonts w:ascii="Times New Roman" w:cs="Times New Roman" w:hAnsi="Times New Roman"/>
                <w:sz w:val="20"/>
                <w:szCs w:val="20"/>
              </w:rPr>
              <w:t>administrator’s fraudulent activities in the school have taken place.  Indeed, the type of fraud have been identified as corruption so the investigative team should be able to quantify the financial loss the school has suffered as a result of the administrator’s signing authority and too much of trust placed in him by the board of the school.</w:t>
            </w:r>
          </w:p>
          <w:p>
            <w:pPr>
              <w:pStyle w:val="style0"/>
              <w:numPr>
                <w:ilvl w:val="0"/>
                <w:numId w:val="9"/>
              </w:numPr>
              <w:jc w:val="both"/>
              <w:contextualSpacing/>
              <w:rPr>
                <w:rFonts w:ascii="Times New Roman" w:cs="Times New Roman" w:hAnsi="Times New Roman"/>
                <w:sz w:val="20"/>
                <w:szCs w:val="20"/>
              </w:rPr>
            </w:pPr>
            <w:r>
              <w:rPr>
                <w:rFonts w:ascii="Times New Roman" w:cs="Times New Roman" w:hAnsi="Times New Roman"/>
                <w:sz w:val="20"/>
                <w:szCs w:val="20"/>
              </w:rPr>
              <w:t>The investigative team should gather sufficient, appropriate reliable evidence of fraud to be presented to the law court in case of prosecution.  The necessary documentation giving rise to the fraud must be reviewed to ensure the safety of the information obtained while the evidence gathered should be of conclusive facts and findings so that it cannot be challenged by the administrator.</w:t>
            </w:r>
          </w:p>
          <w:p>
            <w:pPr>
              <w:pStyle w:val="style0"/>
              <w:numPr>
                <w:ilvl w:val="0"/>
                <w:numId w:val="9"/>
              </w:numPr>
              <w:jc w:val="both"/>
              <w:contextualSpacing/>
              <w:rPr>
                <w:rFonts w:ascii="Times New Roman" w:cs="Times New Roman" w:hAnsi="Times New Roman"/>
                <w:sz w:val="20"/>
                <w:szCs w:val="20"/>
              </w:rPr>
            </w:pPr>
            <w:r>
              <w:rPr>
                <w:rFonts w:ascii="Times New Roman" w:cs="Times New Roman" w:hAnsi="Times New Roman"/>
                <w:sz w:val="20"/>
                <w:szCs w:val="20"/>
              </w:rPr>
              <w:t>Reporting: The evidence obtained during the investigation should be clearly communicated to the board of the school and the law court as well in case of prosecution. The report should identify the extent to which financial losses are incurred by the administrator’s behavior. The control mechanisms that have been broken down should be strengthened in order to prevent future occurrence.</w:t>
            </w:r>
          </w:p>
          <w:p>
            <w:pPr>
              <w:pStyle w:val="style0"/>
              <w:ind w:left="1440"/>
              <w:jc w:val="both"/>
              <w:contextualSpacing/>
              <w:rPr>
                <w:rFonts w:ascii="Times New Roman" w:cs="Times New Roman" w:hAnsi="Times New Roman"/>
                <w:sz w:val="20"/>
                <w:szCs w:val="20"/>
              </w:rPr>
            </w:pPr>
          </w:p>
          <w:p>
            <w:pPr>
              <w:pStyle w:val="style0"/>
              <w:numPr>
                <w:ilvl w:val="0"/>
                <w:numId w:val="8"/>
              </w:numPr>
              <w:jc w:val="both"/>
              <w:contextualSpacing/>
              <w:rPr>
                <w:rFonts w:ascii="Times New Roman" w:cs="Times New Roman" w:hAnsi="Times New Roman"/>
                <w:sz w:val="20"/>
                <w:szCs w:val="20"/>
              </w:rPr>
            </w:pPr>
            <w:r>
              <w:rPr>
                <w:rFonts w:ascii="Times New Roman" w:cs="Times New Roman" w:hAnsi="Times New Roman"/>
                <w:sz w:val="20"/>
                <w:szCs w:val="20"/>
              </w:rPr>
              <w:t>Some of the documents that I think can help disclose the administrator’s fraud activities include:</w:t>
            </w:r>
          </w:p>
          <w:p>
            <w:pPr>
              <w:pStyle w:val="style0"/>
              <w:numPr>
                <w:ilvl w:val="0"/>
                <w:numId w:val="10"/>
              </w:numPr>
              <w:jc w:val="both"/>
              <w:contextualSpacing/>
              <w:rPr>
                <w:rFonts w:ascii="Times New Roman" w:cs="Times New Roman" w:hAnsi="Times New Roman"/>
                <w:sz w:val="20"/>
                <w:szCs w:val="20"/>
              </w:rPr>
            </w:pPr>
            <w:r>
              <w:rPr>
                <w:rFonts w:ascii="Times New Roman" w:cs="Times New Roman" w:hAnsi="Times New Roman"/>
                <w:sz w:val="20"/>
                <w:szCs w:val="20"/>
              </w:rPr>
              <w:t>The Official Payment vouchers duly signed, authorized and approved by him</w:t>
            </w:r>
          </w:p>
          <w:p>
            <w:pPr>
              <w:pStyle w:val="style0"/>
              <w:numPr>
                <w:ilvl w:val="0"/>
                <w:numId w:val="10"/>
              </w:numPr>
              <w:jc w:val="both"/>
              <w:contextualSpacing/>
              <w:rPr>
                <w:rFonts w:ascii="Times New Roman" w:cs="Times New Roman" w:hAnsi="Times New Roman"/>
                <w:sz w:val="20"/>
                <w:szCs w:val="20"/>
              </w:rPr>
            </w:pPr>
            <w:r>
              <w:rPr>
                <w:rFonts w:ascii="Times New Roman" w:cs="Times New Roman" w:hAnsi="Times New Roman"/>
                <w:sz w:val="20"/>
                <w:szCs w:val="20"/>
              </w:rPr>
              <w:t xml:space="preserve">The </w:t>
            </w:r>
            <w:r>
              <w:rPr>
                <w:rFonts w:ascii="Times New Roman" w:cs="Times New Roman" w:hAnsi="Times New Roman"/>
                <w:sz w:val="20"/>
                <w:szCs w:val="20"/>
              </w:rPr>
              <w:t>cheque</w:t>
            </w:r>
            <w:r>
              <w:rPr>
                <w:rFonts w:ascii="Times New Roman" w:cs="Times New Roman" w:hAnsi="Times New Roman"/>
                <w:sz w:val="20"/>
                <w:szCs w:val="20"/>
              </w:rPr>
              <w:t xml:space="preserve"> counterfoils to be sure of the amount written in his name and for what purpose.</w:t>
            </w:r>
          </w:p>
          <w:p>
            <w:pPr>
              <w:pStyle w:val="style0"/>
              <w:numPr>
                <w:ilvl w:val="0"/>
                <w:numId w:val="10"/>
              </w:numPr>
              <w:jc w:val="both"/>
              <w:contextualSpacing/>
              <w:rPr>
                <w:rFonts w:ascii="Times New Roman" w:cs="Times New Roman" w:hAnsi="Times New Roman"/>
                <w:sz w:val="20"/>
                <w:szCs w:val="20"/>
              </w:rPr>
            </w:pPr>
            <w:r>
              <w:rPr>
                <w:rFonts w:ascii="Times New Roman" w:cs="Times New Roman" w:hAnsi="Times New Roman"/>
                <w:sz w:val="20"/>
                <w:szCs w:val="20"/>
              </w:rPr>
              <w:t>The bank statement from the school’s bankers or to verify the credit card transactions.</w:t>
            </w:r>
          </w:p>
          <w:p>
            <w:pPr>
              <w:pStyle w:val="style0"/>
              <w:numPr>
                <w:ilvl w:val="0"/>
                <w:numId w:val="10"/>
              </w:numPr>
              <w:jc w:val="both"/>
              <w:contextualSpacing/>
              <w:rPr>
                <w:rFonts w:ascii="Times New Roman" w:cs="Times New Roman" w:hAnsi="Times New Roman"/>
                <w:sz w:val="20"/>
                <w:szCs w:val="20"/>
              </w:rPr>
            </w:pPr>
            <w:r>
              <w:rPr>
                <w:rFonts w:ascii="Times New Roman" w:cs="Times New Roman" w:hAnsi="Times New Roman"/>
                <w:sz w:val="20"/>
                <w:szCs w:val="20"/>
              </w:rPr>
              <w:t>The fuel coupons used by the administrator to buy gas for his own car</w:t>
            </w:r>
          </w:p>
          <w:p>
            <w:pPr>
              <w:pStyle w:val="style0"/>
              <w:numPr>
                <w:ilvl w:val="0"/>
                <w:numId w:val="10"/>
              </w:numPr>
              <w:jc w:val="both"/>
              <w:contextualSpacing/>
              <w:rPr>
                <w:rFonts w:ascii="Times New Roman" w:cs="Times New Roman" w:hAnsi="Times New Roman"/>
                <w:sz w:val="20"/>
                <w:szCs w:val="20"/>
              </w:rPr>
            </w:pPr>
            <w:r>
              <w:rPr>
                <w:rFonts w:ascii="Times New Roman" w:cs="Times New Roman" w:hAnsi="Times New Roman"/>
                <w:sz w:val="20"/>
                <w:szCs w:val="20"/>
              </w:rPr>
              <w:t>Receipts from the canteen where he takes his weekend meals and the workshop where his car is repaired.</w:t>
            </w:r>
          </w:p>
          <w:p>
            <w:pPr>
              <w:pStyle w:val="style0"/>
              <w:numPr>
                <w:ilvl w:val="0"/>
                <w:numId w:val="10"/>
              </w:numPr>
              <w:jc w:val="both"/>
              <w:contextualSpacing/>
              <w:rPr>
                <w:rFonts w:ascii="Times New Roman" w:cs="Times New Roman" w:hAnsi="Times New Roman"/>
                <w:sz w:val="20"/>
                <w:szCs w:val="20"/>
              </w:rPr>
            </w:pPr>
            <w:r>
              <w:rPr>
                <w:rFonts w:ascii="Times New Roman" w:cs="Times New Roman" w:hAnsi="Times New Roman"/>
                <w:sz w:val="20"/>
                <w:szCs w:val="20"/>
              </w:rPr>
              <w:t>The cashbook being kept by the school in order to look out for the number of transactions that have been recorded in the name of the administrator and time intervals of withdrawals from the bank.</w:t>
            </w:r>
          </w:p>
          <w:p>
            <w:pPr>
              <w:pStyle w:val="style0"/>
              <w:numPr>
                <w:ilvl w:val="0"/>
                <w:numId w:val="8"/>
              </w:numPr>
              <w:jc w:val="both"/>
              <w:contextualSpacing/>
              <w:rPr>
                <w:rFonts w:ascii="Times New Roman" w:cs="Times New Roman" w:hAnsi="Times New Roman"/>
                <w:sz w:val="20"/>
                <w:szCs w:val="20"/>
              </w:rPr>
            </w:pPr>
            <w:r>
              <w:rPr>
                <w:rFonts w:ascii="Times New Roman" w:cs="Times New Roman" w:hAnsi="Times New Roman"/>
                <w:sz w:val="20"/>
                <w:szCs w:val="20"/>
              </w:rPr>
              <w:t>In every Fraud Investigation, someone with expertise should be hired.  The Forensic Accountant is therefore needed and must be hired to look into the fraudulent activities of the administrator.</w:t>
            </w:r>
          </w:p>
          <w:p>
            <w:pPr>
              <w:pStyle w:val="style0"/>
              <w:ind w:left="1080"/>
              <w:jc w:val="both"/>
              <w:contextualSpacing/>
              <w:rPr>
                <w:rFonts w:ascii="Times New Roman" w:cs="Times New Roman" w:hAnsi="Times New Roman"/>
                <w:sz w:val="20"/>
                <w:szCs w:val="20"/>
              </w:rPr>
            </w:pPr>
            <w:r>
              <w:rPr>
                <w:rFonts w:ascii="Times New Roman" w:cs="Times New Roman" w:hAnsi="Times New Roman"/>
                <w:sz w:val="20"/>
                <w:szCs w:val="20"/>
              </w:rPr>
              <w:t>The Forensic Accountant should be chosen by the board and by considering the fact that he should be an independent person from the board to carry out his investigation duties professionally, effectively and efficiently.  He should be a person of high caliber with professional skepticism, knowledge base in law, critical and strategic thinker, very objective and with integrity. The Practitioner should be chosen by the board of the school upon certifying that the he /she is certified and licensed to practice as such.</w:t>
            </w:r>
          </w:p>
          <w:p>
            <w:pPr>
              <w:pStyle w:val="style0"/>
              <w:ind w:left="1080"/>
              <w:jc w:val="both"/>
              <w:contextualSpacing/>
              <w:rPr>
                <w:rFonts w:ascii="Times New Roman" w:cs="Times New Roman" w:hAnsi="Times New Roman"/>
                <w:sz w:val="20"/>
                <w:szCs w:val="20"/>
              </w:rPr>
            </w:pPr>
            <w:r>
              <w:rPr>
                <w:rFonts w:ascii="Times New Roman" w:cs="Times New Roman" w:hAnsi="Times New Roman"/>
                <w:sz w:val="20"/>
                <w:szCs w:val="20"/>
              </w:rPr>
              <w:t>The practitioner should be professionally competent, having accounting and auditing skills and must be of investigative and mentality skills.</w:t>
            </w:r>
          </w:p>
          <w:p>
            <w:pPr>
              <w:pStyle w:val="style0"/>
              <w:ind w:left="1080"/>
              <w:jc w:val="both"/>
              <w:contextualSpacing/>
              <w:rPr>
                <w:rFonts w:ascii="Times New Roman" w:cs="Times New Roman" w:hAnsi="Times New Roman"/>
                <w:sz w:val="20"/>
                <w:szCs w:val="20"/>
              </w:rPr>
            </w:pPr>
          </w:p>
          <w:p>
            <w:pPr>
              <w:pStyle w:val="style0"/>
              <w:ind w:left="1080"/>
              <w:jc w:val="both"/>
              <w:contextualSpacing/>
              <w:rPr>
                <w:rFonts w:ascii="Times New Roman" w:cs="Times New Roman" w:hAnsi="Times New Roman"/>
                <w:sz w:val="20"/>
                <w:szCs w:val="20"/>
              </w:rPr>
            </w:pPr>
          </w:p>
          <w:p>
            <w:pPr>
              <w:pStyle w:val="style0"/>
              <w:numPr>
                <w:ilvl w:val="0"/>
                <w:numId w:val="8"/>
              </w:numPr>
              <w:jc w:val="both"/>
              <w:contextualSpacing/>
              <w:rPr>
                <w:rFonts w:ascii="Times New Roman" w:cs="Times New Roman" w:hAnsi="Times New Roman"/>
                <w:sz w:val="20"/>
                <w:szCs w:val="20"/>
              </w:rPr>
            </w:pPr>
            <w:r>
              <w:rPr>
                <w:rFonts w:ascii="Times New Roman" w:cs="Times New Roman" w:hAnsi="Times New Roman"/>
                <w:sz w:val="20"/>
                <w:szCs w:val="20"/>
              </w:rPr>
              <w:t>Yes, the administrator should be interviewed and should be done at the conclusion stage, whereby reliable, sufficient and appropriate fraud evidence have been obtained to prove the allegation leveled  against him; he should also be interviewed at a stage whereby the evidence obtained cannot be denied since it was his secretary who blew the whistle on him.</w:t>
            </w:r>
          </w:p>
          <w:p>
            <w:pPr>
              <w:pStyle w:val="style0"/>
              <w:ind w:left="1080"/>
              <w:jc w:val="both"/>
              <w:contextualSpacing/>
              <w:rPr>
                <w:rFonts w:ascii="Times New Roman" w:cs="Times New Roman" w:hAnsi="Times New Roman"/>
                <w:sz w:val="20"/>
                <w:szCs w:val="20"/>
              </w:rPr>
            </w:pPr>
          </w:p>
          <w:p>
            <w:pPr>
              <w:pStyle w:val="style0"/>
              <w:ind w:left="1440"/>
              <w:jc w:val="both"/>
              <w:contextualSpacing/>
              <w:rPr>
                <w:rFonts w:ascii="Times New Roman" w:cs="Times New Roman" w:hAnsi="Times New Roman"/>
                <w:sz w:val="20"/>
                <w:szCs w:val="20"/>
              </w:rPr>
            </w:pPr>
          </w:p>
          <w:p>
            <w:pPr>
              <w:pStyle w:val="style0"/>
              <w:rPr>
                <w:rFonts w:ascii="Arial" w:cs="Arial" w:hAnsi="Arial"/>
                <w:sz w:val="24"/>
                <w:szCs w:val="24"/>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tc>
      </w:tr>
      <w:tr>
        <w:tblPrEx/>
        <w:trPr/>
        <w:tc>
          <w:tcPr>
            <w:tcW w:w="9242" w:type="dxa"/>
            <w:tcBorders/>
            <w:tcFitText w:val="false"/>
          </w:tcPr>
          <w:p>
            <w:pPr>
              <w:pStyle w:val="style0"/>
              <w:rPr>
                <w:rFonts w:ascii="Arial" w:cs="Arial" w:hAnsi="Arial"/>
                <w:sz w:val="24"/>
                <w:szCs w:val="24"/>
              </w:rPr>
            </w:pPr>
          </w:p>
        </w:tc>
      </w:tr>
    </w:tbl>
    <w:p>
      <w:pPr>
        <w:pStyle w:val="style0"/>
        <w:autoSpaceDE w:val="false"/>
        <w:autoSpaceDN w:val="false"/>
        <w:adjustRightInd w:val="false"/>
        <w:spacing w:after="0" w:lineRule="auto" w:line="240"/>
        <w:rPr>
          <w:rFonts w:cs="CalvertMT-Bold"/>
          <w:b/>
          <w:bCs/>
          <w:color w:val="002060"/>
          <w:sz w:val="28"/>
          <w:lang w:val="en-US"/>
        </w:rPr>
      </w:pPr>
    </w:p>
    <w:p>
      <w:pPr>
        <w:pStyle w:val="style0"/>
        <w:autoSpaceDE w:val="false"/>
        <w:autoSpaceDN w:val="false"/>
        <w:adjustRightInd w:val="false"/>
        <w:spacing w:after="0" w:lineRule="auto" w:line="240"/>
        <w:rPr>
          <w:rFonts w:cs="CalvertMT-Bold"/>
          <w:b/>
          <w:bCs/>
          <w:color w:val="002060"/>
          <w:sz w:val="28"/>
          <w:lang w:val="en-US"/>
        </w:rPr>
      </w:pPr>
      <w:r>
        <w:rPr>
          <w:rFonts w:cs="CalvertMT-Bold"/>
          <w:b/>
          <w:bCs/>
          <w:color w:val="002060"/>
          <w:sz w:val="28"/>
          <w:lang w:val="en-US"/>
        </w:rPr>
        <w:t>Student Statement:</w:t>
      </w:r>
    </w:p>
    <w:p>
      <w:pPr>
        <w:pStyle w:val="style0"/>
        <w:autoSpaceDE w:val="false"/>
        <w:autoSpaceDN w:val="false"/>
        <w:adjustRightInd w:val="false"/>
        <w:spacing w:after="0" w:lineRule="auto" w:line="240"/>
        <w:rPr>
          <w:rFonts w:cs="CalvertMT-Bold"/>
          <w:b/>
          <w:bCs/>
          <w:color w:val="001ae6"/>
          <w:lang w:val="en-US"/>
        </w:rPr>
      </w:pPr>
    </w:p>
    <w:p>
      <w:pPr>
        <w:pStyle w:val="style0"/>
        <w:autoSpaceDE w:val="false"/>
        <w:autoSpaceDN w:val="false"/>
        <w:adjustRightInd w:val="false"/>
        <w:spacing w:after="0" w:lineRule="auto" w:line="240"/>
        <w:rPr>
          <w:rFonts w:cs="Bliss-Regular"/>
          <w:color w:val="000000"/>
          <w:lang w:val="en-US"/>
        </w:rPr>
      </w:pPr>
      <w:r>
        <w:rPr>
          <w:rFonts w:cs="Bliss-Regular"/>
          <w:color w:val="000000"/>
          <w:lang w:val="en-US"/>
        </w:rPr>
        <w:t>By submitting this assignment, I confirm that this is my own work.</w:t>
      </w:r>
    </w:p>
    <w:p>
      <w:pPr>
        <w:pStyle w:val="style0"/>
        <w:autoSpaceDE w:val="false"/>
        <w:autoSpaceDN w:val="false"/>
        <w:adjustRightInd w:val="false"/>
        <w:spacing w:after="0" w:lineRule="auto" w:line="240"/>
        <w:rPr>
          <w:rFonts w:cs="Bliss-Regular"/>
          <w:color w:val="000000"/>
          <w:lang w:val="en-US"/>
        </w:rPr>
      </w:pPr>
    </w:p>
    <w:p>
      <w:pPr>
        <w:pStyle w:val="style0"/>
        <w:autoSpaceDE w:val="false"/>
        <w:autoSpaceDN w:val="false"/>
        <w:adjustRightInd w:val="false"/>
        <w:spacing w:after="0" w:lineRule="auto" w:line="240"/>
        <w:rPr>
          <w:rFonts w:cs="Bliss-Regular"/>
          <w:color w:val="000000"/>
          <w:lang w:val="en-US"/>
        </w:rPr>
      </w:pPr>
    </w:p>
    <w:p>
      <w:pPr>
        <w:pStyle w:val="style0"/>
        <w:autoSpaceDE w:val="false"/>
        <w:autoSpaceDN w:val="false"/>
        <w:adjustRightInd w:val="false"/>
        <w:spacing w:after="0" w:lineRule="auto" w:line="240"/>
        <w:rPr>
          <w:rFonts w:cs="Bliss-Regular"/>
          <w:color w:val="000000"/>
          <w:lang w:val="en-US"/>
        </w:rPr>
      </w:pPr>
    </w:p>
    <w:tbl>
      <w:tblPr>
        <w:tblStyle w:val="style154"/>
        <w:tblW w:w="0" w:type="auto"/>
        <w:tblLook w:val="04A0" w:firstRow="1" w:lastRow="0" w:firstColumn="1" w:lastColumn="0" w:noHBand="0" w:noVBand="1"/>
      </w:tblPr>
      <w:tblGrid>
        <w:gridCol w:w="2310"/>
        <w:gridCol w:w="4035"/>
        <w:gridCol w:w="1276"/>
        <w:gridCol w:w="1621"/>
      </w:tblGrid>
      <w:tr>
        <w:trPr/>
        <w:tc>
          <w:tcPr>
            <w:tcW w:w="2310" w:type="dxa"/>
            <w:tcBorders/>
            <w:shd w:val="clear" w:color="auto" w:fill="d9d9d9"/>
            <w:tcFitText w:val="false"/>
          </w:tcPr>
          <w:p>
            <w:pPr>
              <w:pStyle w:val="style0"/>
              <w:rPr>
                <w:rFonts w:cs="Bliss-Regular"/>
                <w:color w:val="000000"/>
              </w:rPr>
            </w:pPr>
            <w:r>
              <w:rPr>
                <w:rFonts w:cs="Bliss-Regular"/>
                <w:color w:val="000000"/>
              </w:rPr>
              <w:t>Student Signature</w:t>
            </w:r>
          </w:p>
        </w:tc>
        <w:tc>
          <w:tcPr>
            <w:tcW w:w="4035" w:type="dxa"/>
            <w:tcBorders/>
            <w:tcFitText w:val="false"/>
          </w:tcPr>
          <w:p>
            <w:pPr>
              <w:pStyle w:val="style0"/>
              <w:rPr>
                <w:rFonts w:cs="Bliss-Regular"/>
                <w:color w:val="000000"/>
              </w:rPr>
            </w:pPr>
            <w:r>
              <w:rPr>
                <w:rFonts w:cs="Bliss-Regular"/>
                <w:color w:val="000000"/>
              </w:rPr>
              <w:t>Effah Eugene Tannor</w:t>
            </w:r>
          </w:p>
        </w:tc>
        <w:tc>
          <w:tcPr>
            <w:tcW w:w="1276" w:type="dxa"/>
            <w:tcBorders/>
            <w:shd w:val="clear" w:color="auto" w:fill="d9d9d9"/>
            <w:tcFitText w:val="false"/>
          </w:tcPr>
          <w:p>
            <w:pPr>
              <w:pStyle w:val="style0"/>
              <w:rPr>
                <w:rFonts w:cs="Bliss-Regular"/>
                <w:color w:val="000000"/>
              </w:rPr>
            </w:pPr>
            <w:r>
              <w:rPr>
                <w:rFonts w:cs="Bliss-Regular"/>
                <w:color w:val="000000"/>
              </w:rPr>
              <w:t>Date</w:t>
            </w:r>
          </w:p>
        </w:tc>
        <w:tc>
          <w:tcPr>
            <w:tcW w:w="1621" w:type="dxa"/>
            <w:tcBorders/>
            <w:tcFitText w:val="false"/>
          </w:tcPr>
          <w:p>
            <w:pPr>
              <w:pStyle w:val="style0"/>
              <w:rPr>
                <w:rFonts w:cs="Bliss-Regular"/>
                <w:color w:val="000000"/>
              </w:rPr>
            </w:pPr>
            <w:r>
              <w:rPr>
                <w:rFonts w:cs="Bliss-Regular"/>
                <w:color w:val="000000"/>
              </w:rPr>
              <w:t>08th August,</w:t>
            </w:r>
            <w:r>
              <w:rPr>
                <w:rFonts w:cs="Bliss-Regular"/>
                <w:color w:val="000000"/>
              </w:rPr>
              <w:t xml:space="preserve">  2016</w:t>
            </w:r>
          </w:p>
        </w:tc>
      </w:tr>
    </w:tbl>
    <w:p>
      <w:pPr>
        <w:pStyle w:val="style0"/>
        <w:rPr>
          <w:rFonts w:cs="Bliss-Regular"/>
          <w:color w:val="000000"/>
          <w:lang w:val="en-US"/>
        </w:rPr>
      </w:pPr>
    </w:p>
    <w:p>
      <w:pPr>
        <w:pStyle w:val="style0"/>
        <w:rPr>
          <w:rFonts w:cs="Bliss-Regular"/>
          <w:color w:val="000000"/>
          <w:lang w:val="en-US"/>
        </w:rPr>
      </w:pPr>
    </w:p>
    <w:p>
      <w:pPr>
        <w:pStyle w:val="style0"/>
        <w:shd w:val="clear" w:color="auto" w:fill="d9d9d9"/>
        <w:rPr>
          <w:b/>
          <w:sz w:val="32"/>
          <w:lang w:val="en-US"/>
        </w:rPr>
      </w:pPr>
      <w:r>
        <w:rPr>
          <w:b/>
          <w:sz w:val="28"/>
          <w:lang w:val="en-US"/>
        </w:rPr>
        <w:t>For Tutor / Assessor Use Only</w:t>
      </w:r>
    </w:p>
    <w:tbl>
      <w:tblPr>
        <w:tblStyle w:val="style154"/>
        <w:tblW w:w="0" w:type="auto"/>
        <w:tblLook w:val="04A0" w:firstRow="1" w:lastRow="0" w:firstColumn="1" w:lastColumn="0" w:noHBand="0" w:noVBand="1"/>
      </w:tblPr>
      <w:tblGrid>
        <w:gridCol w:w="4621"/>
        <w:gridCol w:w="4621"/>
      </w:tblGrid>
      <w:tr>
        <w:trPr>
          <w:trHeight w:val="249" w:hRule="atLeast"/>
        </w:trPr>
        <w:tc>
          <w:tcPr>
            <w:tcW w:w="4621" w:type="dxa"/>
            <w:tcBorders/>
            <w:shd w:val="clear" w:color="auto" w:fill="d9d9d9"/>
            <w:tcFitText w:val="false"/>
          </w:tcPr>
          <w:p>
            <w:pPr>
              <w:pStyle w:val="style0"/>
              <w:rPr>
                <w:b/>
                <w:color w:val="002060"/>
              </w:rPr>
            </w:pPr>
            <w:r>
              <w:rPr>
                <w:b/>
                <w:color w:val="002060"/>
              </w:rPr>
              <w:t>Total Marks</w:t>
            </w:r>
          </w:p>
        </w:tc>
        <w:tc>
          <w:tcPr>
            <w:tcW w:w="4621" w:type="dxa"/>
            <w:tcBorders/>
            <w:tcFitText w:val="false"/>
          </w:tcPr>
          <w:p>
            <w:pPr>
              <w:pStyle w:val="style0"/>
              <w:rPr>
                <w:rFonts w:cs="Times New Roman"/>
                <w:szCs w:val="32"/>
              </w:rPr>
            </w:pPr>
          </w:p>
        </w:tc>
      </w:tr>
      <w:tr>
        <w:tblPrEx/>
        <w:trPr/>
        <w:tc>
          <w:tcPr>
            <w:tcW w:w="4621" w:type="dxa"/>
            <w:tcBorders/>
            <w:shd w:val="clear" w:color="auto" w:fill="d9d9d9"/>
            <w:tcFitText w:val="false"/>
          </w:tcPr>
          <w:p>
            <w:pPr>
              <w:pStyle w:val="style0"/>
              <w:rPr>
                <w:b/>
                <w:color w:val="002060"/>
              </w:rPr>
            </w:pPr>
            <w:r>
              <w:rPr>
                <w:b/>
                <w:color w:val="002060"/>
              </w:rPr>
              <w:t>Marks Obtained</w:t>
            </w:r>
          </w:p>
        </w:tc>
        <w:tc>
          <w:tcPr>
            <w:tcW w:w="4621" w:type="dxa"/>
            <w:tcBorders/>
            <w:tcFitText w:val="false"/>
          </w:tcPr>
          <w:p>
            <w:pPr>
              <w:pStyle w:val="style0"/>
              <w:rPr>
                <w:rFonts w:cs="Times New Roman"/>
                <w:szCs w:val="32"/>
              </w:rPr>
            </w:pPr>
          </w:p>
        </w:tc>
      </w:tr>
      <w:tr>
        <w:tblPrEx/>
        <w:trPr/>
        <w:tc>
          <w:tcPr>
            <w:tcW w:w="4621" w:type="dxa"/>
            <w:tcBorders/>
            <w:shd w:val="clear" w:color="auto" w:fill="d9d9d9"/>
            <w:tcFitText w:val="false"/>
          </w:tcPr>
          <w:p>
            <w:pPr>
              <w:pStyle w:val="style0"/>
              <w:rPr>
                <w:b/>
                <w:color w:val="002060"/>
              </w:rPr>
            </w:pPr>
            <w:r>
              <w:rPr>
                <w:b/>
                <w:color w:val="002060"/>
              </w:rPr>
              <w:t>Percentage / Grade</w:t>
            </w:r>
          </w:p>
        </w:tc>
        <w:tc>
          <w:tcPr>
            <w:tcW w:w="4621" w:type="dxa"/>
            <w:tcBorders/>
            <w:tcFitText w:val="false"/>
          </w:tcPr>
          <w:p>
            <w:pPr>
              <w:pStyle w:val="style0"/>
              <w:rPr>
                <w:rFonts w:cs="Times New Roman"/>
                <w:szCs w:val="32"/>
              </w:rPr>
            </w:pPr>
          </w:p>
        </w:tc>
      </w:tr>
    </w:tbl>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Tahoma">
    <w:altName w:val="Tahoma"/>
    <w:panose1 w:val="00000000000000000000"/>
    <w:charset w:val="00"/>
    <w:family w:val="swiss"/>
    <w:pitch w:val="variable"/>
    <w:sig w:usb0="00000003" w:usb1="00000000" w:usb2="00000000" w:usb3="00000000" w:csb0="00000001" w:csb1="00000000"/>
  </w:font>
  <w:font w:name="Arial">
    <w:altName w:val="Arial"/>
    <w:panose1 w:val="020b0604020002020204"/>
    <w:charset w:val="00"/>
    <w:family w:val="swiss"/>
    <w:pitch w:val="variable"/>
    <w:sig w:usb0="E0002AFF" w:usb1="C0007843" w:usb2="00000009" w:usb3="00000000" w:csb0="000001FF" w:csb1="00000000"/>
  </w:font>
  <w:font w:name="CalvertMT-Bold">
    <w:altName w:val="CalvertMT-Bold"/>
    <w:panose1 w:val="00000000000000000000"/>
    <w:charset w:val="00"/>
    <w:family w:val="roman"/>
    <w:pitch w:val="default"/>
    <w:sig w:usb0="00000003" w:usb1="00000000" w:usb2="00000000" w:usb3="00000000" w:csb0="00000001" w:csb1="00000000"/>
  </w:font>
  <w:font w:name="Bliss-Regular">
    <w:altName w:val="Bliss-Regular"/>
    <w:panose1 w:val="00000000000000000000"/>
    <w:charset w:val="00"/>
    <w:family w:val="swiss"/>
    <w:pitch w:val="default"/>
    <w:sig w:usb0="00000003" w:usb1="00000000" w:usb2="00000000" w:usb3="00000000" w:csb0="00000001"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69AEC218"/>
    <w:lvl w:ilvl="0" w:tplc="B7BE69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06B83FC0"/>
    <w:lvl w:ilvl="0" w:tplc="B718BE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0000003"/>
    <w:multiLevelType w:val="hybridMultilevel"/>
    <w:tmpl w:val="3D823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F2DC83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7F1AB09A"/>
    <w:lvl w:ilvl="0" w:tplc="70F2543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0000006"/>
    <w:multiLevelType w:val="hybridMultilevel"/>
    <w:tmpl w:val="CDD4C7CC"/>
    <w:lvl w:ilvl="0" w:tplc="49F4A1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hybridMultilevel"/>
    <w:tmpl w:val="DB6422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8"/>
    <w:multiLevelType w:val="hybridMultilevel"/>
    <w:tmpl w:val="133C303E"/>
    <w:lvl w:ilvl="0" w:tplc="E4EE16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00000009"/>
    <w:multiLevelType w:val="hybridMultilevel"/>
    <w:tmpl w:val="E5DA820E"/>
    <w:lvl w:ilvl="0" w:tplc="31E4725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6"/>
  </w:num>
  <w:num w:numId="4">
    <w:abstractNumId w:val="5"/>
  </w:num>
  <w:num w:numId="5">
    <w:abstractNumId w:val="3"/>
  </w:num>
  <w:num w:numId="6">
    <w:abstractNumId w:val="4"/>
  </w:num>
  <w:num w:numId="7">
    <w:abstractNumId w:val="7"/>
  </w:num>
  <w:num w:numId="8">
    <w:abstractNumId w:val="2"/>
  </w:num>
  <w:num w:numId="9">
    <w:abstractNumId w:val="9"/>
  </w:num>
  <w:num w:numId="10">
    <w:abstractNumId w:val="8"/>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compatSetting w:name="compatibilityMode" w:uri="http://schemas.microsoft.com/office/word" w:val="12"/>
  </w:compat>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513"/>
        <w:tab w:val="right" w:leader="none" w:pos="9026"/>
      </w:tabs>
      <w:spacing w:after="0" w:lineRule="auto" w:line="240"/>
    </w:pPr>
    <w:rPr/>
  </w:style>
  <w:style w:type="character" w:customStyle="1" w:styleId="style4097">
    <w:name w:val="Header Char_56866f81-ffa6-4377-80c4-b224b0b14a47"/>
    <w:basedOn w:val="style65"/>
    <w:next w:val="style4097"/>
    <w:link w:val="style31"/>
    <w:uiPriority w:val="99"/>
  </w:style>
  <w:style w:type="paragraph" w:styleId="style32">
    <w:name w:val="footer"/>
    <w:basedOn w:val="style0"/>
    <w:next w:val="style32"/>
    <w:link w:val="style4098"/>
    <w:uiPriority w:val="99"/>
    <w:pPr>
      <w:tabs>
        <w:tab w:val="center" w:leader="none" w:pos="4513"/>
        <w:tab w:val="right" w:leader="none" w:pos="9026"/>
      </w:tabs>
      <w:spacing w:after="0" w:lineRule="auto" w:line="240"/>
    </w:pPr>
    <w:rPr/>
  </w:style>
  <w:style w:type="character" w:customStyle="1" w:styleId="style4098">
    <w:name w:val="Footer Char_d3895c2b-1155-49a5-8cc3-21c4014e6c9c"/>
    <w:basedOn w:val="style65"/>
    <w:next w:val="style4098"/>
    <w:link w:val="style32"/>
    <w:uiPriority w:val="99"/>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 w:type="paragraph" w:styleId="style179">
    <w:name w:val="List Paragraph"/>
    <w:basedOn w:val="style0"/>
    <w:next w:val="style179"/>
    <w:qFormat/>
    <w:uiPriority w:val="34"/>
    <w:pPr>
      <w:ind w:left="720"/>
      <w:contextualSpacing/>
    </w:pPr>
    <w:rPr>
      <w:rFonts w:ascii="Calibri" w:cs="Times New Roman" w:eastAsia="Calibri" w:hAnsi="Calibri"/>
      <w:lang w:val="en-US"/>
    </w:rPr>
  </w:style>
  <w:style w:type="paragraph" w:customStyle="1" w:styleId="style4100">
    <w:name w:val="Default"/>
    <w:next w:val="style4100"/>
    <w:pPr>
      <w:autoSpaceDE w:val="false"/>
      <w:autoSpaceDN w:val="false"/>
      <w:adjustRightInd w:val="false"/>
      <w:spacing w:after="0" w:lineRule="auto" w:line="240"/>
    </w:pPr>
    <w:rPr>
      <w:rFonts w:ascii="Calibri" w:cs="Calibri" w:eastAsia="Calibri" w:hAnsi="Calibri"/>
      <w:color w:val="000000"/>
      <w:sz w:val="24"/>
      <w:szCs w:val="24"/>
      <w:lang w:val="en-US"/>
    </w:rPr>
  </w:style>
  <w:style w:type="table" w:styleId="style154">
    <w:name w:val="Table Grid"/>
    <w:basedOn w:val="style105"/>
    <w:next w:val="style154"/>
    <w:uiPriority w:val="59"/>
    <w:pPr>
      <w:spacing w:after="0" w:lineRule="auto" w:line="240"/>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2" Type="http://schemas.openxmlformats.org/officeDocument/2006/relationships/image" Target="media/image1.png"/><Relationship Id="rId1" Type="http://schemas.openxmlformats.org/officeDocument/2006/relationships/numbering" Target="numbering.xml"/><Relationship Id="rId4" Type="http://schemas.openxmlformats.org/officeDocument/2006/relationships/fontTable" Target="fontTable.xml"/><Relationship Id="rId3" Type="http://schemas.openxmlformats.org/officeDocument/2006/relationships/styles" Target="styles.xml"/><Relationship Id="rId6" Type="http://schemas.openxmlformats.org/officeDocument/2006/relationships/theme" Target="theme/theme1.xml"/><Relationship Id="rId5"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Words>2247</Words>
  <Characters>12639</Characters>
  <Application>WPS Office</Application>
  <DocSecurity>0</DocSecurity>
  <Paragraphs>253</Paragraphs>
  <ScaleCrop>false</ScaleCrop>
  <LinksUpToDate>false</LinksUpToDate>
  <CharactersWithSpaces>15326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2015-01-26T12:24:00Z</dcterms:created>
  <dc:creator>kemipher</dc:creator>
  <lastModifiedBy>Eugene it1502</lastModifiedBy>
  <dcterms:modified xsi:type="dcterms:W3CDTF">2016-08-08T19:14:56Z</dcterms:modified>
  <revision>7</revision>
</coreProperties>
</file>