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mc:Ignorable="w14 wp14">
  <w:body>
    <w:p>
      <w:pPr>
        <w:pStyle w:val="Default"/>
        <w:rPr>
          <w:rFonts w:ascii="Calibri" w:hAnsi="Calibri"/>
          <w:color w:val="000000"/>
          <w:sz w:val="24"/>
          <w:lang w:bidi="ar_SA" w:eastAsia="en_US" w:val="en_GB"/>
        </w:rPr>
      </w:pPr>
      <w:r>
        <w:drawing>
          <wp:anchor xmlns:a="http://schemas.openxmlformats.org/drawingml/2006/main" allowOverlap="1" behindDoc="0" distB="0" distL="114300" distR="114300" distT="0" layoutInCell="1" locked="0" relativeHeight="251658240" simplePos="0">
            <wp:simplePos xmlns:c="http://schemas.openxmlformats.org/drawingml/2006/chart" xmlns:pic="http://schemas.openxmlformats.org/drawingml/2006/picture" xmlns:dgm="http://schemas.openxmlformats.org/drawingml/2006/diagram" xmlns:p="http://schemas.openxmlformats.org/presentationml/2006/main" x="0" y="0"/>
            <wp:positionH relativeFrom="column">
              <wp:posOffset>-342900</wp:posOffset>
            </wp:positionH>
            <wp:positionV relativeFrom="paragraph">
              <wp:posOffset>-295275</wp:posOffset>
            </wp:positionV>
            <wp:extent xmlns:c="http://schemas.openxmlformats.org/drawingml/2006/chart" xmlns:pic="http://schemas.openxmlformats.org/drawingml/2006/picture" xmlns:dgm="http://schemas.openxmlformats.org/drawingml/2006/diagram" xmlns:p="http://schemas.openxmlformats.org/presentationml/2006/main" cx="2809875" cy="1419225"/>
            <wp:effectExtent b="0" l="0" r="0" t="0"/>
            <wp:wrapNone/>
            <wp:docPr xmlns:c="http://schemas.openxmlformats.org/drawingml/2006/chart" xmlns:pic="http://schemas.openxmlformats.org/drawingml/2006/picture" xmlns:dgm="http://schemas.openxmlformats.org/drawingml/2006/diagram" xmlns:p="http://schemas.openxmlformats.org/presentationml/2006/main" id="5" name="Picture 1" descr="BOLC_Logo"/>
            <wp:cNvGraphicFramePr xmlns:c="http://schemas.openxmlformats.org/drawingml/2006/chart" xmlns:pic="http://schemas.openxmlformats.org/drawingml/2006/picture" xmlns:dgm="http://schemas.openxmlformats.org/drawingml/2006/diagram" xmlns:p="http://schemas.openxmlformats.org/presentationml/2006/main">
              <a:graphicFrameLocks noChangeAspect="1"/>
            </wp:cNvGraphicFramePr>
            <a:graphic xmlns:c="http://schemas.openxmlformats.org/drawingml/2006/chart" xmlns:pic="http://schemas.openxmlformats.org/drawingml/2006/picture" xmlns:dgm="http://schemas.openxmlformats.org/drawingml/2006/diagram" xmlns:p="http://schemas.openxmlformats.org/presentationml/2006/main">
              <a:graphicData uri="http://schemas.openxmlformats.org/drawingml/2006/picture">
                <pic:pic>
                  <pic:nvPicPr>
                    <pic:cNvPr descr="BOLC_Logo" id="0" name="Picture 1"/>
                    <pic:cNvPicPr>
                      <a:picLocks noChangeArrowheads="1" noChangeAspect="1"/>
                    </pic:cNvPicPr>
                  </pic:nvPicPr>
                  <pic:blipFill>
                    <a:blip r:embed="rId2" cstate="print"/>
                    <a:srcRect b="32001" l="20320" r="23669" t="20000"/>
                    <a:stretch>
                      <a:fillRect/>
                    </a:stretch>
                  </pic:blipFill>
                  <pic:spPr bwMode="auto">
                    <a:xfrm>
                      <a:off x="0" y="0"/>
                      <a:ext cx="2809875" cy="1419225"/>
                    </a:xfrm>
                    <a:prstGeom prst="rect">
                      <a:avLst/>
                    </a:prstGeom>
                    <a:noFill/>
                    <a:ln algn="in" w="9525">
                      <a:miter lim="800000"/>
                    </a:ln>
                  </pic:spPr>
                </pic:pic>
              </a:graphicData>
            </a:graphic>
          </wp:anchor>
        </w:drawing>
      </w:r>
      <w:r>
        <w:t xml:space="preserve">                                                             </w:t>
      </w:r>
      <w:r>
        <w:t xml:space="preserve">     </w:t>
      </w:r>
    </w:p>
    <w:p>
      <w:pPr>
        <w:rPr>
          <w:sz w:val="22"/>
          <w:lang w:val="en-US"/>
        </w:rPr>
      </w:pPr>
      <w:r>
        <w:rPr>
          <w:lang w:eastAsia="zh-TW" w:val="en-US"/>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E40D5" w:rsidRDefault="00AE40D5" w:rsidP="00405895">
                  <w:pPr>
                    <w:jc w:val="center"/>
                    <w:rPr>
                      <w:b/>
                      <w:bCs/>
                      <w:color w:val="002060"/>
                      <w:sz w:val="44"/>
                      <w:szCs w:val="40"/>
                    </w:rPr>
                  </w:pPr>
                  <w:r>
                    <w:rPr>
                      <w:sz w:val="24"/>
                    </w:rPr>
                    <w:t xml:space="preserve">   </w:t>
                  </w:r>
                  <w:r>
                    <w:rPr>
                      <w:b/>
                      <w:bCs/>
                      <w:color w:val="002060"/>
                      <w:sz w:val="44"/>
                      <w:szCs w:val="40"/>
                    </w:rPr>
                    <w:t>Assignment Cover Sheet</w:t>
                  </w:r>
                </w:p>
                <w:p w:rsidR="00AE40D5" w:rsidRDefault="00AE40D5"/>
              </w:txbxContent>
            </v:textbox>
          </v:shape>
        </w:pict>
      </w:r>
    </w:p>
    <w:p>
      <w:pPr>
        <w:rPr>
          <w:sz w:val="22"/>
          <w:lang w:val="en-US"/>
        </w:rPr>
      </w:pPr>
    </w:p>
    <w:p>
      <w:pPr>
        <w:rPr>
          <w:sz w:val="22"/>
          <w:lang w:val="en-US"/>
        </w:rPr>
      </w:pPr>
    </w:p>
    <w:p>
      <w:pPr>
        <w:rPr>
          <w:sz w:val="22"/>
          <w:lang w:val="en-US"/>
        </w:rPr>
      </w:pPr>
    </w:p>
    <w:tbl>
      <w:tblPr>
        <w:tblStyle w:val="TableGrid"/>
        <w:tblW w:type="auto" w:w="0"/>
        <w:tblLook w:val="04A0"/>
      </w:tblPr>
      <w:tblGrid>
        <w:gridCol w:w="2566"/>
        <w:gridCol w:w="6676"/>
      </w:tblGrid>
      <w:tr>
        <w:tc>
          <w:tcPr>
            <w:tcW w:type="dxa" w:w="2566"/>
            <w:tcBorders>
              <w:top w:color="000000" w:sz="4" w:val="single"/>
              <w:left w:color="000000" w:sz="4" w:val="single"/>
              <w:bottom w:color="000000" w:sz="4" w:val="single"/>
              <w:right w:color="000000" w:sz="4" w:val="single"/>
            </w:tcBorders>
            <w:shd w:color="000000" w:fill="D9D9D9" w:val="clear"/>
          </w:tcPr>
          <w:p>
            <w:pPr>
              <w:rPr>
                <w:b w:val="1"/>
                <w:color w:val="002060"/>
                <w:sz w:val="22"/>
                <w:lang w:bidi="ar_SA" w:eastAsia="en_US" w:val="en_GB"/>
              </w:rPr>
            </w:pPr>
            <w:r>
              <w:rPr>
                <w:b w:val="1"/>
                <w:color w:val="002060"/>
              </w:rPr>
              <w:t>Student Name:</w:t>
            </w:r>
          </w:p>
        </w:tc>
        <w:tc>
          <w:tcPr>
            <w:tcW w:type="dxa" w:w="6676"/>
            <w:tcBorders>
              <w:top w:color="000000" w:sz="4" w:val="single"/>
              <w:left w:color="000000" w:sz="4" w:val="single"/>
              <w:bottom w:color="000000" w:sz="4" w:val="single"/>
              <w:right w:color="000000" w:sz="4" w:val="single"/>
            </w:tcBorders>
          </w:tcPr>
          <w:p>
            <w:pPr>
              <w:pStyle w:val="Default"/>
              <w:rPr>
                <w:rFonts w:ascii="Calibri" w:hAnsi="Calibri"/>
                <w:color w:val="000000"/>
                <w:sz w:val="24"/>
                <w:lang w:bidi="ar_SA" w:eastAsia="en_US" w:val="en_GB"/>
              </w:rPr>
            </w:pPr>
            <w:r>
              <w:rPr>
                <w:rFonts w:ascii="Calibri" w:hAnsi="Calibri"/>
                <w:vanish w:val="0"/>
                <w:color w:val="000000"/>
                <w:sz w:val="24"/>
                <w:lang w:val="en-GB"/>
              </w:rPr>
              <w:t>Sarah</w:t>
            </w:r>
            <w:r>
              <w:t xml:space="preserve"> Bailey</w:t>
            </w:r>
          </w:p>
        </w:tc>
      </w:tr>
      <w:tr>
        <w:tc>
          <w:tcPr>
            <w:tcW w:type="dxa" w:w="2566"/>
            <w:tcBorders>
              <w:top w:color="000000" w:sz="4" w:val="single"/>
              <w:left w:color="000000" w:sz="4" w:val="single"/>
              <w:bottom w:color="000000" w:sz="4" w:val="single"/>
              <w:right w:color="000000" w:sz="4" w:val="single"/>
            </w:tcBorders>
            <w:shd w:color="000000" w:fill="D9D9D9" w:val="clear"/>
          </w:tcPr>
          <w:p>
            <w:pPr>
              <w:rPr>
                <w:b w:val="1"/>
                <w:color w:val="002060"/>
                <w:sz w:val="22"/>
                <w:lang w:bidi="ar_SA" w:eastAsia="en_US" w:val="en_GB"/>
              </w:rPr>
            </w:pPr>
            <w:r>
              <w:rPr>
                <w:b w:val="1"/>
                <w:color w:val="002060"/>
              </w:rPr>
              <w:t>Student Number:</w:t>
            </w:r>
          </w:p>
        </w:tc>
        <w:tc>
          <w:tcPr>
            <w:tcW w:type="dxa" w:w="6676"/>
            <w:tcBorders>
              <w:top w:color="000000" w:sz="4" w:val="single"/>
              <w:left w:color="000000" w:sz="4" w:val="single"/>
              <w:bottom w:color="000000" w:sz="4" w:val="single"/>
              <w:right w:color="000000" w:sz="4" w:val="single"/>
            </w:tcBorders>
          </w:tcPr>
          <w:p>
            <w:pPr>
              <w:pStyle w:val="Default"/>
              <w:rPr>
                <w:rFonts w:ascii="Calibri" w:hAnsi="Calibri"/>
                <w:color w:val="000000"/>
                <w:sz w:val="24"/>
                <w:lang w:bidi="ar_SA" w:eastAsia="en_US" w:val="en_GB"/>
              </w:rPr>
            </w:pPr>
            <w:r>
              <w:t>34</w:t>
            </w:r>
            <w:r>
              <w:rPr>
                <w:rFonts w:ascii="Calibri" w:hAnsi="Calibri"/>
                <w:vanish w:val="0"/>
                <w:color w:val="000000"/>
                <w:sz w:val="24"/>
                <w:lang w:val="en-GB"/>
              </w:rPr>
              <w:t>51</w:t>
            </w:r>
          </w:p>
        </w:tc>
      </w:tr>
      <w:tr>
        <w:tc>
          <w:tcPr>
            <w:tcW w:type="dxa" w:w="2566"/>
            <w:tcBorders>
              <w:top w:color="000000" w:sz="4" w:val="single"/>
              <w:left w:color="000000" w:sz="4" w:val="single"/>
              <w:bottom w:color="000000" w:sz="4" w:val="single"/>
              <w:right w:color="000000" w:sz="4" w:val="single"/>
            </w:tcBorders>
            <w:shd w:color="000000" w:fill="D9D9D9" w:val="clear"/>
          </w:tcPr>
          <w:p>
            <w:pPr>
              <w:rPr>
                <w:b w:val="1"/>
                <w:color w:val="002060"/>
                <w:sz w:val="22"/>
                <w:lang w:bidi="ar_SA" w:eastAsia="en_US" w:val="en_GB"/>
              </w:rPr>
            </w:pPr>
            <w:r>
              <w:rPr>
                <w:b w:val="1"/>
                <w:color w:val="002060"/>
              </w:rPr>
              <w:t>Course:</w:t>
            </w:r>
          </w:p>
        </w:tc>
        <w:tc>
          <w:tcPr>
            <w:tcW w:type="dxa" w:w="6676"/>
            <w:tcBorders>
              <w:top w:color="000000" w:sz="4" w:val="single"/>
              <w:left w:color="000000" w:sz="4" w:val="single"/>
              <w:bottom w:color="000000" w:sz="4" w:val="single"/>
              <w:right w:color="000000" w:sz="4" w:val="single"/>
            </w:tcBorders>
          </w:tcPr>
          <w:p>
            <w:pPr>
              <w:pStyle w:val="Default"/>
              <w:rPr>
                <w:rFonts w:ascii="Calibri" w:hAnsi="Calibri"/>
                <w:color w:val="000000"/>
                <w:sz w:val="24"/>
                <w:lang w:bidi="ar_SA" w:eastAsia="en_US" w:val="en_GB"/>
              </w:rPr>
            </w:pPr>
            <w:r>
              <w:t xml:space="preserve">Diploma In </w:t>
            </w:r>
            <w:r>
              <w:t>Business Administration</w:t>
            </w:r>
          </w:p>
        </w:tc>
      </w:tr>
      <w:tr>
        <w:tc>
          <w:tcPr>
            <w:tcW w:type="dxa" w:w="2566"/>
            <w:tcBorders>
              <w:top w:color="000000" w:sz="4" w:val="single"/>
              <w:left w:color="000000" w:sz="4" w:val="single"/>
              <w:bottom w:color="000000" w:sz="4" w:val="single"/>
              <w:right w:color="000000" w:sz="4" w:val="single"/>
            </w:tcBorders>
            <w:shd w:color="000000" w:fill="D9D9D9" w:val="clear"/>
          </w:tcPr>
          <w:p>
            <w:pPr>
              <w:rPr>
                <w:b w:val="1"/>
                <w:color w:val="002060"/>
                <w:sz w:val="22"/>
                <w:lang w:bidi="ar_SA" w:eastAsia="en_US" w:val="en_GB"/>
              </w:rPr>
            </w:pPr>
            <w:r>
              <w:rPr>
                <w:b w:val="1"/>
                <w:color w:val="002060"/>
              </w:rPr>
              <w:t>Assignment NO:</w:t>
            </w:r>
          </w:p>
        </w:tc>
        <w:tc>
          <w:tcPr>
            <w:tcW w:type="dxa" w:w="6676"/>
            <w:tcBorders>
              <w:top w:color="000000" w:sz="4" w:val="single"/>
              <w:left w:color="000000" w:sz="4" w:val="single"/>
              <w:bottom w:color="000000" w:sz="4" w:val="single"/>
              <w:right w:color="000000" w:sz="4" w:val="single"/>
            </w:tcBorders>
          </w:tcPr>
          <w:p>
            <w:pPr>
              <w:rPr>
                <w:sz w:val="22"/>
                <w:lang w:bidi="ar_SA" w:eastAsia="en_US" w:val="en_GB"/>
              </w:rPr>
            </w:pPr>
            <w:r>
              <w:t>2</w:t>
            </w:r>
          </w:p>
        </w:tc>
      </w:tr>
    </w:tbl>
    <w:p>
      <w:pPr>
        <w:rPr>
          <w:b w:val="1"/>
          <w:sz w:val="22"/>
          <w:lang w:val="en-US"/>
        </w:rPr>
      </w:pPr>
    </w:p>
    <w:p>
      <w:pPr>
        <w:rPr>
          <w:b w:val="1"/>
          <w:sz w:val="28"/>
          <w:lang w:val="en-US"/>
        </w:rPr>
      </w:pPr>
      <w:r>
        <w:rPr>
          <w:b w:val="1"/>
          <w:sz w:val="28"/>
          <w:lang w:val="en-US"/>
        </w:rPr>
        <w:t>Marking Criteria:</w:t>
      </w:r>
    </w:p>
    <w:p>
      <w:pPr>
        <w:rPr>
          <w:sz w:val="22"/>
          <w:lang w:val="en-US"/>
        </w:rPr>
      </w:pPr>
      <w:r>
        <w:rPr>
          <w:b w:val="1"/>
          <w:lang w:val="en-US"/>
        </w:rPr>
        <w:t xml:space="preserve"> </w:t>
      </w:r>
      <w:r>
        <w:rPr>
          <w:lang w:val="en-US"/>
        </w:rPr>
        <w:t>We expect the learner</w:t>
      </w:r>
      <w:r>
        <w:rPr>
          <w:lang w:val="en-US"/>
        </w:rPr>
        <w:t>s</w:t>
      </w:r>
      <w:r>
        <w:rPr>
          <w:lang w:val="en-US"/>
        </w:rPr>
        <w:t xml:space="preserve"> to write minimum one </w:t>
      </w:r>
      <w:r>
        <w:rPr>
          <w:lang w:val="en-US"/>
        </w:rPr>
        <w:t>well expressed</w:t>
      </w:r>
      <w:r>
        <w:rPr>
          <w:lang w:val="en-US"/>
        </w:rPr>
        <w:t xml:space="preserve"> point in</w:t>
      </w:r>
      <w:r>
        <w:rPr>
          <w:lang w:val="en-US"/>
        </w:rPr>
        <w:t xml:space="preserve"> </w:t>
      </w:r>
      <w:r>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pPr>
        <w:rPr>
          <w:sz w:val="22"/>
          <w:lang w:val="en-US"/>
        </w:rPr>
      </w:pPr>
      <w:r>
        <w:rPr>
          <w:lang w:val="en-US"/>
        </w:rPr>
        <w:t xml:space="preserve">For high grades use </w:t>
      </w:r>
      <w:r>
        <w:rPr>
          <w:lang w:val="en-US"/>
        </w:rPr>
        <w:t xml:space="preserve">examples and illustrations </w:t>
      </w:r>
      <w:r>
        <w:rPr>
          <w:lang w:val="en-US"/>
        </w:rPr>
        <w:t>where appropriate</w:t>
      </w:r>
      <w:r>
        <w:rPr>
          <w:lang w:val="en-US"/>
        </w:rPr>
        <w:t>.</w:t>
      </w:r>
      <w:r>
        <w:rPr>
          <w:lang w:val="en-US"/>
        </w:rPr>
        <w:t xml:space="preserve"> </w:t>
      </w:r>
    </w:p>
    <w:tbl>
      <w:tblPr>
        <w:tblStyle w:val="TableGrid"/>
        <w:tblW w:type="auto" w:w="0"/>
        <w:tblLook w:val="04A0"/>
      </w:tblPr>
      <w:tblGrid>
        <w:gridCol w:w="9242"/>
      </w:tblGrid>
      <w:tr>
        <w:tc>
          <w:tcPr>
            <w:tcW w:type="dxa" w:w="9242"/>
          </w:tcPr>
          <w:p>
            <w:pPr>
              <w:rPr>
                <w:rFonts w:ascii="Arial" w:hAnsi="Arial"/>
                <w:sz w:val="24"/>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p>
            <w:pPr>
              <w:rPr>
                <w:b w:val="1"/>
                <w:sz w:val="22"/>
                <w:lang w:bidi="ar_SA" w:eastAsia="en_US" w:val="en_GB"/>
              </w:rPr>
            </w:pPr>
          </w:p>
        </w:tc>
      </w:tr>
    </w:tbl>
    <w:p>
      <w:pPr>
        <w:spacing w:after="0" w:line="240" w:lineRule="auto"/>
        <w:rPr>
          <w:b w:val="1"/>
          <w:bCs w:val="1"/>
          <w:color w:val="002060"/>
          <w:sz w:val="28"/>
          <w:lang w:val="en-US"/>
        </w:rPr>
      </w:pPr>
    </w:p>
    <w:p>
      <w:pPr>
        <w:spacing w:after="0" w:line="240" w:lineRule="auto"/>
        <w:rPr>
          <w:b w:val="1"/>
          <w:bCs w:val="1"/>
          <w:color w:val="002060"/>
          <w:sz w:val="28"/>
          <w:lang w:val="en-US"/>
        </w:rPr>
      </w:pPr>
      <w:r>
        <w:rPr>
          <w:b w:val="1"/>
          <w:bCs w:val="1"/>
          <w:color w:val="002060"/>
          <w:sz w:val="28"/>
          <w:lang w:val="en-US"/>
        </w:rPr>
        <w:t>Student</w:t>
      </w:r>
      <w:r>
        <w:rPr>
          <w:b w:val="1"/>
          <w:bCs w:val="1"/>
          <w:color w:val="002060"/>
          <w:sz w:val="28"/>
          <w:lang w:val="en-US"/>
        </w:rPr>
        <w:t xml:space="preserve"> Statement:</w:t>
      </w:r>
    </w:p>
    <w:p>
      <w:pPr>
        <w:spacing w:after="0" w:line="240" w:lineRule="auto"/>
        <w:rPr>
          <w:b w:val="1"/>
          <w:bCs w:val="1"/>
          <w:color w:val="001AE6"/>
          <w:sz w:val="22"/>
          <w:lang w:val="en-US"/>
        </w:rPr>
      </w:pPr>
    </w:p>
    <w:p>
      <w:pPr>
        <w:spacing w:after="0" w:line="240" w:lineRule="auto"/>
        <w:rPr>
          <w:color w:val="000000"/>
          <w:sz w:val="22"/>
          <w:lang w:val="en-US"/>
        </w:rPr>
      </w:pPr>
      <w:r>
        <w:rPr>
          <w:color w:val="000000"/>
          <w:lang w:val="en-US"/>
        </w:rPr>
        <w:t>By submitting this assignment, I confirm that this is my own work.</w:t>
      </w:r>
    </w:p>
    <w:p>
      <w:pPr>
        <w:spacing w:after="0" w:line="240" w:lineRule="auto"/>
        <w:rPr>
          <w:color w:val="000000"/>
          <w:sz w:val="22"/>
          <w:lang w:val="en-US"/>
        </w:rPr>
      </w:pPr>
    </w:p>
    <w:p>
      <w:pPr>
        <w:spacing w:after="0" w:line="240" w:lineRule="auto"/>
        <w:rPr>
          <w:color w:val="000000"/>
          <w:sz w:val="22"/>
          <w:lang w:val="en-US"/>
        </w:rPr>
      </w:pPr>
    </w:p>
    <w:p>
      <w:pPr>
        <w:spacing w:after="0" w:line="240" w:lineRule="auto"/>
        <w:rPr>
          <w:color w:val="000000"/>
          <w:sz w:val="22"/>
          <w:lang w:val="en-US"/>
        </w:rPr>
      </w:pPr>
    </w:p>
    <w:tbl>
      <w:tblPr>
        <w:tblStyle w:val="TableGrid"/>
        <w:tblW w:type="auto" w:w="0"/>
        <w:tblLook w:val="04A0"/>
      </w:tblPr>
      <w:tblGrid>
        <w:gridCol w:w="2310"/>
        <w:gridCol w:w="4035"/>
        <w:gridCol w:w="1276"/>
        <w:gridCol w:w="1621"/>
      </w:tblGrid>
      <w:tr>
        <w:tc>
          <w:tcPr>
            <w:tcW w:type="dxa" w:w="2310"/>
            <w:shd w:color="000000" w:fill="D9D9D9" w:val="clear"/>
          </w:tcPr>
          <w:p>
            <w:pPr>
              <w:rPr>
                <w:color w:val="000000"/>
                <w:sz w:val="22"/>
                <w:lang w:bidi="ar_SA" w:eastAsia="en_US" w:val="en_GB"/>
              </w:rPr>
            </w:pPr>
            <w:r>
              <w:rPr>
                <w:color w:val="000000"/>
              </w:rPr>
              <w:t>Student Signature</w:t>
            </w:r>
          </w:p>
        </w:tc>
        <w:tc>
          <w:tcPr>
            <w:tcW w:type="dxa" w:w="4035"/>
          </w:tcPr>
          <w:p>
            <w:pPr>
              <w:rPr>
                <w:color w:val="000000"/>
                <w:sz w:val="22"/>
                <w:lang w:bidi="ar_SA" w:eastAsia="en_US" w:val="en_GB"/>
              </w:rPr>
            </w:pPr>
            <w:r>
              <w:rPr>
                <w:rFonts w:ascii="Times New Roman" w:hAnsi="Times New Roman"/>
                <w:vanish w:val="0"/>
                <w:color w:val="000000"/>
                <w:sz w:val="22"/>
                <w:lang w:val="en-GB"/>
              </w:rPr>
              <w:t>Sarah</w:t>
            </w:r>
            <w:r>
              <w:rPr>
                <w:color w:val="000000"/>
              </w:rPr>
              <w:t xml:space="preserve"> Bailey</w:t>
            </w:r>
          </w:p>
        </w:tc>
        <w:tc>
          <w:tcPr>
            <w:tcW w:type="dxa" w:w="1276"/>
            <w:shd w:color="000000" w:fill="D9D9D9" w:val="clear"/>
          </w:tcPr>
          <w:p>
            <w:pPr>
              <w:rPr>
                <w:color w:val="000000"/>
                <w:sz w:val="22"/>
                <w:lang w:bidi="ar_SA" w:eastAsia="en_US" w:val="en_GB"/>
              </w:rPr>
            </w:pPr>
            <w:r>
              <w:rPr>
                <w:color w:val="000000"/>
              </w:rPr>
              <w:t>Date</w:t>
            </w:r>
          </w:p>
        </w:tc>
        <w:tc>
          <w:tcPr>
            <w:tcW w:type="dxa" w:w="1621"/>
          </w:tcPr>
          <w:p>
            <w:pPr>
              <w:rPr>
                <w:color w:val="000000"/>
                <w:sz w:val="22"/>
                <w:lang w:bidi="ar_SA" w:eastAsia="en_US" w:val="en_GB"/>
              </w:rPr>
            </w:pPr>
            <w:r>
              <w:rPr>
                <w:color w:val="000000"/>
              </w:rPr>
              <w:t>23</w:t>
            </w:r>
            <w:r>
              <w:rPr>
                <w:color w:val="000000"/>
              </w:rPr>
              <w:t>/</w:t>
            </w:r>
            <w:r>
              <w:rPr>
                <w:rFonts w:ascii="Times New Roman" w:hAnsi="Times New Roman"/>
                <w:vanish w:val="0"/>
                <w:color w:val="000000"/>
                <w:sz w:val="22"/>
                <w:lang w:val="en-GB"/>
              </w:rPr>
              <w:t>0</w:t>
            </w:r>
            <w:r>
              <w:rPr>
                <w:color w:val="000000"/>
              </w:rPr>
              <w:t>1/201</w:t>
            </w:r>
            <w:r>
              <w:rPr>
                <w:rFonts w:ascii="Times New Roman" w:hAnsi="Times New Roman"/>
                <w:vanish w:val="0"/>
                <w:color w:val="000000"/>
                <w:sz w:val="22"/>
                <w:lang w:val="en-GB"/>
              </w:rPr>
              <w:t>7</w:t>
            </w:r>
          </w:p>
        </w:tc>
      </w:tr>
    </w:tbl>
    <w:p>
      <w:pPr>
        <w:rPr>
          <w:color w:val="000000"/>
          <w:sz w:val="22"/>
          <w:lang w:val="en-US"/>
        </w:rPr>
      </w:pPr>
    </w:p>
    <w:p>
      <w:pPr>
        <w:rPr>
          <w:color w:val="000000"/>
          <w:sz w:val="22"/>
          <w:lang w:val="en-US"/>
        </w:rPr>
      </w:pPr>
    </w:p>
    <w:p>
      <w:pPr>
        <w:rPr>
          <w:b w:val="1"/>
          <w:sz w:val="32"/>
          <w:lang w:val="en-US"/>
        </w:rPr>
      </w:pPr>
      <w:r>
        <w:rPr>
          <w:b w:val="1"/>
          <w:sz w:val="28"/>
          <w:lang w:val="en-US"/>
        </w:rPr>
        <w:t>For Tutor / Assessor Use Only</w:t>
      </w:r>
    </w:p>
    <w:tbl>
      <w:tblPr>
        <w:tblStyle w:val="TableGrid"/>
        <w:tblW w:type="auto" w:w="0"/>
        <w:tblLook w:val="04A0"/>
      </w:tblPr>
      <w:tblGrid>
        <w:gridCol w:w="4621"/>
        <w:gridCol w:w="4621"/>
      </w:tblGrid>
      <w:tr>
        <w:trPr>
          <w:trHeight w:hRule="atLeast" w:val="249"/>
        </w:trPr>
        <w:tc>
          <w:tcPr>
            <w:tcW w:type="dxa" w:w="4621"/>
            <w:shd w:color="000000" w:fill="D9D9D9" w:val="clear"/>
          </w:tcPr>
          <w:p>
            <w:pPr>
              <w:rPr>
                <w:b w:val="1"/>
                <w:color w:val="002060"/>
                <w:sz w:val="22"/>
                <w:lang w:bidi="ar_SA" w:eastAsia="en_US" w:val="en_GB"/>
              </w:rPr>
            </w:pPr>
            <w:r>
              <w:rPr>
                <w:b w:val="1"/>
                <w:color w:val="002060"/>
              </w:rPr>
              <w:t>Total Marks</w:t>
            </w:r>
          </w:p>
        </w:tc>
        <w:tc>
          <w:tcPr>
            <w:tcW w:type="dxa" w:w="4621"/>
          </w:tcPr>
          <w:p>
            <w:pPr>
              <w:rPr>
                <w:sz w:val="22"/>
                <w:lang w:bidi="ar_SA" w:eastAsia="en_US" w:val="en_GB"/>
              </w:rPr>
            </w:pPr>
          </w:p>
        </w:tc>
      </w:tr>
      <w:tr>
        <w:tc>
          <w:tcPr>
            <w:tcW w:type="dxa" w:w="4621"/>
            <w:shd w:color="000000" w:fill="D9D9D9" w:val="clear"/>
          </w:tcPr>
          <w:p>
            <w:pPr>
              <w:rPr>
                <w:b w:val="1"/>
                <w:color w:val="002060"/>
                <w:sz w:val="22"/>
                <w:lang w:bidi="ar_SA" w:eastAsia="en_US" w:val="en_GB"/>
              </w:rPr>
            </w:pPr>
            <w:r>
              <w:rPr>
                <w:b w:val="1"/>
                <w:color w:val="002060"/>
              </w:rPr>
              <w:t>Marks Obtained</w:t>
            </w:r>
          </w:p>
        </w:tc>
        <w:tc>
          <w:tcPr>
            <w:tcW w:type="dxa" w:w="4621"/>
          </w:tcPr>
          <w:p>
            <w:pPr>
              <w:rPr>
                <w:sz w:val="22"/>
                <w:lang w:bidi="ar_SA" w:eastAsia="en_US" w:val="en_GB"/>
              </w:rPr>
            </w:pPr>
          </w:p>
        </w:tc>
      </w:tr>
      <w:tr>
        <w:tc>
          <w:tcPr>
            <w:tcW w:type="dxa" w:w="4621"/>
            <w:shd w:color="000000" w:fill="D9D9D9" w:val="clear"/>
          </w:tcPr>
          <w:p>
            <w:pPr>
              <w:rPr>
                <w:b w:val="1"/>
                <w:color w:val="002060"/>
                <w:sz w:val="22"/>
                <w:lang w:bidi="ar_SA" w:eastAsia="en_US" w:val="en_GB"/>
              </w:rPr>
            </w:pPr>
            <w:r>
              <w:rPr>
                <w:b w:val="1"/>
                <w:color w:val="002060"/>
              </w:rPr>
              <w:t>Percentage / Grade</w:t>
            </w:r>
          </w:p>
        </w:tc>
        <w:tc>
          <w:tcPr>
            <w:tcW w:type="dxa" w:w="4621"/>
          </w:tcPr>
          <w:p>
            <w:pPr>
              <w:rPr>
                <w:sz w:val="22"/>
                <w:lang w:bidi="ar_SA" w:eastAsia="en_US" w:val="en_GB"/>
              </w:rPr>
            </w:pPr>
          </w:p>
        </w:tc>
      </w:tr>
    </w:tbl>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240" w:lineRule="auto"/>
        <w:rPr>
          <w:sz w:val="24"/>
          <w:lang w:bidi="ar_SA" w:eastAsia="en_US" w:val="en_GB"/>
        </w:rPr>
      </w:pPr>
    </w:p>
    <w:p>
      <w:pPr>
        <w:spacing w:after="0" w:line="360" w:lineRule="auto"/>
        <w:jc w:val="center"/>
        <w:rPr>
          <w:rFonts w:ascii="Arial" w:hAnsi="Arial"/>
          <w:sz w:val="24"/>
          <w:u w:val="single"/>
          <w:lang w:bidi="ar_SA" w:eastAsia="en_US" w:val="en_GB"/>
        </w:rPr>
      </w:pPr>
      <w:r>
        <w:rPr>
          <w:rFonts w:ascii="Arial" w:hAnsi="Arial"/>
          <w:sz w:val="24"/>
          <w:u w:val="single"/>
        </w:rPr>
        <w:t>Dip</w:t>
      </w:r>
      <w:r>
        <w:rPr>
          <w:rFonts w:ascii="Arial" w:hAnsi="Arial"/>
          <w:sz w:val="24"/>
          <w:u w:val="single"/>
        </w:rPr>
        <w:t xml:space="preserve">loma in Business </w:t>
      </w:r>
      <w:r>
        <w:rPr>
          <w:rFonts w:ascii="Arial" w:hAnsi="Arial"/>
          <w:sz w:val="24"/>
          <w:u w:val="single"/>
        </w:rPr>
        <w:t>Administration</w:t>
      </w:r>
      <w:r>
        <w:rPr>
          <w:rFonts w:ascii="Arial" w:hAnsi="Arial"/>
          <w:sz w:val="24"/>
          <w:u w:val="single"/>
        </w:rPr>
        <w:t xml:space="preserve"> Unit 2</w:t>
      </w:r>
      <w:r>
        <w:rPr>
          <w:rFonts w:ascii="Arial" w:hAnsi="Arial"/>
          <w:sz w:val="24"/>
          <w:u w:val="single"/>
        </w:rPr>
        <w:t xml:space="preserve"> Assessment</w:t>
      </w:r>
    </w:p>
    <w:p>
      <w:pPr>
        <w:spacing w:after="0" w:line="360" w:lineRule="auto"/>
        <w:jc w:val="center"/>
        <w:rPr>
          <w:rFonts w:ascii="Arial" w:hAnsi="Arial"/>
          <w:sz w:val="24"/>
          <w:u w:val="single"/>
          <w:lang w:bidi="ar_SA" w:eastAsia="en_US" w:val="en_GB"/>
        </w:rPr>
      </w:pP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1.1 Management is the process of getting a group of individuals to work together within a certain time frame, with limited resources, to accomplish a set goal or objective.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1.2 Different levels of management are:</w:t>
      </w:r>
    </w:p>
    <w:p>
      <w:pPr>
        <w:pStyle w:val="ListParagraph"/>
        <w:numPr>
          <w:ilvl w:val="0"/>
          <w:numId w:val="9"/>
        </w:numPr>
        <w:spacing w:after="0" w:line="360" w:lineRule="auto"/>
        <w:jc w:val="both"/>
        <w:rPr>
          <w:rStyle w:val="Normal"/>
          <w:rFonts w:ascii="Arial" w:hAnsi="Arial"/>
          <w:sz w:val="24"/>
          <w:lang w:bidi="ar_SA" w:eastAsia="en_US" w:val="en_GB"/>
        </w:rPr>
      </w:pPr>
      <w:r>
        <w:rPr>
          <w:rFonts w:ascii="Arial" w:hAnsi="Arial"/>
          <w:sz w:val="24"/>
        </w:rPr>
        <w:t>Top level</w:t>
      </w:r>
    </w:p>
    <w:p>
      <w:pPr>
        <w:pStyle w:val="ListParagraph"/>
        <w:numPr>
          <w:ilvl w:val="0"/>
          <w:numId w:val="9"/>
        </w:numPr>
        <w:spacing w:after="0" w:line="360" w:lineRule="auto"/>
        <w:jc w:val="both"/>
        <w:rPr>
          <w:rStyle w:val="Normal"/>
          <w:rFonts w:ascii="Arial" w:hAnsi="Arial"/>
          <w:sz w:val="24"/>
          <w:lang w:bidi="ar_SA" w:eastAsia="en_US" w:val="en_GB"/>
        </w:rPr>
      </w:pPr>
      <w:r>
        <w:rPr>
          <w:rFonts w:ascii="Arial" w:hAnsi="Arial"/>
          <w:sz w:val="24"/>
        </w:rPr>
        <w:t>Middle level</w:t>
      </w:r>
    </w:p>
    <w:p>
      <w:pPr>
        <w:pStyle w:val="ListParagraph"/>
        <w:numPr>
          <w:ilvl w:val="0"/>
          <w:numId w:val="9"/>
        </w:numPr>
        <w:spacing w:after="0" w:line="360" w:lineRule="auto"/>
        <w:jc w:val="both"/>
        <w:rPr>
          <w:rStyle w:val="Normal"/>
          <w:rFonts w:ascii="Arial" w:hAnsi="Arial"/>
          <w:sz w:val="24"/>
          <w:lang w:bidi="ar_SA" w:eastAsia="en_US" w:val="en_GB"/>
        </w:rPr>
      </w:pPr>
      <w:r>
        <w:rPr>
          <w:rFonts w:ascii="Arial" w:hAnsi="Arial"/>
          <w:sz w:val="24"/>
        </w:rPr>
        <w:t>Low level</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1.3 Equity as a principle of management pertains to motivating workers to perform their duties using a prober balance of fairness, justice and kindness.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1.4 The var</w:t>
      </w:r>
      <w:r>
        <w:rPr>
          <w:rFonts w:ascii="Arial" w:hAnsi="Arial"/>
          <w:sz w:val="24"/>
        </w:rPr>
        <w:t>ious</w:t>
      </w:r>
      <w:r>
        <w:rPr>
          <w:rFonts w:ascii="Arial" w:hAnsi="Arial"/>
          <w:sz w:val="24"/>
        </w:rPr>
        <w:t xml:space="preserve"> functions of management are</w:t>
      </w:r>
      <w:r>
        <w:rPr>
          <w:rFonts w:ascii="Arial" w:hAnsi="Arial"/>
          <w:sz w:val="24"/>
        </w:rPr>
        <w:t xml:space="preserve"> planning, organizing, </w:t>
      </w:r>
      <w:r>
        <w:rPr>
          <w:rFonts w:ascii="Arial" w:hAnsi="Arial"/>
          <w:sz w:val="24"/>
        </w:rPr>
        <w:t>commanding</w:t>
      </w:r>
      <w:r>
        <w:rPr>
          <w:rFonts w:ascii="Arial" w:hAnsi="Arial"/>
          <w:sz w:val="24"/>
        </w:rPr>
        <w:t xml:space="preserve">, </w:t>
      </w:r>
      <w:r>
        <w:rPr>
          <w:rFonts w:ascii="Arial" w:hAnsi="Arial"/>
          <w:sz w:val="24"/>
        </w:rPr>
        <w:t xml:space="preserve">coordinating </w:t>
      </w:r>
      <w:r>
        <w:rPr>
          <w:rFonts w:ascii="Arial" w:hAnsi="Arial"/>
          <w:sz w:val="24"/>
        </w:rPr>
        <w:t xml:space="preserve">and controlling.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1.5 </w:t>
      </w:r>
      <w:r>
        <w:rPr>
          <w:rFonts w:ascii="Arial" w:hAnsi="Arial"/>
          <w:sz w:val="24"/>
        </w:rPr>
        <w:t xml:space="preserve">	</w:t>
      </w:r>
      <w:r>
        <w:rPr>
          <w:rFonts w:ascii="Arial" w:hAnsi="Arial"/>
          <w:sz w:val="24"/>
        </w:rPr>
        <w:t xml:space="preserve"> a=iii  </w:t>
      </w:r>
    </w:p>
    <w:p>
      <w:pPr>
        <w:pStyle w:val="ListParagraph"/>
        <w:spacing w:after="0" w:line="360" w:lineRule="auto"/>
        <w:ind w:firstLine="720" w:left="0"/>
        <w:jc w:val="both"/>
        <w:rPr>
          <w:rStyle w:val="Normal"/>
          <w:rFonts w:ascii="Arial" w:hAnsi="Arial"/>
          <w:sz w:val="24"/>
          <w:lang w:bidi="ar_SA" w:eastAsia="en_US" w:val="en_GB"/>
        </w:rPr>
      </w:pPr>
      <w:r>
        <w:rPr>
          <w:rFonts w:ascii="Arial" w:hAnsi="Arial"/>
          <w:sz w:val="24"/>
        </w:rPr>
        <w:t xml:space="preserve"> </w:t>
      </w:r>
      <w:r>
        <w:rPr>
          <w:rFonts w:ascii="Arial" w:hAnsi="Arial"/>
          <w:sz w:val="24"/>
        </w:rPr>
        <w:t>b</w:t>
      </w:r>
      <w:r>
        <w:rPr>
          <w:rFonts w:ascii="Arial" w:hAnsi="Arial"/>
          <w:sz w:val="24"/>
        </w:rPr>
        <w:t>=iv</w:t>
      </w:r>
    </w:p>
    <w:p>
      <w:pPr>
        <w:pStyle w:val="ListParagraph"/>
        <w:spacing w:after="0" w:line="360" w:lineRule="auto"/>
        <w:ind w:firstLine="720" w:left="0"/>
        <w:jc w:val="both"/>
        <w:rPr>
          <w:rStyle w:val="Normal"/>
          <w:rFonts w:ascii="Arial" w:hAnsi="Arial"/>
          <w:sz w:val="24"/>
          <w:lang w:bidi="ar_SA" w:eastAsia="en_US" w:val="en_GB"/>
        </w:rPr>
      </w:pPr>
      <w:r>
        <w:rPr>
          <w:rFonts w:ascii="Arial" w:hAnsi="Arial"/>
          <w:sz w:val="24"/>
        </w:rPr>
        <w:t xml:space="preserve"> </w:t>
      </w:r>
      <w:r>
        <w:rPr>
          <w:rFonts w:ascii="Arial" w:hAnsi="Arial"/>
          <w:sz w:val="24"/>
        </w:rPr>
        <w:t>c</w:t>
      </w:r>
      <w:r>
        <w:rPr>
          <w:rFonts w:ascii="Arial" w:hAnsi="Arial"/>
          <w:sz w:val="24"/>
        </w:rPr>
        <w:t>=</w:t>
      </w:r>
      <w:r>
        <w:rPr>
          <w:rFonts w:ascii="Arial" w:hAnsi="Arial"/>
          <w:sz w:val="24"/>
        </w:rPr>
        <w:t>i</w:t>
      </w:r>
      <w:r>
        <w:rPr>
          <w:rFonts w:ascii="Arial" w:hAnsi="Arial"/>
          <w:sz w:val="24"/>
        </w:rPr>
        <w:t xml:space="preserve"> </w:t>
      </w:r>
    </w:p>
    <w:p>
      <w:pPr>
        <w:pStyle w:val="ListParagraph"/>
        <w:spacing w:after="0" w:line="360" w:lineRule="auto"/>
        <w:ind w:firstLine="720" w:left="0"/>
        <w:jc w:val="both"/>
        <w:rPr>
          <w:rStyle w:val="Normal"/>
          <w:rFonts w:ascii="Arial" w:hAnsi="Arial"/>
          <w:sz w:val="24"/>
          <w:lang w:bidi="ar_SA" w:eastAsia="en_US" w:val="en_GB"/>
        </w:rPr>
      </w:pPr>
      <w:r>
        <w:rPr>
          <w:rFonts w:ascii="Arial" w:hAnsi="Arial"/>
          <w:sz w:val="24"/>
        </w:rPr>
        <w:t xml:space="preserve"> </w:t>
      </w:r>
      <w:r>
        <w:rPr>
          <w:rFonts w:ascii="Arial" w:hAnsi="Arial"/>
          <w:sz w:val="24"/>
        </w:rPr>
        <w:t>d</w:t>
      </w:r>
      <w:r>
        <w:rPr>
          <w:rFonts w:ascii="Arial" w:hAnsi="Arial"/>
          <w:sz w:val="24"/>
        </w:rPr>
        <w:t>=</w:t>
      </w:r>
      <w:r>
        <w:rPr>
          <w:rFonts w:ascii="Arial" w:hAnsi="Arial"/>
          <w:sz w:val="24"/>
        </w:rPr>
        <w:t>ii</w:t>
      </w:r>
    </w:p>
    <w:p>
      <w:pPr>
        <w:pStyle w:val="ListParagraph"/>
        <w:spacing w:after="0" w:line="360" w:lineRule="auto"/>
        <w:ind w:firstLine="720" w:left="0"/>
        <w:jc w:val="both"/>
        <w:rPr>
          <w:rStyle w:val="Normal"/>
          <w:rFonts w:ascii="Arial" w:hAnsi="Arial"/>
          <w:sz w:val="24"/>
          <w:lang w:bidi="ar_SA" w:eastAsia="en_US" w:val="en_GB"/>
        </w:rPr>
      </w:pPr>
      <w:r>
        <w:rPr>
          <w:rFonts w:ascii="Arial" w:hAnsi="Arial"/>
          <w:sz w:val="24"/>
        </w:rPr>
        <w:t xml:space="preserve"> A=b=iii</w:t>
      </w:r>
    </w:p>
    <w:p>
      <w:pPr>
        <w:pStyle w:val="ListParagraph"/>
        <w:spacing w:after="0" w:line="360" w:lineRule="auto"/>
        <w:ind w:firstLine="720" w:left="0"/>
        <w:jc w:val="both"/>
        <w:rPr>
          <w:rStyle w:val="Normal"/>
          <w:rFonts w:ascii="Arial" w:hAnsi="Arial"/>
          <w:sz w:val="24"/>
          <w:lang w:bidi="ar_SA" w:eastAsia="en_US" w:val="en_GB"/>
        </w:rPr>
      </w:pPr>
      <w:r>
        <w:rPr>
          <w:rFonts w:ascii="Arial" w:hAnsi="Arial"/>
          <w:sz w:val="24"/>
        </w:rPr>
        <w:t xml:space="preserve"> B=a=</w:t>
      </w:r>
      <w:r>
        <w:rPr>
          <w:rFonts w:ascii="Arial" w:hAnsi="Arial"/>
          <w:sz w:val="24"/>
        </w:rPr>
        <w:t>i</w:t>
      </w:r>
    </w:p>
    <w:p>
      <w:pPr>
        <w:pStyle w:val="ListParagraph"/>
        <w:spacing w:after="0" w:line="360" w:lineRule="auto"/>
        <w:ind w:firstLine="720" w:left="0"/>
        <w:jc w:val="both"/>
        <w:rPr>
          <w:rStyle w:val="Normal"/>
          <w:rFonts w:ascii="Arial" w:hAnsi="Arial"/>
          <w:sz w:val="24"/>
          <w:lang w:bidi="ar_SA" w:eastAsia="en_US" w:val="en_GB"/>
        </w:rPr>
      </w:pPr>
      <w:r>
        <w:rPr>
          <w:rFonts w:ascii="Arial" w:hAnsi="Arial"/>
          <w:sz w:val="24"/>
        </w:rPr>
        <w:t xml:space="preserve"> C=c=ii</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2 “planning is looking forward; </w:t>
      </w:r>
      <w:r>
        <w:rPr>
          <w:rFonts w:ascii="Arial" w:hAnsi="Arial"/>
          <w:sz w:val="24"/>
        </w:rPr>
        <w:t>wheras</w:t>
      </w:r>
      <w:r>
        <w:rPr>
          <w:rFonts w:ascii="Arial" w:hAnsi="Arial"/>
          <w:sz w:val="24"/>
        </w:rPr>
        <w:t xml:space="preserve"> controlling is looking back”. This statement </w:t>
      </w:r>
      <w:r>
        <w:rPr>
          <w:rFonts w:ascii="Arial" w:hAnsi="Arial"/>
          <w:sz w:val="24"/>
        </w:rPr>
        <w:t>highlights</w:t>
      </w:r>
      <w:r>
        <w:rPr>
          <w:rFonts w:ascii="Arial" w:hAnsi="Arial"/>
          <w:sz w:val="24"/>
        </w:rPr>
        <w:t xml:space="preserve"> the clear difference between planning and controlling. To plan is to have vision for the aims of the organisation and how to achieve them. The manager needs to </w:t>
      </w:r>
      <w:r>
        <w:rPr>
          <w:rFonts w:ascii="Arial" w:hAnsi="Arial"/>
          <w:sz w:val="24"/>
        </w:rPr>
        <w:t>determine</w:t>
      </w:r>
      <w:r>
        <w:rPr>
          <w:rFonts w:ascii="Arial" w:hAnsi="Arial"/>
          <w:sz w:val="24"/>
        </w:rPr>
        <w:t xml:space="preserve"> a </w:t>
      </w:r>
      <w:r>
        <w:rPr>
          <w:rFonts w:ascii="Arial" w:hAnsi="Arial"/>
          <w:sz w:val="24"/>
        </w:rPr>
        <w:t>pathway</w:t>
      </w:r>
      <w:r>
        <w:rPr>
          <w:rFonts w:ascii="Arial" w:hAnsi="Arial"/>
          <w:sz w:val="24"/>
        </w:rPr>
        <w:t xml:space="preserve"> to achieve</w:t>
      </w:r>
      <w:r>
        <w:rPr>
          <w:rFonts w:ascii="Arial" w:hAnsi="Arial"/>
          <w:sz w:val="24"/>
        </w:rPr>
        <w:t xml:space="preserve"> a goal as well as determining budget, resources and manpower. Controlling work if to review and enforce the standards of work already being done. So the manager has to look back at what has been achieved to make sure that it is to the desired standard of the company policy, it is also useful to identify poor practice and make change for future work to be higher standards and/or more efficient. </w:t>
      </w:r>
    </w:p>
    <w:p>
      <w:pPr>
        <w:pStyle w:val="ListParagraph"/>
        <w:spacing w:after="0" w:line="360" w:lineRule="auto"/>
        <w:ind w:left="0"/>
        <w:jc w:val="both"/>
        <w:rPr>
          <w:rStyle w:val="Normal"/>
          <w:rFonts w:ascii="Arial" w:hAnsi="Arial"/>
          <w:sz w:val="24"/>
          <w:lang w:bidi="ar_SA" w:eastAsia="en_US" w:val="en_GB"/>
        </w:rPr>
      </w:pPr>
    </w:p>
    <w:p>
      <w:pPr>
        <w:pStyle w:val="ListParagraph"/>
        <w:spacing w:after="0" w:line="360" w:lineRule="auto"/>
        <w:ind w:left="0"/>
        <w:jc w:val="both"/>
        <w:rPr>
          <w:rStyle w:val="Normal"/>
          <w:rFonts w:ascii="Arial" w:hAnsi="Arial"/>
          <w:sz w:val="24"/>
          <w:u w:val="single"/>
          <w:lang w:bidi="ar_SA" w:eastAsia="en_US" w:val="en_GB"/>
        </w:rPr>
      </w:pPr>
      <w:r>
        <w:rPr>
          <w:rFonts w:ascii="Arial" w:hAnsi="Arial"/>
          <w:sz w:val="24"/>
          <w:u w:val="single"/>
        </w:rPr>
        <w:t>Case study</w:t>
      </w:r>
    </w:p>
    <w:p>
      <w:pPr>
        <w:pStyle w:val="ListParagraph"/>
        <w:spacing w:after="0" w:line="360" w:lineRule="auto"/>
        <w:ind w:left="0"/>
        <w:jc w:val="both"/>
        <w:rPr>
          <w:rStyle w:val="Normal"/>
          <w:rFonts w:ascii="Arial" w:hAnsi="Arial"/>
          <w:sz w:val="24"/>
          <w:lang w:bidi="ar_SA" w:eastAsia="en_US" w:val="en_GB"/>
        </w:rPr>
      </w:pP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1. The hierarchy of management refers to the chain of command and a structure for reporting. For example in our case study Irene Rodgers (supervisor) would directly to </w:t>
      </w:r>
      <w:r>
        <w:rPr>
          <w:rFonts w:ascii="Arial" w:hAnsi="Arial"/>
          <w:sz w:val="24"/>
        </w:rPr>
        <w:t>Vijhay</w:t>
      </w:r>
      <w:r>
        <w:rPr>
          <w:rFonts w:ascii="Arial" w:hAnsi="Arial"/>
          <w:sz w:val="24"/>
        </w:rPr>
        <w:t xml:space="preserve"> Singh (finance manager) who in turn reports to the chairman William Davis. Under normal circumstances Irene should not break the chain and report directly to William. This allows the middle level management to deal with any issues that don’t require top management attention. Therefore </w:t>
      </w:r>
      <w:r>
        <w:rPr>
          <w:rFonts w:ascii="Arial" w:hAnsi="Arial"/>
          <w:sz w:val="24"/>
        </w:rPr>
        <w:t xml:space="preserve">making sure that top management don’t have time wasted with trivial matters. The same works from top </w:t>
      </w:r>
      <w:r>
        <w:rPr>
          <w:rFonts w:ascii="Arial" w:hAnsi="Arial"/>
          <w:sz w:val="24"/>
        </w:rPr>
        <w:t>managent</w:t>
      </w:r>
      <w:r>
        <w:rPr>
          <w:rFonts w:ascii="Arial" w:hAnsi="Arial"/>
          <w:sz w:val="24"/>
        </w:rPr>
        <w:t xml:space="preserve"> passing information down the chain. It should be passed from top to middle, and the middle to low level.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2. In our case study William Davies would have any problems on the factory floor reported to him by </w:t>
      </w:r>
      <w:r>
        <w:rPr>
          <w:rFonts w:ascii="Arial" w:hAnsi="Arial"/>
          <w:sz w:val="24"/>
        </w:rPr>
        <w:t>Vijhay</w:t>
      </w:r>
      <w:r>
        <w:rPr>
          <w:rFonts w:ascii="Arial" w:hAnsi="Arial"/>
          <w:sz w:val="24"/>
        </w:rPr>
        <w:t xml:space="preserve"> Singh, who would have had </w:t>
      </w:r>
      <w:r>
        <w:rPr>
          <w:rFonts w:ascii="Arial" w:hAnsi="Arial"/>
          <w:sz w:val="24"/>
        </w:rPr>
        <w:t>it</w:t>
      </w:r>
      <w:r>
        <w:rPr>
          <w:rFonts w:ascii="Arial" w:hAnsi="Arial"/>
          <w:sz w:val="24"/>
        </w:rPr>
        <w:t xml:space="preserve"> reported to him by from Irene Rodgers.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3.In our case study the objectives for the business would be determined by William Davies, being Chairman and </w:t>
      </w:r>
      <w:r>
        <w:rPr>
          <w:rFonts w:ascii="Arial" w:hAnsi="Arial"/>
          <w:sz w:val="24"/>
        </w:rPr>
        <w:t>top level</w:t>
      </w:r>
      <w:r>
        <w:rPr>
          <w:rFonts w:ascii="Arial" w:hAnsi="Arial"/>
          <w:sz w:val="24"/>
        </w:rPr>
        <w:t xml:space="preserve"> management. </w:t>
      </w:r>
    </w:p>
    <w:p>
      <w:pPr>
        <w:pStyle w:val="ListParagraph"/>
        <w:spacing w:after="0" w:line="360" w:lineRule="auto"/>
        <w:ind w:left="0"/>
        <w:jc w:val="both"/>
        <w:rPr>
          <w:rStyle w:val="Normal"/>
          <w:rFonts w:ascii="Arial" w:hAnsi="Arial"/>
          <w:sz w:val="24"/>
          <w:lang w:bidi="ar_SA" w:eastAsia="en_US" w:val="en_GB"/>
        </w:rPr>
      </w:pPr>
      <w:r>
        <w:rPr>
          <w:rFonts w:ascii="Arial" w:hAnsi="Arial"/>
          <w:sz w:val="24"/>
        </w:rPr>
        <w:t xml:space="preserve">4. Irene Rodgers as supervisor will ensure that work is carried out properly and on time, reporting any problems up the chain. </w:t>
      </w:r>
    </w:p>
    <w:sectPr>
      <w:pgSz w:h="16838" w:w="11906"/>
      <w:pgMar w:bottom="1440" w:footer="708" w:gutter="0" w:header="708" w:left="1440" w:right="1440" w:top="144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0D5" w:rsidRDefault="00AE40D5" w:rsidP="00CB4D0A">
      <w:pPr>
        <w:spacing w:after="0" w:line="240" w:lineRule="auto"/>
      </w:pPr>
      <w:r>
        <w:separator/>
      </w:r>
    </w:p>
  </w:endnote>
  <w:endnote w:type="continuationSeparator" w:id="0">
    <w:p w:rsidR="00AE40D5" w:rsidRDefault="00AE40D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altName w:val="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0D5" w:rsidRDefault="00AE40D5" w:rsidP="00CB4D0A">
      <w:pPr>
        <w:spacing w:after="0" w:line="240" w:lineRule="auto"/>
      </w:pPr>
      <w:r>
        <w:separator/>
      </w:r>
    </w:p>
  </w:footnote>
  <w:footnote w:type="continuationSeparator" w:id="0">
    <w:p w:rsidR="00AE40D5" w:rsidRDefault="00AE40D5" w:rsidP="00CB4D0A">
      <w:pPr>
        <w:spacing w:after="0" w:line="240" w:lineRule="auto"/>
      </w:pPr>
      <w:r>
        <w:continuationSeparator/>
      </w:r>
    </w:p>
  </w:footnote>
</w:footnotes>
</file>

<file path=word/numbering.xml><?xml version="1.0" encoding="utf-8"?>
<w:numbering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abstractNum w:abstractNumId="0">
    <w:multiLevelType w:val="hybridMultilevel"/>
    <w:tmpl w:val="00000001"/>
    <w:lvl w:ilvl="0">
      <w:start w:val="1"/>
      <w:numFmt w:val="bullet"/>
      <w:lvlText w:val="•"/>
      <w:lvlJc w:val="left"/>
      <w:pPr>
        <w:ind w:hanging="360" w:left="940"/>
      </w:pPr>
    </w:lvl>
    <w:lvl w:ilvl="1">
      <w:start w:val="0"/>
      <w:numFmt w:val="decimal"/>
      <w:lvlText w:val=""/>
      <w:lvlJc w:val="left"/>
    </w:lvl>
    <w:lvl w:ilvl="2">
      <w:start w:val="0"/>
      <w:numFmt w:val="decimal"/>
      <w:lvlText w:val=""/>
      <w:lvlJc w:val="left"/>
    </w:lvl>
    <w:lvl w:ilvl="3">
      <w:start w:val="0"/>
      <w:numFmt w:val="decimal"/>
      <w:lvlText w:val=""/>
      <w:lvlJc w:val="left"/>
    </w:lvl>
    <w:lvl w:ilvl="4">
      <w:start w:val="0"/>
      <w:numFmt w:val="decimal"/>
      <w:lvlText w:val=""/>
      <w:lvlJc w:val="left"/>
    </w:lvl>
    <w:lvl w:ilvl="5">
      <w:start w:val="0"/>
      <w:numFmt w:val="decimal"/>
      <w:lvlText w:val=""/>
      <w:lvlJc w:val="left"/>
    </w:lvl>
    <w:lvl w:ilvl="6">
      <w:start w:val="0"/>
      <w:numFmt w:val="decimal"/>
      <w:lvlText w:val=""/>
      <w:lvlJc w:val="left"/>
    </w:lvl>
    <w:lvl w:ilvl="7">
      <w:start w:val="0"/>
      <w:numFmt w:val="decimal"/>
      <w:lvlText w:val=""/>
      <w:lvlJc w:val="left"/>
    </w:lvl>
    <w:lvl w:ilvl="8">
      <w:start w:val="0"/>
      <w:numFmt w:val="decimal"/>
      <w:lvlText w:val=""/>
      <w:lvlJc w:val="left"/>
    </w:lvl>
  </w:abstractNum>
  <w:abstractNum w:abstractNumId="1">
    <w:multiLevelType w:val="hybridMultilevel"/>
    <w:tmpl w:val="00000002"/>
    <w:lvl w:ilvl="0">
      <w:start w:val="1"/>
      <w:numFmt w:val="bullet"/>
      <w:lvlText w:val="•"/>
      <w:lvlJc w:val="left"/>
      <w:pPr>
        <w:ind w:hanging="360" w:left="720"/>
      </w:pPr>
    </w:lvl>
    <w:lvl w:ilvl="1">
      <w:start w:val="0"/>
      <w:numFmt w:val="decimal"/>
      <w:lvlText w:val=""/>
      <w:lvlJc w:val="left"/>
    </w:lvl>
    <w:lvl w:ilvl="2">
      <w:start w:val="0"/>
      <w:numFmt w:val="decimal"/>
      <w:lvlText w:val=""/>
      <w:lvlJc w:val="left"/>
    </w:lvl>
    <w:lvl w:ilvl="3">
      <w:start w:val="0"/>
      <w:numFmt w:val="decimal"/>
      <w:lvlText w:val=""/>
      <w:lvlJc w:val="left"/>
    </w:lvl>
    <w:lvl w:ilvl="4">
      <w:start w:val="0"/>
      <w:numFmt w:val="decimal"/>
      <w:lvlText w:val=""/>
      <w:lvlJc w:val="left"/>
    </w:lvl>
    <w:lvl w:ilvl="5">
      <w:start w:val="0"/>
      <w:numFmt w:val="decimal"/>
      <w:lvlText w:val=""/>
      <w:lvlJc w:val="left"/>
    </w:lvl>
    <w:lvl w:ilvl="6">
      <w:start w:val="0"/>
      <w:numFmt w:val="decimal"/>
      <w:lvlText w:val=""/>
      <w:lvlJc w:val="left"/>
    </w:lvl>
    <w:lvl w:ilvl="7">
      <w:start w:val="0"/>
      <w:numFmt w:val="decimal"/>
      <w:lvlText w:val=""/>
      <w:lvlJc w:val="left"/>
    </w:lvl>
    <w:lvl w:ilvl="8">
      <w:start w:val="0"/>
      <w:numFmt w:val="decimal"/>
      <w:lvlText w:val=""/>
      <w:lvlJc w:val="left"/>
    </w:lvl>
  </w:abstractNum>
  <w:abstractNum w:abstractNumId="2">
    <w:multiLevelType w:val="hybridMultilevel"/>
    <w:tmpl w:val="00000003"/>
    <w:lvl w:ilvl="0">
      <w:start w:val="1"/>
      <w:numFmt w:val="bullet"/>
      <w:lvlText w:val="•"/>
      <w:lvlJc w:val="left"/>
      <w:pPr>
        <w:ind w:hanging="360" w:left="720"/>
      </w:pPr>
    </w:lvl>
    <w:lvl w:ilvl="1">
      <w:start w:val="0"/>
      <w:numFmt w:val="decimal"/>
      <w:lvlText w:val=""/>
      <w:lvlJc w:val="left"/>
    </w:lvl>
    <w:lvl w:ilvl="2">
      <w:start w:val="0"/>
      <w:numFmt w:val="decimal"/>
      <w:lvlText w:val=""/>
      <w:lvlJc w:val="left"/>
    </w:lvl>
    <w:lvl w:ilvl="3">
      <w:start w:val="0"/>
      <w:numFmt w:val="decimal"/>
      <w:lvlText w:val=""/>
      <w:lvlJc w:val="left"/>
    </w:lvl>
    <w:lvl w:ilvl="4">
      <w:start w:val="0"/>
      <w:numFmt w:val="decimal"/>
      <w:lvlText w:val=""/>
      <w:lvlJc w:val="left"/>
    </w:lvl>
    <w:lvl w:ilvl="5">
      <w:start w:val="0"/>
      <w:numFmt w:val="decimal"/>
      <w:lvlText w:val=""/>
      <w:lvlJc w:val="left"/>
    </w:lvl>
    <w:lvl w:ilvl="6">
      <w:start w:val="0"/>
      <w:numFmt w:val="decimal"/>
      <w:lvlText w:val=""/>
      <w:lvlJc w:val="left"/>
    </w:lvl>
    <w:lvl w:ilvl="7">
      <w:start w:val="0"/>
      <w:numFmt w:val="decimal"/>
      <w:lvlText w:val=""/>
      <w:lvlJc w:val="left"/>
    </w:lvl>
    <w:lvl w:ilvl="8">
      <w:start w:val="0"/>
      <w:numFmt w:val="decimal"/>
      <w:lvlText w:val=""/>
      <w:lvlJc w:val="left"/>
    </w:lvl>
  </w:abstractNum>
  <w:abstractNum w:abstractNumId="3">
    <w:multiLevelType w:val="multilevel"/>
    <w:tmpl w:val="453A4C0C"/>
    <w:lvl w:ilvl="0">
      <w:start w:val="1"/>
      <w:numFmt w:val="decimal"/>
      <w:lvlText w:val="%1."/>
      <w:lvlJc w:val="left"/>
      <w:pPr>
        <w:ind w:hanging="360" w:left="360"/>
      </w:pPr>
      <w:rPr>
        <w:color w:val="auto"/>
      </w:rPr>
    </w:lvl>
    <w:lvl w:ilvl="1">
      <w:start w:val="5"/>
      <w:numFmt w:val="decimal"/>
      <w:lvlText w:val="%1.%2."/>
      <w:lvlJc w:val="left"/>
      <w:pPr>
        <w:ind w:hanging="360" w:left="360"/>
      </w:pPr>
      <w:rPr>
        <w:color w:val="auto"/>
      </w:rPr>
    </w:lvl>
    <w:lvl w:ilvl="2">
      <w:start w:val="1"/>
      <w:numFmt w:val="decimal"/>
      <w:lvlText w:val="%1.%2.%3."/>
      <w:lvlJc w:val="left"/>
      <w:pPr>
        <w:ind w:hanging="720" w:left="720"/>
      </w:pPr>
      <w:rPr>
        <w:color w:val="auto"/>
      </w:rPr>
    </w:lvl>
    <w:lvl w:ilvl="3">
      <w:start w:val="1"/>
      <w:numFmt w:val="decimal"/>
      <w:lvlText w:val="%1.%2.%3.%4."/>
      <w:lvlJc w:val="left"/>
      <w:pPr>
        <w:ind w:hanging="1080" w:left="1080"/>
      </w:pPr>
      <w:rPr>
        <w:color w:val="auto"/>
      </w:rPr>
    </w:lvl>
    <w:lvl w:ilvl="4">
      <w:start w:val="1"/>
      <w:numFmt w:val="decimal"/>
      <w:lvlText w:val="%1.%2.%3.%4.%5."/>
      <w:lvlJc w:val="left"/>
      <w:pPr>
        <w:ind w:hanging="1080" w:left="1080"/>
      </w:pPr>
      <w:rPr>
        <w:color w:val="auto"/>
      </w:rPr>
    </w:lvl>
    <w:lvl w:ilvl="5">
      <w:start w:val="1"/>
      <w:numFmt w:val="decimal"/>
      <w:lvlText w:val="%1.%2.%3.%4.%5.%6."/>
      <w:lvlJc w:val="left"/>
      <w:pPr>
        <w:ind w:hanging="1440" w:left="1440"/>
      </w:pPr>
      <w:rPr>
        <w:color w:val="auto"/>
      </w:rPr>
    </w:lvl>
    <w:lvl w:ilvl="6">
      <w:start w:val="1"/>
      <w:numFmt w:val="decimal"/>
      <w:lvlText w:val="%1.%2.%3.%4.%5.%6.%7."/>
      <w:lvlJc w:val="left"/>
      <w:pPr>
        <w:ind w:hanging="1440" w:left="1440"/>
      </w:pPr>
      <w:rPr>
        <w:color w:val="auto"/>
      </w:rPr>
    </w:lvl>
    <w:lvl w:ilvl="7">
      <w:start w:val="1"/>
      <w:numFmt w:val="decimal"/>
      <w:lvlText w:val="%1.%2.%3.%4.%5.%6.%7.%8."/>
      <w:lvlJc w:val="left"/>
      <w:pPr>
        <w:ind w:hanging="1800" w:left="1800"/>
      </w:pPr>
      <w:rPr>
        <w:color w:val="auto"/>
      </w:rPr>
    </w:lvl>
    <w:lvl w:ilvl="8">
      <w:start w:val="1"/>
      <w:numFmt w:val="decimal"/>
      <w:lvlText w:val="%1.%2.%3.%4.%5.%6.%7.%8.%9."/>
      <w:lvlJc w:val="left"/>
      <w:pPr>
        <w:ind w:hanging="1800" w:left="1800"/>
      </w:pPr>
      <w:rPr>
        <w:color w:val="auto"/>
      </w:rPr>
    </w:lvl>
  </w:abstractNum>
  <w:abstractNum w:abstractNumId="4">
    <w:multiLevelType w:val="multilevel"/>
    <w:tmpl w:val="67BAC672"/>
    <w:lvl w:ilvl="0">
      <w:start w:val="1"/>
      <w:numFmt w:val="decimal"/>
      <w:lvlText w:val="%1."/>
      <w:lvlJc w:val="left"/>
      <w:pPr>
        <w:ind w:hanging="580" w:left="580"/>
      </w:pPr>
    </w:lvl>
    <w:lvl w:ilvl="1">
      <w:start w:val="1"/>
      <w:numFmt w:val="decimal"/>
      <w:lvlText w:val="%1.%2."/>
      <w:lvlJc w:val="left"/>
      <w:pPr>
        <w:ind w:hanging="580" w:left="58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440" w:left="1440"/>
      </w:pPr>
    </w:lvl>
    <w:lvl w:ilvl="7">
      <w:start w:val="1"/>
      <w:numFmt w:val="decimal"/>
      <w:lvlText w:val="%1.%2.%3.%4.%5.%6.%7.%8."/>
      <w:lvlJc w:val="left"/>
      <w:pPr>
        <w:ind w:hanging="1800" w:left="1800"/>
      </w:pPr>
    </w:lvl>
    <w:lvl w:ilvl="8">
      <w:start w:val="1"/>
      <w:numFmt w:val="decimal"/>
      <w:lvlText w:val="%1.%2.%3.%4.%5.%6.%7.%8.%9."/>
      <w:lvlJc w:val="left"/>
      <w:pPr>
        <w:ind w:hanging="1800" w:left="1800"/>
      </w:pPr>
    </w:lvl>
  </w:abstractNum>
  <w:abstractNum w:abstractNumId="5">
    <w:multiLevelType w:val="hybridMultilevel"/>
    <w:tmpl w:val="B738788A"/>
    <w:lvl w:ilvl="0">
      <w:start w:val="1"/>
      <w:numFmt w:val="bullet"/>
      <w:lvlText w:val=""/>
      <w:lvlJc w:val="left"/>
      <w:pPr>
        <w:ind w:hanging="360" w:left="1080"/>
      </w:pPr>
      <w:rPr>
        <w:rFonts w:ascii="Symbol" w:hAnsi="Symbol"/>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6">
    <w:multiLevelType w:val="hybridMultilevel"/>
    <w:tmpl w:val="14BE2274"/>
    <w:lvl w:ilvl="0">
      <w:start w:val="2"/>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7">
    <w:multiLevelType w:val="hybridMultilevel"/>
    <w:tmpl w:val="3BB627C4"/>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8">
    <w:multiLevelType w:val="hybridMultilevel"/>
    <w:tmpl w:val="B5E46046"/>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num w:numId="1">
    <w:abstractNumId w:val="6"/>
  </w:num>
  <w:num w:numId="2">
    <w:abstractNumId w:val="7"/>
  </w:num>
  <w:num w:numId="3">
    <w:abstractNumId w:val="0"/>
  </w:num>
  <w:num w:numId="4">
    <w:abstractNumId w:val="1"/>
  </w:num>
  <w:num w:numId="5">
    <w:abstractNumId w:val="2"/>
  </w:num>
  <w:num w:numId="6">
    <w:abstractNumId w:val="3"/>
  </w:num>
  <w:num w:numId="7">
    <w:abstractNumId w:val="5"/>
  </w:num>
  <w:num w:numId="8">
    <w:abstractNumId w:val="4"/>
  </w:num>
  <w:num w:numId="9">
    <w:abstractNumId w:val="8"/>
  </w:num>
</w:numbering>
</file>

<file path=word/settings.xml><?xml version="1.0" encoding="utf-8"?>
<w:settings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zoom w:percent="90"/>
  <w:proofState w:spelling="clean" w:grammar="clean"/>
  <w:doNotTrackMoves w:val="1"/>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6182"/>
    <w:rsid w:val="000F6250"/>
    <w:rsid w:val="001175EE"/>
    <w:rsid w:val="001260C2"/>
    <w:rsid w:val="0013427E"/>
    <w:rsid w:val="00157CF6"/>
    <w:rsid w:val="00182416"/>
    <w:rsid w:val="00187EB4"/>
    <w:rsid w:val="001F0481"/>
    <w:rsid w:val="00200C92"/>
    <w:rsid w:val="0020451E"/>
    <w:rsid w:val="00206B9D"/>
    <w:rsid w:val="0023259C"/>
    <w:rsid w:val="00265F99"/>
    <w:rsid w:val="002B0BD7"/>
    <w:rsid w:val="002B32C9"/>
    <w:rsid w:val="002B573D"/>
    <w:rsid w:val="002B6FB9"/>
    <w:rsid w:val="002C5CB2"/>
    <w:rsid w:val="002F779F"/>
    <w:rsid w:val="00371885"/>
    <w:rsid w:val="00380FAE"/>
    <w:rsid w:val="003E2B87"/>
    <w:rsid w:val="003F23F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823A7"/>
    <w:rsid w:val="006850D8"/>
    <w:rsid w:val="00687EE8"/>
    <w:rsid w:val="0070347F"/>
    <w:rsid w:val="0070678E"/>
    <w:rsid w:val="007C0BA4"/>
    <w:rsid w:val="007D7825"/>
    <w:rsid w:val="007D7F1D"/>
    <w:rsid w:val="0082678A"/>
    <w:rsid w:val="00826A1D"/>
    <w:rsid w:val="00831C11"/>
    <w:rsid w:val="008375F4"/>
    <w:rsid w:val="0085797E"/>
    <w:rsid w:val="00883C6F"/>
    <w:rsid w:val="008A60B4"/>
    <w:rsid w:val="008B3C31"/>
    <w:rsid w:val="008B64FE"/>
    <w:rsid w:val="008C742C"/>
    <w:rsid w:val="00935BF7"/>
    <w:rsid w:val="0095442C"/>
    <w:rsid w:val="00982EE8"/>
    <w:rsid w:val="00983942"/>
    <w:rsid w:val="009C37E0"/>
    <w:rsid w:val="009E41F4"/>
    <w:rsid w:val="009E4548"/>
    <w:rsid w:val="00A113ED"/>
    <w:rsid w:val="00A14B66"/>
    <w:rsid w:val="00A20D54"/>
    <w:rsid w:val="00A21FE9"/>
    <w:rsid w:val="00A65CF7"/>
    <w:rsid w:val="00A81AB4"/>
    <w:rsid w:val="00A851DA"/>
    <w:rsid w:val="00AC7D5B"/>
    <w:rsid w:val="00AD1B8F"/>
    <w:rsid w:val="00AE1481"/>
    <w:rsid w:val="00AE40D5"/>
    <w:rsid w:val="00B0415E"/>
    <w:rsid w:val="00B04678"/>
    <w:rsid w:val="00B42A2C"/>
    <w:rsid w:val="00BA5D88"/>
    <w:rsid w:val="00BC46DF"/>
    <w:rsid w:val="00BF4419"/>
    <w:rsid w:val="00C03577"/>
    <w:rsid w:val="00C53029"/>
    <w:rsid w:val="00C65FEA"/>
    <w:rsid w:val="00CA0AC2"/>
    <w:rsid w:val="00CB4D0A"/>
    <w:rsid w:val="00CC2FB3"/>
    <w:rsid w:val="00CC575A"/>
    <w:rsid w:val="00CF123B"/>
    <w:rsid w:val="00D039AC"/>
    <w:rsid w:val="00D2100E"/>
    <w:rsid w:val="00D24F79"/>
    <w:rsid w:val="00D427DE"/>
    <w:rsid w:val="00D4766F"/>
    <w:rsid w:val="00D5587D"/>
    <w:rsid w:val="00D707CC"/>
    <w:rsid w:val="00D821FE"/>
    <w:rsid w:val="00DB0793"/>
    <w:rsid w:val="00DB30BA"/>
    <w:rsid w:val="00E00821"/>
    <w:rsid w:val="00E04DB4"/>
    <w:rsid w:val="00E30679"/>
    <w:rsid w:val="00E36F97"/>
    <w:rsid w:val="00E4597D"/>
    <w:rsid w:val="00E54832"/>
    <w:rsid w:val="00E56A90"/>
    <w:rsid w:val="00E641CC"/>
    <w:rsid w:val="00E67CE5"/>
    <w:rsid w:val="00E96970"/>
    <w:rsid w:val="00EA30AB"/>
    <w:rsid w:val="00EB1538"/>
    <w:rsid w:val="00EB3925"/>
    <w:rsid w:val="00EC6ED2"/>
    <w:rsid w:val="00ED2600"/>
    <w:rsid w:val="00F17F43"/>
    <w:rsid w:val="00F31AD4"/>
    <w:rsid w:val="00F81296"/>
    <w:rsid w:val="00F96EB3"/>
    <w:rsid w:val="00FB231C"/>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standalone="yes" ?><Relationships xmlns="http://schemas.openxmlformats.org/package/2006/relationships"><Relationship Id="rId1" Target="../customXml/item1.xml" Type="http://schemas.openxmlformats.org/officeDocument/2006/relationships/customXml"></Relationship><Relationship Id="rId2" Target="media/image1.png" Type="http://schemas.openxmlformats.org/officeDocument/2006/relationships/image"></Relationship><Relationship Id="rId3" Target="footnotes.xml" Type="http://schemas.openxmlformats.org/officeDocument/2006/relationships/footnotes"></Relationship><Relationship Id="rId4" Target="endnotes.xml" Type="http://schemas.openxmlformats.org/officeDocument/2006/relationships/endnotes"></Relationship><Relationship Id="rId5" Target="settings.xml" Type="http://schemas.openxmlformats.org/officeDocument/2006/relationships/settings"></Relationship><Relationship Id="rId6" Target="numbering.xml" Type="http://schemas.openxmlformats.org/officeDocument/2006/relationships/numbering"></Relationship><Relationship Id="rId7" Target="fontTable.xml" Type="http://schemas.openxmlformats.org/officeDocument/2006/relationships/fontTable"></Relationship><Relationship Id="rId8" Target="webSettings.xml" Type="http://schemas.openxmlformats.org/officeDocument/2006/relationships/webSettings"></Relationship><Relationship Id="rId9" Target="styles.xml" Type="http://schemas.openxmlformats.org/officeDocument/2006/relationships/styles"></Relationship><Relationship Id="rId10" Target="theme/theme1.xml" Type="http://schemas.openxmlformats.org/officeDocument/2006/relationships/theme"></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EE28A-B086-BF4E-8036-B2A96D555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Company/>
  <Pages>4</Pages>
  <Words>367</Words>
  <Characters>2535</Characters>
  <Lines>17</Lines>
  <Paragraphs>4</Paragraphs>
  <TotalTime>29</TotalTime>
  <ScaleCrop>0</ScaleCrop>
  <HeadingPairs>
    <vt:vector size="2" baseType="variant">
      <vt:variant>
        <vt:lpstr>Title</vt:lpstr>
      </vt:variant>
      <vt:variant>
        <vt:i4>1</vt:i4>
      </vt:variant>
    </vt:vector>
  </HeadingPairs>
  <TitlesOfParts>
    <vt:vector size="1" baseType="lpstr">
      <vt:lpstr/>
    </vt:vector>
  </TitlesOfParts>
  <LinksUpToDate>0</LinksUpToDate>
  <CharactersWithSpaces>3077</CharactersWithSpaces>
  <SharedDoc>0</SharedDoc>
  <HyperlinksChanged>0</HyperlinksChanged>
  <Application>Microsoft Macintosh Word</Application>
  <AppVersion>12.0000</AppVers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3</cp:revision>
  <dcterms:created xsi:type="dcterms:W3CDTF">2016-12-07T09:00:00Z</dcterms:created>
  <dcterms:modified xsi:type="dcterms:W3CDTF">2016-12-07T10:23:00Z</dcterms:modified>
</cp:coreProperties>
</file>