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2A4" w:rsidRPr="00B0415E" w:rsidRDefault="008122A4" w:rsidP="008122A4">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7AC494C5" wp14:editId="628C3AA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122A4" w:rsidRDefault="008122A4" w:rsidP="008122A4">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22A4" w:rsidRDefault="008122A4" w:rsidP="008122A4">
                            <w:pPr>
                              <w:jc w:val="center"/>
                              <w:rPr>
                                <w:b/>
                                <w:bCs/>
                                <w:color w:val="002060"/>
                                <w:sz w:val="44"/>
                                <w:szCs w:val="40"/>
                              </w:rPr>
                            </w:pPr>
                            <w:r>
                              <w:rPr>
                                <w:sz w:val="24"/>
                              </w:rPr>
                              <w:t xml:space="preserve">   </w:t>
                            </w:r>
                            <w:r>
                              <w:rPr>
                                <w:b/>
                                <w:bCs/>
                                <w:color w:val="002060"/>
                                <w:sz w:val="44"/>
                                <w:szCs w:val="40"/>
                              </w:rPr>
                              <w:t>Assignment Cover Sheet</w:t>
                            </w:r>
                          </w:p>
                          <w:p w:rsidR="008122A4" w:rsidRDefault="008122A4" w:rsidP="008122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122A4" w:rsidRDefault="008122A4" w:rsidP="008122A4">
                      <w:pPr>
                        <w:jc w:val="center"/>
                        <w:rPr>
                          <w:b/>
                          <w:bCs/>
                          <w:color w:val="002060"/>
                          <w:sz w:val="44"/>
                          <w:szCs w:val="40"/>
                        </w:rPr>
                      </w:pPr>
                      <w:r>
                        <w:rPr>
                          <w:sz w:val="24"/>
                        </w:rPr>
                        <w:t xml:space="preserve">   </w:t>
                      </w:r>
                      <w:r>
                        <w:rPr>
                          <w:b/>
                          <w:bCs/>
                          <w:color w:val="002060"/>
                          <w:sz w:val="44"/>
                          <w:szCs w:val="40"/>
                        </w:rPr>
                        <w:t>Assignment Cover Sheet</w:t>
                      </w:r>
                    </w:p>
                    <w:p w:rsidR="008122A4" w:rsidRDefault="008122A4" w:rsidP="008122A4"/>
                  </w:txbxContent>
                </v:textbox>
              </v:shape>
            </w:pict>
          </mc:Fallback>
        </mc:AlternateContent>
      </w:r>
    </w:p>
    <w:p w:rsidR="008122A4" w:rsidRDefault="008122A4" w:rsidP="008122A4">
      <w:pPr>
        <w:rPr>
          <w:lang w:val="en-US"/>
        </w:rPr>
      </w:pPr>
    </w:p>
    <w:p w:rsidR="008122A4" w:rsidRDefault="008122A4" w:rsidP="008122A4">
      <w:pPr>
        <w:rPr>
          <w:lang w:val="en-US"/>
        </w:rPr>
      </w:pPr>
    </w:p>
    <w:p w:rsidR="008122A4" w:rsidRDefault="008122A4" w:rsidP="008122A4">
      <w:pPr>
        <w:rPr>
          <w:lang w:val="en-US"/>
        </w:rPr>
      </w:pPr>
    </w:p>
    <w:tbl>
      <w:tblPr>
        <w:tblStyle w:val="TableGrid"/>
        <w:tblW w:w="0" w:type="auto"/>
        <w:tblLook w:val="04A0" w:firstRow="1" w:lastRow="0" w:firstColumn="1" w:lastColumn="0" w:noHBand="0" w:noVBand="1"/>
      </w:tblPr>
      <w:tblGrid>
        <w:gridCol w:w="2522"/>
        <w:gridCol w:w="6494"/>
      </w:tblGrid>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pPr>
              <w:pStyle w:val="Default"/>
              <w:rPr>
                <w:rFonts w:asciiTheme="minorHAnsi" w:hAnsiTheme="minorHAnsi"/>
              </w:rPr>
            </w:pPr>
            <w:r>
              <w:rPr>
                <w:rFonts w:asciiTheme="minorHAnsi" w:hAnsiTheme="minorHAnsi"/>
              </w:rPr>
              <w:t>Dhvanisha Thacker</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122A4" w:rsidRPr="00B0415E" w:rsidRDefault="008122A4" w:rsidP="00C25F64">
            <w:pPr>
              <w:pStyle w:val="Default"/>
              <w:rPr>
                <w:rFonts w:asciiTheme="minorHAnsi" w:hAnsiTheme="minorHAnsi"/>
              </w:rPr>
            </w:pPr>
            <w:r>
              <w:rPr>
                <w:rFonts w:asciiTheme="minorHAnsi" w:hAnsiTheme="minorHAnsi"/>
              </w:rPr>
              <w:t>3062</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8122A4" w:rsidP="00C25F64">
            <w:pPr>
              <w:pStyle w:val="Default"/>
              <w:rPr>
                <w:rFonts w:asciiTheme="minorHAnsi" w:hAnsiTheme="minorHAnsi"/>
              </w:rPr>
            </w:pPr>
            <w:r>
              <w:rPr>
                <w:rFonts w:asciiTheme="minorHAnsi" w:hAnsiTheme="minorHAnsi"/>
              </w:rPr>
              <w:t>Diploma in Forensic Accounting</w:t>
            </w:r>
          </w:p>
        </w:tc>
      </w:tr>
      <w:tr w:rsidR="008122A4" w:rsidRPr="00B0415E" w:rsidTr="00C25F6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122A4" w:rsidRPr="00B0415E" w:rsidRDefault="008122A4" w:rsidP="00C25F6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122A4" w:rsidRPr="00B0415E" w:rsidRDefault="00586DFA" w:rsidP="00586DFA">
            <w:r>
              <w:t>Unit 2</w:t>
            </w:r>
            <w:r w:rsidR="008122A4">
              <w:t xml:space="preserve"> – </w:t>
            </w:r>
            <w:r>
              <w:t>Crime &amp; Economy</w:t>
            </w:r>
          </w:p>
        </w:tc>
      </w:tr>
    </w:tbl>
    <w:p w:rsidR="008122A4" w:rsidRDefault="008122A4" w:rsidP="008122A4">
      <w:pPr>
        <w:rPr>
          <w:b/>
          <w:lang w:val="en-US"/>
        </w:rPr>
      </w:pPr>
    </w:p>
    <w:p w:rsidR="008122A4" w:rsidRDefault="008122A4" w:rsidP="008122A4">
      <w:pPr>
        <w:rPr>
          <w:b/>
          <w:sz w:val="28"/>
          <w:lang w:val="en-US"/>
        </w:rPr>
      </w:pPr>
      <w:r w:rsidRPr="00443E6F">
        <w:rPr>
          <w:b/>
          <w:sz w:val="28"/>
          <w:lang w:val="en-US"/>
        </w:rPr>
        <w:t>Marking Criteria:</w:t>
      </w:r>
    </w:p>
    <w:p w:rsidR="008122A4" w:rsidRDefault="008122A4" w:rsidP="008122A4">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122A4" w:rsidRDefault="008122A4" w:rsidP="000C2E3E">
      <w:pPr>
        <w:rPr>
          <w:rFonts w:ascii="Arial" w:hAnsi="Arial" w:cs="Arial"/>
          <w:sz w:val="24"/>
          <w:szCs w:val="24"/>
        </w:rPr>
      </w:pPr>
      <w:r>
        <w:rPr>
          <w:lang w:val="en-US"/>
        </w:rPr>
        <w:t xml:space="preserve">For high grades use </w:t>
      </w:r>
      <w:r w:rsidRPr="00443E6F">
        <w:rPr>
          <w:lang w:val="en-US"/>
        </w:rPr>
        <w:t>examples and illustrations where appropriate</w:t>
      </w:r>
      <w:r>
        <w:rPr>
          <w:lang w:val="en-US"/>
        </w:rPr>
        <w:t>.</w:t>
      </w:r>
    </w:p>
    <w:p w:rsidR="000B2BD6" w:rsidRPr="00AC2D44" w:rsidRDefault="000B2BD6" w:rsidP="000B2BD6">
      <w:pPr>
        <w:pStyle w:val="ListParagraph"/>
        <w:numPr>
          <w:ilvl w:val="0"/>
          <w:numId w:val="1"/>
        </w:numPr>
        <w:spacing w:line="360" w:lineRule="auto"/>
        <w:jc w:val="both"/>
        <w:rPr>
          <w:rFonts w:ascii="Arial" w:hAnsi="Arial" w:cs="Arial"/>
          <w:sz w:val="24"/>
          <w:szCs w:val="24"/>
          <w:u w:val="single"/>
        </w:rPr>
      </w:pPr>
      <w:r w:rsidRPr="00AC2D44">
        <w:rPr>
          <w:rFonts w:ascii="Arial" w:hAnsi="Arial" w:cs="Arial"/>
          <w:sz w:val="24"/>
          <w:szCs w:val="24"/>
          <w:u w:val="single"/>
        </w:rPr>
        <w:t>Short Questions</w:t>
      </w:r>
    </w:p>
    <w:p w:rsidR="00AA3C65" w:rsidRDefault="0069384E" w:rsidP="000D05F8">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Crime </w:t>
      </w:r>
      <w:r w:rsidR="006E4F64">
        <w:rPr>
          <w:rFonts w:ascii="Arial" w:hAnsi="Arial" w:cs="Arial"/>
          <w:sz w:val="24"/>
          <w:szCs w:val="24"/>
        </w:rPr>
        <w:t xml:space="preserve">has significant effects on society, </w:t>
      </w:r>
      <w:r w:rsidR="005C34F7">
        <w:rPr>
          <w:rFonts w:ascii="Arial" w:hAnsi="Arial" w:cs="Arial"/>
          <w:sz w:val="24"/>
          <w:szCs w:val="24"/>
        </w:rPr>
        <w:t xml:space="preserve">and this is seen through the studies of microeconomics and macroeconomics. </w:t>
      </w:r>
      <w:r w:rsidR="005C34F7">
        <w:rPr>
          <w:rFonts w:ascii="Arial" w:hAnsi="Arial" w:cs="Arial"/>
          <w:sz w:val="24"/>
          <w:szCs w:val="24"/>
        </w:rPr>
        <w:br/>
        <w:t>Microeconomics evaluates the effect of crime on businesses and individuals</w:t>
      </w:r>
      <w:r w:rsidR="00D601AD">
        <w:rPr>
          <w:rFonts w:ascii="Arial" w:hAnsi="Arial" w:cs="Arial"/>
          <w:sz w:val="24"/>
          <w:szCs w:val="24"/>
        </w:rPr>
        <w:t>. It studies the influence of crime on individual consumers and companies. A victim might be an individual or a business. Victims are primarily and directly affected by the loss of money or property. The amount of property or money may be determined after the criminal has been prosecuted, but sometimes this is not possible. In some crimes, the reputation of the victim suffers a loss; there may be no apparent economic loss; alternatively, the cost to the victim may be massive. However, the overall costs to the local community and the nation can be huge.</w:t>
      </w:r>
      <w:r w:rsidR="005C34F7">
        <w:rPr>
          <w:rFonts w:ascii="Arial" w:hAnsi="Arial" w:cs="Arial"/>
          <w:sz w:val="24"/>
          <w:szCs w:val="24"/>
        </w:rPr>
        <w:br/>
        <w:t>Macroeconomics analyses</w:t>
      </w:r>
      <w:r w:rsidR="005A2EFC">
        <w:rPr>
          <w:rFonts w:ascii="Arial" w:hAnsi="Arial" w:cs="Arial"/>
          <w:sz w:val="24"/>
          <w:szCs w:val="24"/>
        </w:rPr>
        <w:t xml:space="preserve"> the influence of crime on local communities and domestic and global markets.</w:t>
      </w:r>
      <w:r w:rsidR="005C34F7">
        <w:rPr>
          <w:rFonts w:ascii="Arial" w:hAnsi="Arial" w:cs="Arial"/>
          <w:sz w:val="24"/>
          <w:szCs w:val="24"/>
        </w:rPr>
        <w:t xml:space="preserve"> </w:t>
      </w:r>
      <w:r w:rsidR="00D601AD">
        <w:rPr>
          <w:rFonts w:ascii="Arial" w:hAnsi="Arial" w:cs="Arial"/>
          <w:sz w:val="24"/>
          <w:szCs w:val="24"/>
        </w:rPr>
        <w:t>It studies the effect of crime on local communities at regional, national and international levels.</w:t>
      </w:r>
    </w:p>
    <w:p w:rsidR="003D6EDF" w:rsidRPr="00670C4D" w:rsidRDefault="003D6EDF" w:rsidP="00670C4D">
      <w:pPr>
        <w:pStyle w:val="ListParagraph"/>
        <w:numPr>
          <w:ilvl w:val="0"/>
          <w:numId w:val="2"/>
        </w:numPr>
        <w:spacing w:line="360" w:lineRule="auto"/>
        <w:jc w:val="both"/>
        <w:rPr>
          <w:rFonts w:ascii="Arial" w:hAnsi="Arial" w:cs="Arial"/>
          <w:sz w:val="24"/>
          <w:szCs w:val="24"/>
        </w:rPr>
      </w:pPr>
      <w:r>
        <w:rPr>
          <w:rFonts w:ascii="Arial" w:hAnsi="Arial" w:cs="Arial"/>
          <w:sz w:val="24"/>
          <w:szCs w:val="24"/>
        </w:rPr>
        <w:t xml:space="preserve">The cost of crime to the local community and the nation can be huge. A few components include: law enforcement, prevention of crime, drug </w:t>
      </w:r>
      <w:r>
        <w:rPr>
          <w:rFonts w:ascii="Arial" w:hAnsi="Arial" w:cs="Arial"/>
          <w:sz w:val="24"/>
          <w:szCs w:val="24"/>
        </w:rPr>
        <w:lastRenderedPageBreak/>
        <w:t>rehabilitation and prevention, incarceration, courts, prosecutors, public defenders, hospitalisation, businesses and insurance companies.</w:t>
      </w:r>
      <w:r>
        <w:rPr>
          <w:rFonts w:ascii="Arial" w:hAnsi="Arial" w:cs="Arial"/>
          <w:sz w:val="24"/>
          <w:szCs w:val="24"/>
        </w:rPr>
        <w:br/>
        <w:t>Community programmes are developed to help prevent the occurrence of crimes. Common programs include: crime stoppers, school programs and other programs supported by the tax money paid by the local community.</w:t>
      </w:r>
      <w:r>
        <w:rPr>
          <w:rFonts w:ascii="Arial" w:hAnsi="Arial" w:cs="Arial"/>
          <w:sz w:val="24"/>
          <w:szCs w:val="24"/>
        </w:rPr>
        <w:br/>
        <w:t>Programs on drug rehabilitation and prevention are supported by both private and public funding. Private organisations and governments offer programs for the prevention of drugs and alcohol abuse, and the rehabilitation of the users. Such programs cost money to the patients and taxpayers.</w:t>
      </w:r>
      <w:r w:rsidR="00670C4D">
        <w:rPr>
          <w:rFonts w:ascii="Arial" w:hAnsi="Arial" w:cs="Arial"/>
          <w:sz w:val="24"/>
          <w:szCs w:val="24"/>
        </w:rPr>
        <w:br/>
        <w:t>The facilities provided to prisoners cost substantial amounts of money provided by taxpayers. These include expenses for food, housing, clothing, medical care, supervision and training for inmates in jail.</w:t>
      </w:r>
      <w:r w:rsidR="00670C4D">
        <w:rPr>
          <w:rFonts w:ascii="Arial" w:hAnsi="Arial" w:cs="Arial"/>
          <w:sz w:val="24"/>
          <w:szCs w:val="24"/>
        </w:rPr>
        <w:br/>
        <w:t>Operating and maintaining the legal system carried considerable costs for taxpayers. These include costs for judges, court reporters, clerks, buildings, etc.</w:t>
      </w:r>
      <w:r w:rsidR="00670C4D">
        <w:rPr>
          <w:rFonts w:ascii="Arial" w:hAnsi="Arial" w:cs="Arial"/>
          <w:sz w:val="24"/>
          <w:szCs w:val="24"/>
        </w:rPr>
        <w:br/>
      </w:r>
      <w:r w:rsidR="00C4723D">
        <w:rPr>
          <w:rFonts w:ascii="Arial" w:hAnsi="Arial" w:cs="Arial"/>
          <w:sz w:val="24"/>
          <w:szCs w:val="24"/>
        </w:rPr>
        <w:t>In many cases, the defendants are unable to meet the expenses of hiring defence attorneys. In such situations, the taxpayers’ money pays for these expenses. These costs include fees for the defence lawyers and their support staff, operating expenses and maintenance costs.</w:t>
      </w:r>
      <w:r w:rsidRPr="00670C4D">
        <w:rPr>
          <w:rFonts w:ascii="Arial" w:hAnsi="Arial" w:cs="Arial"/>
          <w:sz w:val="24"/>
          <w:szCs w:val="24"/>
        </w:rPr>
        <w:t xml:space="preserve"> </w:t>
      </w:r>
    </w:p>
    <w:p w:rsidR="00272BBA" w:rsidRDefault="00681129" w:rsidP="000D05F8">
      <w:pPr>
        <w:pStyle w:val="ListParagraph"/>
        <w:numPr>
          <w:ilvl w:val="0"/>
          <w:numId w:val="2"/>
        </w:numPr>
        <w:spacing w:line="360" w:lineRule="auto"/>
        <w:jc w:val="both"/>
        <w:rPr>
          <w:rFonts w:ascii="Arial" w:hAnsi="Arial" w:cs="Arial"/>
          <w:sz w:val="24"/>
          <w:szCs w:val="24"/>
        </w:rPr>
      </w:pPr>
      <w:r w:rsidRPr="00272BBA">
        <w:rPr>
          <w:rFonts w:ascii="Arial" w:hAnsi="Arial" w:cs="Arial"/>
          <w:sz w:val="24"/>
          <w:szCs w:val="24"/>
        </w:rPr>
        <w:t>Arson is the malicious and intentional burning of another person’s dwelling (building). It is one of the most common financial crime which is concerned not only with the resulting damage to the property but also the threat to which the occupants were exposed due to this action.</w:t>
      </w:r>
      <w:r w:rsidRPr="00272BBA">
        <w:rPr>
          <w:rFonts w:ascii="Arial" w:hAnsi="Arial" w:cs="Arial"/>
          <w:sz w:val="24"/>
          <w:szCs w:val="24"/>
        </w:rPr>
        <w:br/>
        <w:t>An individual who burns a dwelling</w:t>
      </w:r>
      <w:r w:rsidR="00965B69">
        <w:rPr>
          <w:rFonts w:ascii="Arial" w:hAnsi="Arial" w:cs="Arial"/>
          <w:sz w:val="24"/>
          <w:szCs w:val="24"/>
        </w:rPr>
        <w:t xml:space="preserve"> (building)</w:t>
      </w:r>
      <w:r w:rsidRPr="00272BBA">
        <w:rPr>
          <w:rFonts w:ascii="Arial" w:hAnsi="Arial" w:cs="Arial"/>
          <w:sz w:val="24"/>
          <w:szCs w:val="24"/>
        </w:rPr>
        <w:t xml:space="preserve"> while committing an offence such as break-in is guilty of arson irrespective of the absence of any intent to start the fire or damage the house. </w:t>
      </w:r>
      <w:r w:rsidR="00965B69">
        <w:rPr>
          <w:rFonts w:ascii="Arial" w:hAnsi="Arial" w:cs="Arial"/>
          <w:sz w:val="24"/>
          <w:szCs w:val="24"/>
        </w:rPr>
        <w:t xml:space="preserve">The burning has to be malicious or wilful to be categorised as arson. </w:t>
      </w:r>
      <w:r w:rsidR="0069384E" w:rsidRPr="00272BBA">
        <w:rPr>
          <w:rFonts w:ascii="Arial" w:hAnsi="Arial" w:cs="Arial"/>
          <w:sz w:val="24"/>
          <w:szCs w:val="24"/>
        </w:rPr>
        <w:t>Serious crimes of arson include: slight burns, smoke damage, or staining of the building without any disfiguring, destruction or actual burning. The real burning of some part of the property must have occurred to warrant a charge of arson.</w:t>
      </w:r>
      <w:r w:rsidR="00272BBA" w:rsidRPr="00272BBA">
        <w:rPr>
          <w:rFonts w:ascii="Arial" w:hAnsi="Arial" w:cs="Arial"/>
          <w:sz w:val="24"/>
          <w:szCs w:val="24"/>
        </w:rPr>
        <w:t xml:space="preserve"> </w:t>
      </w:r>
    </w:p>
    <w:p w:rsidR="003F56DE" w:rsidRPr="00272BBA" w:rsidRDefault="0069384E" w:rsidP="000D05F8">
      <w:pPr>
        <w:pStyle w:val="ListParagraph"/>
        <w:numPr>
          <w:ilvl w:val="0"/>
          <w:numId w:val="2"/>
        </w:numPr>
        <w:spacing w:line="360" w:lineRule="auto"/>
        <w:jc w:val="both"/>
        <w:rPr>
          <w:rFonts w:ascii="Arial" w:hAnsi="Arial" w:cs="Arial"/>
          <w:sz w:val="24"/>
          <w:szCs w:val="24"/>
        </w:rPr>
      </w:pPr>
      <w:r w:rsidRPr="00272BBA">
        <w:rPr>
          <w:rFonts w:ascii="Arial" w:hAnsi="Arial" w:cs="Arial"/>
          <w:sz w:val="24"/>
          <w:szCs w:val="24"/>
        </w:rPr>
        <w:lastRenderedPageBreak/>
        <w:t>Money laundering</w:t>
      </w:r>
      <w:r w:rsidR="000B1F3E" w:rsidRPr="00272BBA">
        <w:rPr>
          <w:rFonts w:ascii="Arial" w:hAnsi="Arial" w:cs="Arial"/>
          <w:sz w:val="24"/>
          <w:szCs w:val="24"/>
        </w:rPr>
        <w:t xml:space="preserve"> is when a person or business entity conceal gains from unlawful activities through various schemes and methods. Money laundering events include: transfer of money and other monetary instruments to and from overseas, buying carious tangible and intangible properties</w:t>
      </w:r>
      <w:r w:rsidR="00904CB7" w:rsidRPr="00272BBA">
        <w:rPr>
          <w:rFonts w:ascii="Arial" w:hAnsi="Arial" w:cs="Arial"/>
          <w:sz w:val="24"/>
          <w:szCs w:val="24"/>
        </w:rPr>
        <w:t xml:space="preserve"> with large amounts of cash, depositing large amounts of money into different financial organisations, maintaining offshore bank accounts with huge balances, transmitting money on the public’s behalf (overseas or within the country), any money derived from unlawful activities.</w:t>
      </w:r>
    </w:p>
    <w:p w:rsidR="009A6852" w:rsidRDefault="0069384E" w:rsidP="0069384E">
      <w:pPr>
        <w:pStyle w:val="ListParagraph"/>
        <w:numPr>
          <w:ilvl w:val="0"/>
          <w:numId w:val="1"/>
        </w:numPr>
        <w:spacing w:line="360" w:lineRule="auto"/>
        <w:jc w:val="both"/>
        <w:rPr>
          <w:rFonts w:ascii="Arial" w:hAnsi="Arial" w:cs="Arial"/>
          <w:sz w:val="24"/>
          <w:szCs w:val="24"/>
        </w:rPr>
      </w:pPr>
      <w:r w:rsidRPr="009A6852">
        <w:rPr>
          <w:rFonts w:ascii="Arial" w:hAnsi="Arial" w:cs="Arial"/>
          <w:sz w:val="24"/>
          <w:szCs w:val="24"/>
        </w:rPr>
        <w:t>Embezzlement</w:t>
      </w:r>
      <w:r w:rsidR="00904CB7" w:rsidRPr="009A6852">
        <w:rPr>
          <w:rFonts w:ascii="Arial" w:hAnsi="Arial" w:cs="Arial"/>
          <w:sz w:val="24"/>
          <w:szCs w:val="24"/>
        </w:rPr>
        <w:t xml:space="preserve"> is the process of diverting business income to one’s personal use carried out by a member of staff. Cash businesses are increasingly susceptible to embezzlement and in most such crimes, the embezzled money cannot be traced from the business organisation to the perpetrators.</w:t>
      </w:r>
      <w:r w:rsidR="009A6852" w:rsidRPr="009A6852">
        <w:rPr>
          <w:rFonts w:ascii="Arial" w:hAnsi="Arial" w:cs="Arial"/>
          <w:sz w:val="24"/>
          <w:szCs w:val="24"/>
        </w:rPr>
        <w:t xml:space="preserve"> The offence of embezzlement is also included in corporate raiding. This is when organisations or individuals take over business entities to exploit the business assets for financial gain. Corporate raids may be carried out for personal gain or for acquiring control of the industry. </w:t>
      </w:r>
      <w:r w:rsidR="009A6852">
        <w:rPr>
          <w:rFonts w:ascii="Arial" w:hAnsi="Arial" w:cs="Arial"/>
          <w:sz w:val="24"/>
          <w:szCs w:val="24"/>
        </w:rPr>
        <w:t>Similarly, the process of diverting business income to one’s personal use is known as skimming. This fraud can only be carried out by the owners or officers of a business enterprise.</w:t>
      </w:r>
      <w:r w:rsidR="00B86F1E">
        <w:rPr>
          <w:rFonts w:ascii="Arial" w:hAnsi="Arial" w:cs="Arial"/>
          <w:sz w:val="24"/>
          <w:szCs w:val="24"/>
        </w:rPr>
        <w:br/>
        <w:t>There are many types of financial crime, embezzlement being one of them, with the comment factor being greed. Substantial time is required to collect vast amounts of financial records to support a conviction in complex financial crimes. Factors that may be seen in financial crimes are: the presence of something valuable, an opportunity to take something without being detected, and a perpetrator willing to commit an offence.</w:t>
      </w:r>
    </w:p>
    <w:p w:rsidR="0069384E" w:rsidRDefault="0069384E" w:rsidP="0069384E">
      <w:pPr>
        <w:pStyle w:val="ListParagraph"/>
        <w:numPr>
          <w:ilvl w:val="0"/>
          <w:numId w:val="1"/>
        </w:numPr>
        <w:spacing w:line="360" w:lineRule="auto"/>
        <w:jc w:val="both"/>
        <w:rPr>
          <w:rFonts w:ascii="Arial" w:hAnsi="Arial" w:cs="Arial"/>
          <w:sz w:val="24"/>
          <w:szCs w:val="24"/>
        </w:rPr>
      </w:pPr>
      <w:r w:rsidRPr="009A6852">
        <w:rPr>
          <w:rFonts w:ascii="Arial" w:hAnsi="Arial" w:cs="Arial"/>
          <w:sz w:val="24"/>
          <w:szCs w:val="24"/>
        </w:rPr>
        <w:t>Forgery</w:t>
      </w:r>
      <w:r w:rsidR="00CC7550" w:rsidRPr="009A6852">
        <w:rPr>
          <w:rFonts w:ascii="Arial" w:hAnsi="Arial" w:cs="Arial"/>
          <w:sz w:val="24"/>
          <w:szCs w:val="24"/>
        </w:rPr>
        <w:t xml:space="preserve"> is the deceitful making or material modification of any writing with the intention to deceive or harm another person’s rights. Forgery may be committed by writing with pencil or ink, by typewriter, carving, printing, or even pasting one name over another. The crime of forgery must have the feature that the signature was not made by the person whose signature it is meant to be and someone made the signature illegally.</w:t>
      </w:r>
      <w:r w:rsidR="009A6852">
        <w:rPr>
          <w:rFonts w:ascii="Arial" w:hAnsi="Arial" w:cs="Arial"/>
          <w:sz w:val="24"/>
          <w:szCs w:val="24"/>
        </w:rPr>
        <w:t xml:space="preserve"> Examples of forgery are: suspecting a name of having been forged is in fact a fictitious one, signing a fictitious name </w:t>
      </w:r>
      <w:r w:rsidR="009A6852">
        <w:rPr>
          <w:rFonts w:ascii="Arial" w:hAnsi="Arial" w:cs="Arial"/>
          <w:sz w:val="24"/>
          <w:szCs w:val="24"/>
        </w:rPr>
        <w:lastRenderedPageBreak/>
        <w:t xml:space="preserve">on a cheque with the intention to commit fraud (even if the cheque has been made payable to cash), etc. It is not essential that the forged signature should resemble the original one. Forgery may be committed by an individual signing his own name where his name appears to be the same as that of another person and he intends his writing to be taken as that of such other individual. </w:t>
      </w:r>
      <w:r w:rsidR="005C34F7">
        <w:rPr>
          <w:rFonts w:ascii="Arial" w:hAnsi="Arial" w:cs="Arial"/>
          <w:sz w:val="24"/>
          <w:szCs w:val="24"/>
        </w:rPr>
        <w:t xml:space="preserve">Generally, a mere unimportant change or modification of the signature that does not affect the legal liability of either party concerned with the instrument involved is not forgery. </w:t>
      </w:r>
      <w:r w:rsidR="009A6852">
        <w:rPr>
          <w:rFonts w:ascii="Arial" w:hAnsi="Arial" w:cs="Arial"/>
          <w:sz w:val="24"/>
          <w:szCs w:val="24"/>
        </w:rPr>
        <w:br/>
        <w:t xml:space="preserve">Uttering on the other hand, is offering of a forged instrument with the intent to deceive. Examples of uttering are: </w:t>
      </w:r>
      <w:r w:rsidR="005C34F7">
        <w:rPr>
          <w:rFonts w:ascii="Arial" w:hAnsi="Arial" w:cs="Arial"/>
          <w:sz w:val="24"/>
          <w:szCs w:val="24"/>
        </w:rPr>
        <w:t>presenting a fake licence as evidence to receive compensation, depositing a fake cheque to a personal account, delivering a forged note to pay a debt, obtaining certification of a forged will, using a forged instrument in court.</w:t>
      </w:r>
    </w:p>
    <w:p w:rsidR="00FE46AE" w:rsidRPr="00FE46AE" w:rsidRDefault="00FE46AE" w:rsidP="00FE46AE">
      <w:pPr>
        <w:pStyle w:val="ListParagraph"/>
        <w:spacing w:line="360" w:lineRule="auto"/>
        <w:jc w:val="both"/>
        <w:rPr>
          <w:rFonts w:ascii="Arial" w:hAnsi="Arial" w:cs="Arial"/>
          <w:sz w:val="24"/>
          <w:szCs w:val="24"/>
        </w:rPr>
      </w:pPr>
    </w:p>
    <w:p w:rsidR="00BB31ED" w:rsidRDefault="00491981" w:rsidP="00BB31ED">
      <w:pPr>
        <w:spacing w:line="360" w:lineRule="auto"/>
        <w:rPr>
          <w:rFonts w:ascii="Arial" w:hAnsi="Arial" w:cs="Arial"/>
          <w:sz w:val="24"/>
          <w:szCs w:val="24"/>
          <w:u w:val="single"/>
        </w:rPr>
      </w:pPr>
      <w:r w:rsidRPr="00BB31ED">
        <w:rPr>
          <w:rFonts w:ascii="Arial" w:hAnsi="Arial" w:cs="Arial"/>
          <w:sz w:val="24"/>
          <w:szCs w:val="24"/>
          <w:u w:val="single"/>
        </w:rPr>
        <w:t>Case Study:</w:t>
      </w:r>
      <w:r w:rsidR="004C4328" w:rsidRPr="00BB31ED">
        <w:rPr>
          <w:rFonts w:ascii="Arial" w:hAnsi="Arial" w:cs="Arial"/>
          <w:sz w:val="24"/>
          <w:szCs w:val="24"/>
          <w:u w:val="single"/>
        </w:rPr>
        <w:t xml:space="preserve"> </w:t>
      </w:r>
    </w:p>
    <w:p w:rsidR="00BD464D" w:rsidRDefault="00BD464D" w:rsidP="00BD464D">
      <w:pPr>
        <w:spacing w:line="360" w:lineRule="auto"/>
        <w:rPr>
          <w:rFonts w:ascii="Arial" w:hAnsi="Arial" w:cs="Arial"/>
          <w:sz w:val="24"/>
          <w:szCs w:val="24"/>
        </w:rPr>
      </w:pPr>
      <w:r>
        <w:rPr>
          <w:rFonts w:ascii="Arial" w:hAnsi="Arial" w:cs="Arial"/>
          <w:sz w:val="24"/>
          <w:szCs w:val="24"/>
        </w:rPr>
        <w:t xml:space="preserve">The principles of forensic accounting are best described by a brief synopsis of a fraud investigation. A fraud investigation is initiated by a prediction. Prediction is the set of conditions that will guide the </w:t>
      </w:r>
      <w:r w:rsidR="00504B67">
        <w:rPr>
          <w:rFonts w:ascii="Arial" w:hAnsi="Arial" w:cs="Arial"/>
          <w:sz w:val="24"/>
          <w:szCs w:val="24"/>
        </w:rPr>
        <w:t>forensic accountant</w:t>
      </w:r>
      <w:r>
        <w:rPr>
          <w:rFonts w:ascii="Arial" w:hAnsi="Arial" w:cs="Arial"/>
          <w:sz w:val="24"/>
          <w:szCs w:val="24"/>
        </w:rPr>
        <w:t xml:space="preserve"> to believe that a fraud has occurred</w:t>
      </w:r>
      <w:r w:rsidR="00504B67">
        <w:rPr>
          <w:rFonts w:ascii="Arial" w:hAnsi="Arial" w:cs="Arial"/>
          <w:sz w:val="24"/>
          <w:szCs w:val="24"/>
        </w:rPr>
        <w:t xml:space="preserve"> or is occurring in this case.</w:t>
      </w:r>
      <w:r>
        <w:rPr>
          <w:rFonts w:ascii="Arial" w:hAnsi="Arial" w:cs="Arial"/>
          <w:sz w:val="24"/>
          <w:szCs w:val="24"/>
        </w:rPr>
        <w:t xml:space="preserve"> However, in litigation support, predication is initiated </w:t>
      </w:r>
      <w:r w:rsidR="0079646F">
        <w:rPr>
          <w:rFonts w:ascii="Arial" w:hAnsi="Arial" w:cs="Arial"/>
          <w:sz w:val="24"/>
          <w:szCs w:val="24"/>
        </w:rPr>
        <w:t xml:space="preserve">by a lawyer. </w:t>
      </w:r>
      <w:r w:rsidR="00576DDE">
        <w:rPr>
          <w:rFonts w:ascii="Arial" w:hAnsi="Arial" w:cs="Arial"/>
          <w:sz w:val="24"/>
          <w:szCs w:val="24"/>
        </w:rPr>
        <w:t>In this case, the defendants’ solicitor obtained the accountant’s report which concluded that the monies had come from legitimate savings.</w:t>
      </w:r>
    </w:p>
    <w:p w:rsidR="00EC7A69" w:rsidRDefault="00EC7A69" w:rsidP="00EC7A69">
      <w:pPr>
        <w:spacing w:line="360" w:lineRule="auto"/>
        <w:rPr>
          <w:rFonts w:ascii="Arial" w:hAnsi="Arial" w:cs="Arial"/>
          <w:sz w:val="24"/>
          <w:szCs w:val="24"/>
        </w:rPr>
      </w:pPr>
      <w:r>
        <w:rPr>
          <w:rFonts w:ascii="Arial" w:hAnsi="Arial" w:cs="Arial"/>
          <w:sz w:val="24"/>
          <w:szCs w:val="24"/>
        </w:rPr>
        <w:t>The</w:t>
      </w:r>
      <w:r>
        <w:rPr>
          <w:rFonts w:ascii="Arial" w:hAnsi="Arial" w:cs="Arial"/>
          <w:sz w:val="24"/>
          <w:szCs w:val="24"/>
        </w:rPr>
        <w:t xml:space="preserve"> next step is the fraud theory approach. Using this approach, a brainstorming session will probably lead the forensic accountant to propose the most probable fraud scheme</w:t>
      </w:r>
      <w:r>
        <w:rPr>
          <w:rFonts w:ascii="Arial" w:hAnsi="Arial" w:cs="Arial"/>
          <w:sz w:val="24"/>
          <w:szCs w:val="24"/>
        </w:rPr>
        <w:t xml:space="preserve">, </w:t>
      </w:r>
      <w:r>
        <w:rPr>
          <w:rFonts w:ascii="Arial" w:hAnsi="Arial" w:cs="Arial"/>
          <w:sz w:val="24"/>
          <w:szCs w:val="24"/>
        </w:rPr>
        <w:t>and the way in which that fraud scheme may have been performed on the vic</w:t>
      </w:r>
      <w:r w:rsidR="00856A91">
        <w:rPr>
          <w:rFonts w:ascii="Arial" w:hAnsi="Arial" w:cs="Arial"/>
          <w:sz w:val="24"/>
          <w:szCs w:val="24"/>
        </w:rPr>
        <w:t xml:space="preserve">tim organisation. </w:t>
      </w:r>
    </w:p>
    <w:p w:rsidR="008E02EE" w:rsidRDefault="008E02EE" w:rsidP="008E02EE">
      <w:pPr>
        <w:spacing w:line="360" w:lineRule="auto"/>
        <w:rPr>
          <w:rFonts w:ascii="Arial" w:hAnsi="Arial" w:cs="Arial"/>
          <w:sz w:val="24"/>
          <w:szCs w:val="24"/>
        </w:rPr>
      </w:pPr>
      <w:r>
        <w:rPr>
          <w:rFonts w:ascii="Arial" w:hAnsi="Arial" w:cs="Arial"/>
          <w:sz w:val="24"/>
          <w:szCs w:val="24"/>
        </w:rPr>
        <w:t>Based on the fraud theory, the forensic accountant devises a plan to collect adequate and competent evidence, such as, forensic evidence. During this step, an examination is made of accounting transactions, records, docu</w:t>
      </w:r>
      <w:r>
        <w:rPr>
          <w:rFonts w:ascii="Arial" w:hAnsi="Arial" w:cs="Arial"/>
          <w:sz w:val="24"/>
          <w:szCs w:val="24"/>
        </w:rPr>
        <w:t xml:space="preserve">ments, and data </w:t>
      </w:r>
      <w:r>
        <w:rPr>
          <w:rFonts w:ascii="Arial" w:hAnsi="Arial" w:cs="Arial"/>
          <w:sz w:val="24"/>
          <w:szCs w:val="24"/>
        </w:rPr>
        <w:t xml:space="preserve">to acquire adequate evidence to ascertain whether the fraud identified earlier actually occurred. Important issues include the custody of evidence and several other legal </w:t>
      </w:r>
      <w:r>
        <w:rPr>
          <w:rFonts w:ascii="Arial" w:hAnsi="Arial" w:cs="Arial"/>
          <w:sz w:val="24"/>
          <w:szCs w:val="24"/>
        </w:rPr>
        <w:lastRenderedPageBreak/>
        <w:t xml:space="preserve">issues. </w:t>
      </w:r>
      <w:r w:rsidR="004F7AFF">
        <w:rPr>
          <w:rFonts w:ascii="Arial" w:hAnsi="Arial" w:cs="Arial"/>
          <w:sz w:val="24"/>
          <w:szCs w:val="24"/>
        </w:rPr>
        <w:t>In this case, after reviewing the report’s findings, the forensic accountant was able to show that the couple had spent considerably more cash than received and concluded that the couple must have access to unidentified sources of income.</w:t>
      </w:r>
    </w:p>
    <w:p w:rsidR="008E02EE" w:rsidRDefault="008E02EE" w:rsidP="008E02EE">
      <w:pPr>
        <w:spacing w:line="360" w:lineRule="auto"/>
        <w:rPr>
          <w:rFonts w:ascii="Arial" w:hAnsi="Arial" w:cs="Arial"/>
          <w:sz w:val="24"/>
          <w:szCs w:val="24"/>
        </w:rPr>
      </w:pPr>
      <w:r>
        <w:rPr>
          <w:rFonts w:ascii="Arial" w:hAnsi="Arial" w:cs="Arial"/>
          <w:sz w:val="24"/>
          <w:szCs w:val="24"/>
        </w:rPr>
        <w:t>The last step is</w:t>
      </w:r>
      <w:r w:rsidR="00BB17B4">
        <w:rPr>
          <w:rFonts w:ascii="Arial" w:hAnsi="Arial" w:cs="Arial"/>
          <w:sz w:val="24"/>
          <w:szCs w:val="24"/>
        </w:rPr>
        <w:t xml:space="preserve"> to approach the suspect. In this case, the couple refused to provide an explanation for the unidentified income.</w:t>
      </w:r>
    </w:p>
    <w:p w:rsidR="008E02EE" w:rsidRDefault="008E02EE" w:rsidP="008E02EE">
      <w:pPr>
        <w:spacing w:line="360" w:lineRule="auto"/>
        <w:rPr>
          <w:rFonts w:ascii="Arial" w:hAnsi="Arial" w:cs="Arial"/>
          <w:sz w:val="24"/>
          <w:szCs w:val="24"/>
        </w:rPr>
      </w:pPr>
      <w:r>
        <w:rPr>
          <w:rFonts w:ascii="Arial" w:hAnsi="Arial" w:cs="Arial"/>
          <w:sz w:val="24"/>
          <w:szCs w:val="24"/>
        </w:rPr>
        <w:t>After collecting accounting evidence, a forensic accountant will try to gather evidence from eyewitnesses during interviews.</w:t>
      </w:r>
      <w:r w:rsidR="000939B0">
        <w:rPr>
          <w:rFonts w:ascii="Arial" w:hAnsi="Arial" w:cs="Arial"/>
          <w:sz w:val="24"/>
          <w:szCs w:val="24"/>
        </w:rPr>
        <w:t xml:space="preserve"> In this case, this could be the police, who initially raided the house, the bank from which the occupants withdrew the funds</w:t>
      </w:r>
      <w:r w:rsidR="004F7AFF">
        <w:rPr>
          <w:rFonts w:ascii="Arial" w:hAnsi="Arial" w:cs="Arial"/>
          <w:sz w:val="24"/>
          <w:szCs w:val="24"/>
        </w:rPr>
        <w:t xml:space="preserve">, the solicitor, </w:t>
      </w:r>
      <w:r w:rsidR="001D5595">
        <w:rPr>
          <w:rFonts w:ascii="Arial" w:hAnsi="Arial" w:cs="Arial"/>
          <w:sz w:val="24"/>
          <w:szCs w:val="24"/>
        </w:rPr>
        <w:t>and the</w:t>
      </w:r>
      <w:r w:rsidR="004F7AFF">
        <w:rPr>
          <w:rFonts w:ascii="Arial" w:hAnsi="Arial" w:cs="Arial"/>
          <w:sz w:val="24"/>
          <w:szCs w:val="24"/>
        </w:rPr>
        <w:t xml:space="preserve"> accountant who generated the report</w:t>
      </w:r>
      <w:r w:rsidR="000939B0">
        <w:rPr>
          <w:rFonts w:ascii="Arial" w:hAnsi="Arial" w:cs="Arial"/>
          <w:sz w:val="24"/>
          <w:szCs w:val="24"/>
        </w:rPr>
        <w:t xml:space="preserve">. </w:t>
      </w:r>
      <w:r>
        <w:rPr>
          <w:rFonts w:ascii="Arial" w:hAnsi="Arial" w:cs="Arial"/>
          <w:sz w:val="24"/>
          <w:szCs w:val="24"/>
        </w:rPr>
        <w:t>The interview process starts with people who are not involved but are possible informed about the fraud, moving to a continuously narrowing circle of people who have direct knowledge of fraud.</w:t>
      </w:r>
    </w:p>
    <w:p w:rsidR="008E02EE" w:rsidRDefault="008E02EE" w:rsidP="008E02EE">
      <w:pPr>
        <w:spacing w:line="360" w:lineRule="auto"/>
        <w:rPr>
          <w:rFonts w:ascii="Arial" w:hAnsi="Arial" w:cs="Arial"/>
          <w:sz w:val="24"/>
          <w:szCs w:val="24"/>
        </w:rPr>
      </w:pPr>
      <w:r>
        <w:rPr>
          <w:rFonts w:ascii="Arial" w:hAnsi="Arial" w:cs="Arial"/>
          <w:sz w:val="24"/>
          <w:szCs w:val="24"/>
        </w:rPr>
        <w:t>Throughout the process, extreme care should be taken to ensure that the suspect is not aware of the fact that a fraud investigation is in process until the forensic accountant is perfectly confident that he/she has obtained all the required forensic evidence to prove that a crime has been committed.</w:t>
      </w:r>
    </w:p>
    <w:p w:rsidR="008E02EE" w:rsidRDefault="008E02EE" w:rsidP="00EC7A69">
      <w:pPr>
        <w:spacing w:line="360" w:lineRule="auto"/>
        <w:rPr>
          <w:rFonts w:ascii="Arial" w:hAnsi="Arial" w:cs="Arial"/>
          <w:sz w:val="24"/>
          <w:szCs w:val="24"/>
        </w:rPr>
      </w:pPr>
      <w:r>
        <w:rPr>
          <w:rFonts w:ascii="Arial" w:hAnsi="Arial" w:cs="Arial"/>
          <w:sz w:val="24"/>
          <w:szCs w:val="24"/>
        </w:rPr>
        <w:t xml:space="preserve">To conclude, the forensic accountant writes up the findings in a report to the party that appointed him/her. </w:t>
      </w:r>
      <w:r w:rsidR="00BB17B4">
        <w:rPr>
          <w:rFonts w:ascii="Arial" w:hAnsi="Arial" w:cs="Arial"/>
          <w:sz w:val="24"/>
          <w:szCs w:val="24"/>
        </w:rPr>
        <w:t xml:space="preserve">As the couple refused to provide an explanation for the unidentified income, the court granted the application to confiscate the monies discovered by the police. </w:t>
      </w:r>
      <w:r>
        <w:rPr>
          <w:rFonts w:ascii="Arial" w:hAnsi="Arial" w:cs="Arial"/>
          <w:sz w:val="24"/>
          <w:szCs w:val="24"/>
        </w:rPr>
        <w:t>The forensic accountant’s work will have to be presented in an</w:t>
      </w:r>
      <w:r w:rsidR="001F76B4">
        <w:rPr>
          <w:rFonts w:ascii="Arial" w:hAnsi="Arial" w:cs="Arial"/>
          <w:sz w:val="24"/>
          <w:szCs w:val="24"/>
        </w:rPr>
        <w:t xml:space="preserve"> effective way to judge or jury.</w:t>
      </w:r>
      <w:bookmarkStart w:id="0" w:name="_GoBack"/>
      <w:bookmarkEnd w:id="0"/>
    </w:p>
    <w:p w:rsidR="00EC7A69" w:rsidRDefault="00EC7A69" w:rsidP="00BD464D">
      <w:pPr>
        <w:spacing w:line="360" w:lineRule="auto"/>
        <w:rPr>
          <w:rFonts w:ascii="Arial" w:hAnsi="Arial" w:cs="Arial"/>
          <w:sz w:val="24"/>
          <w:szCs w:val="24"/>
        </w:rPr>
      </w:pPr>
    </w:p>
    <w:p w:rsidR="000C2E3E" w:rsidRPr="00B0415E" w:rsidRDefault="000C2E3E" w:rsidP="000C2E3E">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0C2E3E" w:rsidRPr="00B0415E" w:rsidRDefault="000C2E3E" w:rsidP="000C2E3E">
      <w:pPr>
        <w:autoSpaceDE w:val="0"/>
        <w:autoSpaceDN w:val="0"/>
        <w:adjustRightInd w:val="0"/>
        <w:spacing w:after="0" w:line="240" w:lineRule="auto"/>
        <w:rPr>
          <w:rFonts w:cs="CalvertMT-Bold"/>
          <w:b/>
          <w:bCs/>
          <w:color w:val="001AE6"/>
          <w:lang w:val="en-US"/>
        </w:rPr>
      </w:pPr>
    </w:p>
    <w:p w:rsidR="000C2E3E" w:rsidRPr="00B0415E" w:rsidRDefault="000C2E3E" w:rsidP="000C2E3E">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0C2E3E" w:rsidRPr="00B0415E" w:rsidRDefault="000C2E3E" w:rsidP="000C2E3E">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929"/>
        <w:gridCol w:w="1253"/>
        <w:gridCol w:w="1570"/>
      </w:tblGrid>
      <w:tr w:rsidR="0070748F" w:rsidRPr="00B0415E" w:rsidTr="00C25F64">
        <w:tc>
          <w:tcPr>
            <w:tcW w:w="2310" w:type="dxa"/>
            <w:shd w:val="clear" w:color="auto" w:fill="D9D9D9" w:themeFill="background1" w:themeFillShade="D9"/>
          </w:tcPr>
          <w:p w:rsidR="000C2E3E" w:rsidRPr="00B0415E" w:rsidRDefault="000C2E3E" w:rsidP="00C25F64">
            <w:pPr>
              <w:rPr>
                <w:rFonts w:cs="Bliss-Regular"/>
                <w:color w:val="000000"/>
              </w:rPr>
            </w:pPr>
            <w:r w:rsidRPr="00B0415E">
              <w:rPr>
                <w:rFonts w:cs="Bliss-Regular"/>
                <w:color w:val="000000"/>
              </w:rPr>
              <w:t>Student Signature</w:t>
            </w:r>
          </w:p>
        </w:tc>
        <w:tc>
          <w:tcPr>
            <w:tcW w:w="4035" w:type="dxa"/>
          </w:tcPr>
          <w:p w:rsidR="000C2E3E" w:rsidRPr="00B0415E" w:rsidRDefault="000C2E3E" w:rsidP="00C25F64">
            <w:pPr>
              <w:rPr>
                <w:rFonts w:cs="Bliss-Regular"/>
                <w:color w:val="000000"/>
              </w:rPr>
            </w:pPr>
            <w:r>
              <w:rPr>
                <w:rFonts w:cs="Bliss-Regular"/>
                <w:color w:val="000000"/>
              </w:rPr>
              <w:t>Dhvanisha Thacker</w:t>
            </w:r>
          </w:p>
        </w:tc>
        <w:tc>
          <w:tcPr>
            <w:tcW w:w="1276" w:type="dxa"/>
            <w:shd w:val="clear" w:color="auto" w:fill="D9D9D9" w:themeFill="background1" w:themeFillShade="D9"/>
          </w:tcPr>
          <w:p w:rsidR="000C2E3E" w:rsidRPr="00B0415E" w:rsidRDefault="000C2E3E" w:rsidP="00C25F64">
            <w:pPr>
              <w:rPr>
                <w:rFonts w:cs="Bliss-Regular"/>
                <w:color w:val="000000"/>
              </w:rPr>
            </w:pPr>
            <w:r w:rsidRPr="00B0415E">
              <w:rPr>
                <w:rFonts w:cs="Bliss-Regular"/>
                <w:color w:val="000000"/>
              </w:rPr>
              <w:t>Date</w:t>
            </w:r>
          </w:p>
        </w:tc>
        <w:tc>
          <w:tcPr>
            <w:tcW w:w="1621" w:type="dxa"/>
          </w:tcPr>
          <w:p w:rsidR="000C2E3E" w:rsidRPr="00B0415E" w:rsidRDefault="000C2E3E" w:rsidP="00C25F64">
            <w:pPr>
              <w:rPr>
                <w:rFonts w:cs="Bliss-Regular"/>
                <w:color w:val="000000"/>
              </w:rPr>
            </w:pPr>
          </w:p>
        </w:tc>
      </w:tr>
    </w:tbl>
    <w:p w:rsidR="000C2E3E" w:rsidRPr="00B0415E" w:rsidRDefault="000C2E3E" w:rsidP="000C2E3E">
      <w:pPr>
        <w:rPr>
          <w:rFonts w:cs="Bliss-Regular"/>
          <w:color w:val="000000"/>
          <w:lang w:val="en-US"/>
        </w:rPr>
      </w:pPr>
    </w:p>
    <w:p w:rsidR="000C2E3E" w:rsidRPr="00B0415E" w:rsidRDefault="000C2E3E" w:rsidP="000C2E3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0C2E3E" w:rsidRPr="00B0415E" w:rsidTr="00C25F64">
        <w:trPr>
          <w:trHeight w:val="249"/>
        </w:trPr>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Total Marks</w:t>
            </w:r>
          </w:p>
        </w:tc>
        <w:tc>
          <w:tcPr>
            <w:tcW w:w="4621" w:type="dxa"/>
          </w:tcPr>
          <w:p w:rsidR="000C2E3E" w:rsidRPr="00B0415E" w:rsidRDefault="000C2E3E" w:rsidP="00C25F64">
            <w:pPr>
              <w:rPr>
                <w:rFonts w:cs="Times New Roman"/>
                <w:szCs w:val="32"/>
              </w:rPr>
            </w:pPr>
          </w:p>
        </w:tc>
      </w:tr>
      <w:tr w:rsidR="000C2E3E" w:rsidRPr="00B0415E" w:rsidTr="00C25F64">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Marks Obtained</w:t>
            </w:r>
          </w:p>
        </w:tc>
        <w:tc>
          <w:tcPr>
            <w:tcW w:w="4621" w:type="dxa"/>
          </w:tcPr>
          <w:p w:rsidR="000C2E3E" w:rsidRPr="00B0415E" w:rsidRDefault="000C2E3E" w:rsidP="00C25F64">
            <w:pPr>
              <w:rPr>
                <w:rFonts w:cs="Times New Roman"/>
                <w:szCs w:val="32"/>
              </w:rPr>
            </w:pPr>
          </w:p>
        </w:tc>
      </w:tr>
      <w:tr w:rsidR="000C2E3E" w:rsidRPr="00B0415E" w:rsidTr="00C25F64">
        <w:tc>
          <w:tcPr>
            <w:tcW w:w="4621" w:type="dxa"/>
            <w:shd w:val="clear" w:color="auto" w:fill="D9D9D9" w:themeFill="background1" w:themeFillShade="D9"/>
          </w:tcPr>
          <w:p w:rsidR="000C2E3E" w:rsidRPr="00B0415E" w:rsidRDefault="000C2E3E" w:rsidP="00C25F64">
            <w:pPr>
              <w:rPr>
                <w:b/>
                <w:color w:val="002060"/>
              </w:rPr>
            </w:pPr>
            <w:r w:rsidRPr="00B0415E">
              <w:rPr>
                <w:b/>
                <w:color w:val="002060"/>
              </w:rPr>
              <w:t>Percentage / Grade</w:t>
            </w:r>
          </w:p>
        </w:tc>
        <w:tc>
          <w:tcPr>
            <w:tcW w:w="4621" w:type="dxa"/>
          </w:tcPr>
          <w:p w:rsidR="000C2E3E" w:rsidRPr="00B0415E" w:rsidRDefault="000C2E3E" w:rsidP="00C25F64">
            <w:pPr>
              <w:rPr>
                <w:rFonts w:cs="Times New Roman"/>
                <w:szCs w:val="32"/>
              </w:rPr>
            </w:pPr>
          </w:p>
        </w:tc>
      </w:tr>
    </w:tbl>
    <w:p w:rsidR="00151F6E" w:rsidRPr="00151F6E" w:rsidRDefault="00151F6E" w:rsidP="00151F6E">
      <w:pPr>
        <w:spacing w:line="360" w:lineRule="auto"/>
        <w:rPr>
          <w:rFonts w:ascii="Arial" w:hAnsi="Arial" w:cs="Arial"/>
          <w:sz w:val="24"/>
          <w:szCs w:val="24"/>
        </w:rPr>
      </w:pPr>
    </w:p>
    <w:sectPr w:rsidR="00151F6E" w:rsidRPr="00151F6E">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6A72" w:rsidRDefault="00736A72" w:rsidP="005A12E1">
      <w:pPr>
        <w:spacing w:after="0" w:line="240" w:lineRule="auto"/>
      </w:pPr>
      <w:r>
        <w:separator/>
      </w:r>
    </w:p>
  </w:endnote>
  <w:endnote w:type="continuationSeparator" w:id="0">
    <w:p w:rsidR="00736A72" w:rsidRDefault="00736A72" w:rsidP="005A1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6A72" w:rsidRDefault="00736A72" w:rsidP="005A12E1">
      <w:pPr>
        <w:spacing w:after="0" w:line="240" w:lineRule="auto"/>
      </w:pPr>
      <w:r>
        <w:separator/>
      </w:r>
    </w:p>
  </w:footnote>
  <w:footnote w:type="continuationSeparator" w:id="0">
    <w:p w:rsidR="00736A72" w:rsidRDefault="00736A72" w:rsidP="005A1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183859"/>
      <w:docPartObj>
        <w:docPartGallery w:val="Page Numbers (Top of Page)"/>
        <w:docPartUnique/>
      </w:docPartObj>
    </w:sdtPr>
    <w:sdtEndPr>
      <w:rPr>
        <w:rFonts w:ascii="Arial" w:hAnsi="Arial" w:cs="Arial"/>
        <w:noProof/>
      </w:rPr>
    </w:sdtEndPr>
    <w:sdtContent>
      <w:p w:rsidR="005A12E1" w:rsidRPr="005A12E1" w:rsidRDefault="005A12E1">
        <w:pPr>
          <w:pStyle w:val="Header"/>
          <w:jc w:val="right"/>
          <w:rPr>
            <w:rFonts w:ascii="Arial" w:hAnsi="Arial" w:cs="Arial"/>
            <w:noProof/>
            <w:sz w:val="24"/>
            <w:szCs w:val="24"/>
          </w:rPr>
        </w:pPr>
        <w:r w:rsidRPr="005A12E1">
          <w:rPr>
            <w:rFonts w:ascii="Arial" w:hAnsi="Arial" w:cs="Arial"/>
            <w:sz w:val="24"/>
            <w:szCs w:val="24"/>
          </w:rPr>
          <w:fldChar w:fldCharType="begin"/>
        </w:r>
        <w:r w:rsidRPr="005A12E1">
          <w:rPr>
            <w:rFonts w:ascii="Arial" w:hAnsi="Arial" w:cs="Arial"/>
            <w:sz w:val="24"/>
            <w:szCs w:val="24"/>
          </w:rPr>
          <w:instrText xml:space="preserve"> PAGE   \* MERGEFORMAT </w:instrText>
        </w:r>
        <w:r w:rsidRPr="005A12E1">
          <w:rPr>
            <w:rFonts w:ascii="Arial" w:hAnsi="Arial" w:cs="Arial"/>
            <w:sz w:val="24"/>
            <w:szCs w:val="24"/>
          </w:rPr>
          <w:fldChar w:fldCharType="separate"/>
        </w:r>
        <w:r w:rsidR="001F76B4">
          <w:rPr>
            <w:rFonts w:ascii="Arial" w:hAnsi="Arial" w:cs="Arial"/>
            <w:noProof/>
            <w:sz w:val="24"/>
            <w:szCs w:val="24"/>
          </w:rPr>
          <w:t>4</w:t>
        </w:r>
        <w:r w:rsidRPr="005A12E1">
          <w:rPr>
            <w:rFonts w:ascii="Arial" w:hAnsi="Arial" w:cs="Arial"/>
            <w:noProof/>
            <w:sz w:val="24"/>
            <w:szCs w:val="24"/>
          </w:rPr>
          <w:fldChar w:fldCharType="end"/>
        </w:r>
      </w:p>
      <w:p w:rsidR="005A12E1" w:rsidRPr="005A12E1" w:rsidRDefault="005A12E1">
        <w:pPr>
          <w:pStyle w:val="Header"/>
          <w:jc w:val="right"/>
          <w:rPr>
            <w:rFonts w:ascii="Arial" w:hAnsi="Arial" w:cs="Arial"/>
            <w:noProof/>
            <w:sz w:val="24"/>
            <w:szCs w:val="24"/>
          </w:rPr>
        </w:pPr>
        <w:r w:rsidRPr="005A12E1">
          <w:rPr>
            <w:rFonts w:ascii="Arial" w:hAnsi="Arial" w:cs="Arial"/>
            <w:noProof/>
            <w:sz w:val="24"/>
            <w:szCs w:val="24"/>
          </w:rPr>
          <w:t>Name: Dhvanisha Thacker</w:t>
        </w:r>
        <w:r w:rsidRPr="005A12E1">
          <w:rPr>
            <w:rFonts w:ascii="Arial" w:hAnsi="Arial" w:cs="Arial"/>
            <w:noProof/>
            <w:sz w:val="24"/>
            <w:szCs w:val="24"/>
          </w:rPr>
          <w:br/>
          <w:t>Student Number: 3062</w:t>
        </w:r>
      </w:p>
      <w:p w:rsidR="005A12E1" w:rsidRPr="000C35F2" w:rsidRDefault="000C35F2" w:rsidP="000C35F2">
        <w:pPr>
          <w:pStyle w:val="Header"/>
          <w:jc w:val="right"/>
          <w:rPr>
            <w:rFonts w:ascii="Arial" w:hAnsi="Arial" w:cs="Arial"/>
            <w:noProof/>
            <w:sz w:val="24"/>
            <w:szCs w:val="24"/>
          </w:rPr>
        </w:pPr>
        <w:r>
          <w:rPr>
            <w:rFonts w:ascii="Arial" w:hAnsi="Arial" w:cs="Arial"/>
            <w:noProof/>
            <w:sz w:val="24"/>
            <w:szCs w:val="24"/>
          </w:rPr>
          <w:t>Assignment 2</w:t>
        </w:r>
      </w:p>
    </w:sdtContent>
  </w:sdt>
  <w:p w:rsidR="005A12E1" w:rsidRDefault="005A12E1" w:rsidP="005A12E1">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FE1ACD"/>
    <w:multiLevelType w:val="hybridMultilevel"/>
    <w:tmpl w:val="A25627A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A380556"/>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341B31"/>
    <w:multiLevelType w:val="hybridMultilevel"/>
    <w:tmpl w:val="7BCE1D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083C4B"/>
    <w:multiLevelType w:val="hybridMultilevel"/>
    <w:tmpl w:val="430EFE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2E1"/>
    <w:rsid w:val="000939B0"/>
    <w:rsid w:val="000B1F3E"/>
    <w:rsid w:val="000B2BD6"/>
    <w:rsid w:val="000C2E3E"/>
    <w:rsid w:val="000C35F2"/>
    <w:rsid w:val="000D05F8"/>
    <w:rsid w:val="000D1C6A"/>
    <w:rsid w:val="00104906"/>
    <w:rsid w:val="00141CC4"/>
    <w:rsid w:val="00151F6E"/>
    <w:rsid w:val="001D2468"/>
    <w:rsid w:val="001D5595"/>
    <w:rsid w:val="001F76B4"/>
    <w:rsid w:val="00217585"/>
    <w:rsid w:val="0023734A"/>
    <w:rsid w:val="00272BBA"/>
    <w:rsid w:val="003051C2"/>
    <w:rsid w:val="00355CB1"/>
    <w:rsid w:val="003651C5"/>
    <w:rsid w:val="003D6EDF"/>
    <w:rsid w:val="003F56DE"/>
    <w:rsid w:val="00403981"/>
    <w:rsid w:val="004445B7"/>
    <w:rsid w:val="00491981"/>
    <w:rsid w:val="004C4328"/>
    <w:rsid w:val="004F7AFF"/>
    <w:rsid w:val="00504B67"/>
    <w:rsid w:val="00576DDE"/>
    <w:rsid w:val="00586DFA"/>
    <w:rsid w:val="005A12E1"/>
    <w:rsid w:val="005A2EFC"/>
    <w:rsid w:val="005B5591"/>
    <w:rsid w:val="005C06B9"/>
    <w:rsid w:val="005C0773"/>
    <w:rsid w:val="005C34F7"/>
    <w:rsid w:val="005F03D2"/>
    <w:rsid w:val="00670C4D"/>
    <w:rsid w:val="00681129"/>
    <w:rsid w:val="00691FE2"/>
    <w:rsid w:val="0069384E"/>
    <w:rsid w:val="006E4F64"/>
    <w:rsid w:val="0070748F"/>
    <w:rsid w:val="00736A72"/>
    <w:rsid w:val="0079321A"/>
    <w:rsid w:val="0079646F"/>
    <w:rsid w:val="008122A4"/>
    <w:rsid w:val="00856A91"/>
    <w:rsid w:val="0085715F"/>
    <w:rsid w:val="008E02EE"/>
    <w:rsid w:val="008F07D7"/>
    <w:rsid w:val="00904CB7"/>
    <w:rsid w:val="0091708E"/>
    <w:rsid w:val="00965B69"/>
    <w:rsid w:val="00980D4C"/>
    <w:rsid w:val="00984315"/>
    <w:rsid w:val="009A6852"/>
    <w:rsid w:val="00A11ABE"/>
    <w:rsid w:val="00A4532F"/>
    <w:rsid w:val="00AA3C65"/>
    <w:rsid w:val="00AA503C"/>
    <w:rsid w:val="00AC2D44"/>
    <w:rsid w:val="00B103D8"/>
    <w:rsid w:val="00B81865"/>
    <w:rsid w:val="00B86F1E"/>
    <w:rsid w:val="00B934AB"/>
    <w:rsid w:val="00B93E34"/>
    <w:rsid w:val="00BB17B4"/>
    <w:rsid w:val="00BB31ED"/>
    <w:rsid w:val="00BD464D"/>
    <w:rsid w:val="00C155A6"/>
    <w:rsid w:val="00C22776"/>
    <w:rsid w:val="00C4723D"/>
    <w:rsid w:val="00CC1361"/>
    <w:rsid w:val="00CC7550"/>
    <w:rsid w:val="00D5065E"/>
    <w:rsid w:val="00D601AD"/>
    <w:rsid w:val="00D729D7"/>
    <w:rsid w:val="00E81321"/>
    <w:rsid w:val="00E97D14"/>
    <w:rsid w:val="00EC2736"/>
    <w:rsid w:val="00EC7A69"/>
    <w:rsid w:val="00EE32E3"/>
    <w:rsid w:val="00EE6D0C"/>
    <w:rsid w:val="00EF2E5F"/>
    <w:rsid w:val="00F55046"/>
    <w:rsid w:val="00FE4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C67B2-B0B4-408D-8853-0704ABE7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12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12E1"/>
  </w:style>
  <w:style w:type="paragraph" w:styleId="Footer">
    <w:name w:val="footer"/>
    <w:basedOn w:val="Normal"/>
    <w:link w:val="FooterChar"/>
    <w:uiPriority w:val="99"/>
    <w:unhideWhenUsed/>
    <w:rsid w:val="005A12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12E1"/>
  </w:style>
  <w:style w:type="paragraph" w:styleId="ListParagraph">
    <w:name w:val="List Paragraph"/>
    <w:basedOn w:val="Normal"/>
    <w:uiPriority w:val="34"/>
    <w:qFormat/>
    <w:rsid w:val="000B2BD6"/>
    <w:pPr>
      <w:ind w:left="720"/>
      <w:contextualSpacing/>
    </w:pPr>
  </w:style>
  <w:style w:type="paragraph" w:customStyle="1" w:styleId="Default">
    <w:name w:val="Default"/>
    <w:rsid w:val="008122A4"/>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122A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957</TotalTime>
  <Pages>5</Pages>
  <Words>1468</Words>
  <Characters>8372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Alpha-Account</dc:creator>
  <cp:keywords/>
  <dc:description/>
  <cp:lastModifiedBy>Alpha-Account</cp:lastModifiedBy>
  <cp:revision>37</cp:revision>
  <dcterms:created xsi:type="dcterms:W3CDTF">2016-11-03T09:46:00Z</dcterms:created>
  <dcterms:modified xsi:type="dcterms:W3CDTF">2016-12-07T15:25:00Z</dcterms:modified>
</cp:coreProperties>
</file>