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063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637">
            <w:pPr>
              <w:pStyle w:val="Default"/>
              <w:rPr>
                <w:rFonts w:asciiTheme="minorHAnsi" w:hAnsiTheme="minorHAnsi"/>
              </w:rPr>
            </w:pPr>
            <w:r>
              <w:rPr>
                <w:rFonts w:asciiTheme="minorHAnsi" w:hAnsiTheme="minorHAnsi"/>
              </w:rPr>
              <w:t>POPOOLA Olusegun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0637">
            <w:pPr>
              <w:pStyle w:val="Default"/>
              <w:rPr>
                <w:rFonts w:asciiTheme="minorHAnsi" w:hAnsiTheme="minorHAnsi"/>
              </w:rPr>
            </w:pPr>
            <w:r>
              <w:rPr>
                <w:rFonts w:asciiTheme="minorHAnsi" w:hAnsiTheme="minorHAnsi"/>
              </w:rPr>
              <w:t>5027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2C6">
            <w:pPr>
              <w:pStyle w:val="Default"/>
              <w:rPr>
                <w:rFonts w:asciiTheme="minorHAnsi" w:hAnsiTheme="minorHAnsi"/>
              </w:rPr>
            </w:pPr>
            <w:r>
              <w:rPr>
                <w:rFonts w:asciiTheme="minorHAnsi" w:hAnsiTheme="minorHAnsi"/>
              </w:rPr>
              <w:t>Forensic Accounting—Investigative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2C6">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302C6" w:rsidRPr="00F96BF4" w:rsidRDefault="005302C6" w:rsidP="005302C6">
            <w:pPr>
              <w:spacing w:line="360" w:lineRule="auto"/>
              <w:jc w:val="center"/>
              <w:rPr>
                <w:rFonts w:ascii="Arial" w:hAnsi="Arial" w:cs="Arial"/>
                <w:b/>
                <w:sz w:val="24"/>
                <w:szCs w:val="24"/>
              </w:rPr>
            </w:pPr>
            <w:r w:rsidRPr="00F96BF4">
              <w:rPr>
                <w:rFonts w:ascii="Arial" w:hAnsi="Arial" w:cs="Arial"/>
                <w:b/>
                <w:sz w:val="24"/>
                <w:szCs w:val="24"/>
              </w:rPr>
              <w:t>1</w:t>
            </w:r>
          </w:p>
          <w:p w:rsidR="005302C6" w:rsidRPr="002B5EFE" w:rsidRDefault="005302C6" w:rsidP="005302C6">
            <w:pPr>
              <w:pStyle w:val="ListParagraph"/>
              <w:numPr>
                <w:ilvl w:val="0"/>
                <w:numId w:val="7"/>
              </w:numPr>
              <w:spacing w:after="160" w:line="360" w:lineRule="auto"/>
              <w:jc w:val="both"/>
              <w:rPr>
                <w:rFonts w:ascii="Arial" w:hAnsi="Arial" w:cs="Arial"/>
                <w:sz w:val="24"/>
                <w:szCs w:val="24"/>
              </w:rPr>
            </w:pPr>
            <w:r w:rsidRPr="002B5EFE">
              <w:rPr>
                <w:rFonts w:ascii="Arial" w:hAnsi="Arial" w:cs="Arial"/>
                <w:sz w:val="24"/>
                <w:szCs w:val="24"/>
              </w:rPr>
              <w:t>What is the difference between proactive and reactive investigation?</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The only two alternative approach to financial crime investigation is Reactive and Proactive methodology.</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Reactive investigation is used when investigators receive information of financial crime activity or fraudulent ac</w:t>
            </w:r>
            <w:bookmarkStart w:id="0" w:name="_GoBack"/>
            <w:bookmarkEnd w:id="0"/>
            <w:r w:rsidRPr="002B5EFE">
              <w:rPr>
                <w:rFonts w:ascii="Arial" w:hAnsi="Arial" w:cs="Arial"/>
                <w:sz w:val="24"/>
                <w:szCs w:val="24"/>
              </w:rPr>
              <w:t>tivities from citizen or victim complaints; such as employee, spouse, customer, stockholder, management or auditor and there is an urgent need to intervene while Proactive investigation is conducted in response to information on an ongoing fraudulent activities or financial crime obtained through intelligence-gathering or from reports of witnesses or as a result of investigator’s findings.</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 xml:space="preserve">Reactive investigation is weaker than proactive investigation for several reasons; such as victim organization may initially provide information but later refuse to cooperate; Informants may provide information which requires immediate response, enabling those at higher levels of the criminal organization to evade arrest and measures taken may lead to laxity of evidence or not able to be collected. Likewise, Proactive investigation is more effective than reactive methodology because the investigators control the financial crime investigation. </w:t>
            </w:r>
          </w:p>
          <w:p w:rsidR="005302C6" w:rsidRPr="002B5EFE" w:rsidRDefault="005302C6" w:rsidP="005302C6">
            <w:pPr>
              <w:spacing w:line="360" w:lineRule="auto"/>
              <w:jc w:val="both"/>
              <w:rPr>
                <w:rFonts w:ascii="Arial" w:hAnsi="Arial" w:cs="Arial"/>
                <w:sz w:val="24"/>
                <w:szCs w:val="24"/>
              </w:rPr>
            </w:pPr>
          </w:p>
          <w:p w:rsidR="005302C6" w:rsidRPr="002B5EFE" w:rsidRDefault="005302C6" w:rsidP="005302C6">
            <w:pPr>
              <w:pStyle w:val="ListParagraph"/>
              <w:numPr>
                <w:ilvl w:val="0"/>
                <w:numId w:val="7"/>
              </w:numPr>
              <w:spacing w:after="160" w:line="360" w:lineRule="auto"/>
              <w:jc w:val="both"/>
              <w:rPr>
                <w:rFonts w:ascii="Arial" w:hAnsi="Arial" w:cs="Arial"/>
                <w:sz w:val="24"/>
                <w:szCs w:val="24"/>
              </w:rPr>
            </w:pPr>
            <w:r w:rsidRPr="002B5EFE">
              <w:rPr>
                <w:rFonts w:ascii="Arial" w:hAnsi="Arial" w:cs="Arial"/>
                <w:sz w:val="24"/>
                <w:szCs w:val="24"/>
              </w:rPr>
              <w:t>How would you differentiate between the weighted and unweighted solvability factors?</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Most forensic accountants will like to investigate an allegation with legally cognizable claim with the aim of minimizing time and resources—and avoid the risk of inviting a deformation lawsuit. As a result, investigators look at essential characteristics or attributes of the case which could be divided into weighted solvability factors and un-weighted solvability factors; such as, witness, name, location, description of the person perpetrated the malpractices; the property with identifiable characteristics, asset like vehicle used by the suspect, result of the crime scene evidence, opportunity for, but one employee committed such fraud and belief that the fraudulent practice may be solved with addition investigative efforts.</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As such, weighted solvability factors are those case essential characteristics that have more weight attached to it because help clarify the case. Such as crime scene evidences e.g. fingerprint and Un-weighted solvability factors are those characteristic of case without weight attached it because all essential characteristic surrounding the case are equal e.g. the location, description and name of the perpetrator.</w:t>
            </w:r>
          </w:p>
          <w:p w:rsidR="005302C6" w:rsidRPr="002B5EFE" w:rsidRDefault="005302C6" w:rsidP="005302C6">
            <w:pPr>
              <w:pStyle w:val="ListParagraph"/>
              <w:numPr>
                <w:ilvl w:val="0"/>
                <w:numId w:val="7"/>
              </w:numPr>
              <w:spacing w:after="160" w:line="360" w:lineRule="auto"/>
              <w:jc w:val="both"/>
              <w:rPr>
                <w:rFonts w:ascii="Arial" w:hAnsi="Arial" w:cs="Arial"/>
                <w:sz w:val="24"/>
                <w:szCs w:val="24"/>
              </w:rPr>
            </w:pPr>
            <w:r w:rsidRPr="002B5EFE">
              <w:rPr>
                <w:rFonts w:ascii="Arial" w:hAnsi="Arial" w:cs="Arial"/>
                <w:sz w:val="24"/>
                <w:szCs w:val="24"/>
              </w:rPr>
              <w:t>Goal -setting and planning is very important for the soundness an investigative process. Why?</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Because, Forensic accountants will able to establish a case with legal basis and successful outcome in both proactive and reactive approach used to gather the evidence for prosecution or repairing of damages purpose. The more investigator exceeds the customer’s expectation the higher the number of customer willing to hire them; however, laxity of goal setting by investigator after the complaints will lead unsuccessfulness—and goal set by the investigator has to conform with expectation outcome of their customers or the complainants. Conclusively, the ability of the investigating auditors to efficiently and effectively pursue investigations depend on consistency and success in attaining their investigation goal which set base on the customer’s expectation.</w:t>
            </w:r>
          </w:p>
          <w:p w:rsidR="005302C6" w:rsidRPr="002B5EFE" w:rsidRDefault="005302C6" w:rsidP="005302C6">
            <w:pPr>
              <w:pStyle w:val="ListParagraph"/>
              <w:numPr>
                <w:ilvl w:val="0"/>
                <w:numId w:val="7"/>
              </w:numPr>
              <w:spacing w:after="160" w:line="360" w:lineRule="auto"/>
              <w:jc w:val="both"/>
              <w:rPr>
                <w:rFonts w:ascii="Arial" w:hAnsi="Arial" w:cs="Arial"/>
                <w:sz w:val="24"/>
                <w:szCs w:val="24"/>
              </w:rPr>
            </w:pPr>
            <w:r w:rsidRPr="002B5EFE">
              <w:rPr>
                <w:rFonts w:ascii="Arial" w:hAnsi="Arial" w:cs="Arial"/>
                <w:sz w:val="24"/>
                <w:szCs w:val="24"/>
              </w:rPr>
              <w:t>Outline the major goals of an investigative plan.</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lastRenderedPageBreak/>
              <w:t>Fraudulent or white collar crime investigation require a heavy load of information or intelligence gathering; thus need a sound plan to manage and achieve investigative plan.</w:t>
            </w:r>
          </w:p>
          <w:p w:rsidR="005302C6" w:rsidRPr="002B5EFE" w:rsidRDefault="005302C6" w:rsidP="005302C6">
            <w:pPr>
              <w:pStyle w:val="ListParagraph"/>
              <w:numPr>
                <w:ilvl w:val="0"/>
                <w:numId w:val="6"/>
              </w:numPr>
              <w:spacing w:after="160" w:line="360" w:lineRule="auto"/>
              <w:jc w:val="both"/>
              <w:rPr>
                <w:rFonts w:ascii="Arial" w:hAnsi="Arial" w:cs="Arial"/>
                <w:sz w:val="24"/>
                <w:szCs w:val="24"/>
              </w:rPr>
            </w:pPr>
            <w:r w:rsidRPr="002B5EFE">
              <w:rPr>
                <w:rFonts w:ascii="Arial" w:hAnsi="Arial" w:cs="Arial"/>
                <w:sz w:val="24"/>
                <w:szCs w:val="24"/>
              </w:rPr>
              <w:t>An investigative plan has to be focused and consistent with the goal of the investigation to ensure warning signs or flags are not ignored and duplication of investigation effort is duplicated.</w:t>
            </w:r>
          </w:p>
          <w:p w:rsidR="005302C6" w:rsidRPr="002B5EFE" w:rsidRDefault="005302C6" w:rsidP="005302C6">
            <w:pPr>
              <w:pStyle w:val="ListParagraph"/>
              <w:numPr>
                <w:ilvl w:val="0"/>
                <w:numId w:val="6"/>
              </w:numPr>
              <w:spacing w:after="160" w:line="360" w:lineRule="auto"/>
              <w:jc w:val="both"/>
              <w:rPr>
                <w:rFonts w:ascii="Arial" w:hAnsi="Arial" w:cs="Arial"/>
                <w:sz w:val="24"/>
                <w:szCs w:val="24"/>
              </w:rPr>
            </w:pPr>
            <w:r w:rsidRPr="002B5EFE">
              <w:rPr>
                <w:rFonts w:ascii="Arial" w:hAnsi="Arial" w:cs="Arial"/>
                <w:sz w:val="24"/>
                <w:szCs w:val="24"/>
              </w:rPr>
              <w:t>Maintenance of control over investigation should also be a major goal of an investigative plan so as to ensure a conceive plan help in managing the investigation and flood of evidence and financial crime information are under control for sound and effective goal attainment.</w:t>
            </w:r>
          </w:p>
          <w:p w:rsidR="005302C6" w:rsidRPr="002B5EFE" w:rsidRDefault="005302C6" w:rsidP="005302C6">
            <w:pPr>
              <w:pStyle w:val="ListParagraph"/>
              <w:numPr>
                <w:ilvl w:val="0"/>
                <w:numId w:val="6"/>
              </w:numPr>
              <w:spacing w:after="160" w:line="360" w:lineRule="auto"/>
              <w:jc w:val="both"/>
              <w:rPr>
                <w:rFonts w:ascii="Arial" w:hAnsi="Arial" w:cs="Arial"/>
                <w:sz w:val="24"/>
                <w:szCs w:val="24"/>
              </w:rPr>
            </w:pPr>
            <w:r w:rsidRPr="002B5EFE">
              <w:rPr>
                <w:rFonts w:ascii="Arial" w:hAnsi="Arial" w:cs="Arial"/>
                <w:sz w:val="24"/>
                <w:szCs w:val="24"/>
              </w:rPr>
              <w:t>Adaptability to changes during investigation is also a major goal of investigative plan—economic crimes investigation keeps growing and expanding as the case growing and if investigative plan has no room to accommodate or flexible to the changes, it will render such plan useless.</w:t>
            </w:r>
          </w:p>
          <w:p w:rsidR="005302C6" w:rsidRPr="002B5EFE" w:rsidRDefault="005302C6" w:rsidP="005302C6">
            <w:pPr>
              <w:pStyle w:val="ListParagraph"/>
              <w:numPr>
                <w:ilvl w:val="0"/>
                <w:numId w:val="7"/>
              </w:numPr>
              <w:spacing w:after="160" w:line="360" w:lineRule="auto"/>
              <w:jc w:val="both"/>
              <w:rPr>
                <w:rFonts w:ascii="Arial" w:hAnsi="Arial" w:cs="Arial"/>
                <w:sz w:val="24"/>
                <w:szCs w:val="24"/>
              </w:rPr>
            </w:pPr>
            <w:r w:rsidRPr="002B5EFE">
              <w:rPr>
                <w:rFonts w:ascii="Arial" w:hAnsi="Arial" w:cs="Arial"/>
                <w:sz w:val="24"/>
                <w:szCs w:val="24"/>
              </w:rPr>
              <w:t>Briefly describe the stages involved in planning an investigation plan.</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Where ever the idea of fraudulent practices came from will be one of the factors used by forensic accountants to develop an investigative plan. If the conclusion came from investigator own observations, or from anecdotal evidence or hint from victim, pre-planning is needed to avoiding reactive decision-making in favor of anticipating all possible scenarios and devising a carefully deliberated reaction should certain operational compromises have to be made. Quick decision taken under pressure are frequently devoid of the hindsight, insight and foresight that a carefully planned course of action possesses. Therefore, investigative auditor need all the resources and support determined a head of time to avoid ad hoc investigation—and inability to attain the goal setting. The stages involved in planning an investigative plan are as follows:</w:t>
            </w:r>
          </w:p>
          <w:p w:rsidR="005302C6" w:rsidRPr="002B5EFE" w:rsidRDefault="005302C6" w:rsidP="005302C6">
            <w:pPr>
              <w:pStyle w:val="ListParagraph"/>
              <w:numPr>
                <w:ilvl w:val="0"/>
                <w:numId w:val="9"/>
              </w:numPr>
              <w:spacing w:after="160" w:line="360" w:lineRule="auto"/>
              <w:jc w:val="both"/>
              <w:rPr>
                <w:rFonts w:ascii="Arial" w:hAnsi="Arial" w:cs="Arial"/>
                <w:sz w:val="24"/>
                <w:szCs w:val="24"/>
              </w:rPr>
            </w:pPr>
            <w:r w:rsidRPr="002B5EFE">
              <w:rPr>
                <w:rFonts w:ascii="Arial" w:hAnsi="Arial" w:cs="Arial"/>
                <w:sz w:val="24"/>
                <w:szCs w:val="24"/>
              </w:rPr>
              <w:t xml:space="preserve">Financial Planning—The investigator has to have adequate financial planning as one of the stages in planning an investigative plan through budgeting the total cost and man- hours needed for investigation—availability of the fund needed and alternative to the costly investigative tool so as to achieve his goal-setting and investigative plan. On the contrary, the investigator will not be able to achieve the investigation stated objective or actual spending might </w:t>
            </w:r>
            <w:r w:rsidRPr="002B5EFE">
              <w:rPr>
                <w:rFonts w:ascii="Arial" w:hAnsi="Arial" w:cs="Arial"/>
                <w:sz w:val="24"/>
                <w:szCs w:val="24"/>
              </w:rPr>
              <w:lastRenderedPageBreak/>
              <w:t>over shook the budget mark due to failure to have adequate financial planning.</w:t>
            </w:r>
          </w:p>
          <w:p w:rsidR="005302C6" w:rsidRPr="002B5EFE" w:rsidRDefault="005302C6" w:rsidP="005302C6">
            <w:pPr>
              <w:pStyle w:val="ListParagraph"/>
              <w:numPr>
                <w:ilvl w:val="0"/>
                <w:numId w:val="9"/>
              </w:numPr>
              <w:spacing w:after="160" w:line="360" w:lineRule="auto"/>
              <w:jc w:val="both"/>
              <w:rPr>
                <w:rFonts w:ascii="Arial" w:hAnsi="Arial" w:cs="Arial"/>
                <w:sz w:val="24"/>
                <w:szCs w:val="24"/>
              </w:rPr>
            </w:pPr>
            <w:r w:rsidRPr="002B5EFE">
              <w:rPr>
                <w:rFonts w:ascii="Arial" w:hAnsi="Arial" w:cs="Arial"/>
                <w:sz w:val="24"/>
                <w:szCs w:val="24"/>
              </w:rPr>
              <w:t>Personnel Planning—the forensic auditor should determine the scope of the engagement and determine the number of personnel needed to execute the task, especially long and complex cases. Consultants and experts in area of some specialization like accounting; security and stock, corporate and international financial and expert in the field of technology issues like security, cryptography, proprietary software should be also considering as part of personnel planning in an investigative plan. However, inadequate planning of personnel with diversification of experts or laxity of integrity among personnel could serve as deterrence to credible evidence, attainment of goal and investigation as a whole.</w:t>
            </w:r>
          </w:p>
          <w:p w:rsidR="005302C6" w:rsidRPr="002B5EFE" w:rsidRDefault="005302C6" w:rsidP="005302C6">
            <w:pPr>
              <w:spacing w:line="360" w:lineRule="auto"/>
              <w:jc w:val="both"/>
              <w:rPr>
                <w:rFonts w:ascii="Arial" w:hAnsi="Arial" w:cs="Arial"/>
                <w:sz w:val="24"/>
                <w:szCs w:val="24"/>
              </w:rPr>
            </w:pPr>
          </w:p>
          <w:p w:rsidR="005302C6" w:rsidRPr="002B5EFE" w:rsidRDefault="005302C6" w:rsidP="005302C6">
            <w:pPr>
              <w:pStyle w:val="ListParagraph"/>
              <w:numPr>
                <w:ilvl w:val="0"/>
                <w:numId w:val="9"/>
              </w:numPr>
              <w:autoSpaceDE w:val="0"/>
              <w:autoSpaceDN w:val="0"/>
              <w:adjustRightInd w:val="0"/>
              <w:jc w:val="both"/>
              <w:rPr>
                <w:rFonts w:ascii="Arial" w:hAnsi="Arial" w:cs="Arial"/>
                <w:sz w:val="24"/>
                <w:szCs w:val="24"/>
              </w:rPr>
            </w:pPr>
            <w:r w:rsidRPr="002B5EFE">
              <w:rPr>
                <w:rFonts w:ascii="Arial" w:hAnsi="Arial" w:cs="Arial"/>
                <w:sz w:val="24"/>
                <w:szCs w:val="24"/>
              </w:rPr>
              <w:t>Technology Planning is also one of the stages involved in planning an investigative plan through an investment on the latest technology which could either be a temporary such as high-tech surveillance camera or permanent procurement like latest computer software or equipment upgrading with aim of achieving the investigative plan, contrarily, inadequate technology requirement or planning or incompatibility of computer operating system and the video encoding system, electronic communication equipment could deter the digital evidence from being obtained and stop or hamper investigation as a whole. However, cost/benefit analysis is advised during the process of investigative plan development and engagement operation. Ideally, costs should never exceed the benefits to be derived from investment on investigative technology—and cost should not always be the sole determining factor because it may be difficult or impractical to quantify benefits such as timeliness, improved quality and relevance of data and information, and improved customer service and system response time.</w:t>
            </w:r>
          </w:p>
          <w:p w:rsidR="005302C6" w:rsidRPr="002B5EFE" w:rsidRDefault="005302C6" w:rsidP="005302C6">
            <w:pPr>
              <w:spacing w:line="360" w:lineRule="auto"/>
              <w:jc w:val="both"/>
              <w:rPr>
                <w:rFonts w:ascii="Arial" w:hAnsi="Arial" w:cs="Arial"/>
                <w:sz w:val="24"/>
                <w:szCs w:val="24"/>
              </w:rPr>
            </w:pPr>
          </w:p>
          <w:p w:rsidR="005302C6" w:rsidRPr="002B5EFE" w:rsidRDefault="005302C6" w:rsidP="005302C6">
            <w:pPr>
              <w:pStyle w:val="ListParagraph"/>
              <w:numPr>
                <w:ilvl w:val="0"/>
                <w:numId w:val="7"/>
              </w:numPr>
              <w:spacing w:after="160" w:line="360" w:lineRule="auto"/>
              <w:jc w:val="both"/>
              <w:rPr>
                <w:rFonts w:ascii="Arial" w:hAnsi="Arial" w:cs="Arial"/>
                <w:sz w:val="24"/>
                <w:szCs w:val="24"/>
              </w:rPr>
            </w:pPr>
            <w:r w:rsidRPr="002B5EFE">
              <w:rPr>
                <w:rFonts w:ascii="Arial" w:hAnsi="Arial" w:cs="Arial"/>
                <w:sz w:val="24"/>
                <w:szCs w:val="24"/>
              </w:rPr>
              <w:t>Describe the three main areas of intelligence gathering process.</w:t>
            </w:r>
          </w:p>
          <w:p w:rsidR="005302C6" w:rsidRPr="002B5EFE" w:rsidRDefault="005302C6" w:rsidP="005302C6">
            <w:pPr>
              <w:spacing w:line="360" w:lineRule="auto"/>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r w:rsidRPr="002B5EFE">
              <w:rPr>
                <w:rFonts w:ascii="Arial" w:hAnsi="Arial" w:cs="Arial"/>
                <w:sz w:val="24"/>
                <w:szCs w:val="24"/>
              </w:rPr>
              <w:t>Financial crime investigations are an effective and proactive tool to investigate and prosecute economic crimes—joint multidisciplinary investigation teams involving law enforcement authorities, other competent public bodies, experts and specialists used to gather evidence in financial crime investigations. The forensic accountants must undergo a gathering phase by developing a familiarization to have a strong background knowledge of the organization, victim or client and the suspect for the purpose of sourcing information which will be an essential to a well-balanced and well-conducted forensic investigation. As such, intelligence gathering can be categorized into surveillance, database search and trash collection—and other tools could also be added as the investigation expanded.</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pStyle w:val="ListParagraph"/>
              <w:numPr>
                <w:ilvl w:val="0"/>
                <w:numId w:val="8"/>
              </w:numPr>
              <w:autoSpaceDE w:val="0"/>
              <w:autoSpaceDN w:val="0"/>
              <w:adjustRightInd w:val="0"/>
              <w:jc w:val="both"/>
              <w:rPr>
                <w:rFonts w:ascii="Arial" w:hAnsi="Arial" w:cs="Arial"/>
                <w:sz w:val="24"/>
                <w:szCs w:val="24"/>
              </w:rPr>
            </w:pPr>
            <w:r w:rsidRPr="002B5EFE">
              <w:rPr>
                <w:rFonts w:ascii="Arial" w:hAnsi="Arial" w:cs="Arial"/>
                <w:sz w:val="24"/>
                <w:szCs w:val="24"/>
              </w:rPr>
              <w:t>Surveillance—valuable information and facts could be uncover as related to the valuable assets owned by the fraud perpetrator or people close to suspect e.g. vehicles, boat; the bank and financial institutions, and other real estate of the perpetrators and identification of the key acquaintances needed to be summoned for interviews or questioning if they are under constant surveillance.</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pStyle w:val="ListParagraph"/>
              <w:numPr>
                <w:ilvl w:val="0"/>
                <w:numId w:val="8"/>
              </w:numPr>
              <w:autoSpaceDE w:val="0"/>
              <w:autoSpaceDN w:val="0"/>
              <w:adjustRightInd w:val="0"/>
              <w:jc w:val="both"/>
              <w:rPr>
                <w:rFonts w:ascii="Arial" w:hAnsi="Arial" w:cs="Arial"/>
                <w:sz w:val="24"/>
                <w:szCs w:val="24"/>
              </w:rPr>
            </w:pPr>
            <w:r w:rsidRPr="002B5EFE">
              <w:rPr>
                <w:rFonts w:ascii="Arial" w:hAnsi="Arial" w:cs="Arial"/>
                <w:sz w:val="24"/>
                <w:szCs w:val="24"/>
              </w:rPr>
              <w:t>Database Searches—database is categorized into two—the public and private database which serve as intelligence gathering point in any environment where there is buying and selling, usage of debit or credit card and renewal of driving records because the transaction has to store as a data and as such, any economy without database to store all these transactions could be paralyzed. The database is used by forensic investigators, accountants and auditors for intelligence gathering, analysis and appended of fraudulent perpetrator data for clear picture of their target.</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pStyle w:val="ListParagraph"/>
              <w:numPr>
                <w:ilvl w:val="0"/>
                <w:numId w:val="8"/>
              </w:numPr>
              <w:autoSpaceDE w:val="0"/>
              <w:autoSpaceDN w:val="0"/>
              <w:adjustRightInd w:val="0"/>
              <w:jc w:val="both"/>
              <w:rPr>
                <w:rFonts w:ascii="Arial" w:hAnsi="Arial" w:cs="Arial"/>
                <w:sz w:val="24"/>
                <w:szCs w:val="24"/>
              </w:rPr>
            </w:pPr>
            <w:r w:rsidRPr="002B5EFE">
              <w:rPr>
                <w:rFonts w:ascii="Arial" w:hAnsi="Arial" w:cs="Arial"/>
                <w:sz w:val="24"/>
                <w:szCs w:val="24"/>
              </w:rPr>
              <w:t>Trash Collection—it is one of the valuable sources of intelligence gathering which is unpleasant to all bodies; such as, police, journalists, investigator auditors, accountants and forensic analyst involving in the engagement—and which is very effective because people negligently discarding receipts, documents, and personal items. However, the investigator should be due diligent when using the tool so as to avoid tampering with the personal freedom and intrusion of suspect’s privacy e.g. a trash can be sitting behind a fence, or in the garage or driveway should be avoided while the trash left on the street for collector to pick up could be used by investigators without an intrusion of suspect’s privacy as stipulated by Supreme Court.</w:t>
            </w:r>
          </w:p>
          <w:p w:rsidR="005302C6" w:rsidRPr="002B5EFE" w:rsidRDefault="005302C6" w:rsidP="005302C6">
            <w:pPr>
              <w:pStyle w:val="ListParagraph"/>
              <w:jc w:val="both"/>
              <w:rPr>
                <w:rFonts w:ascii="Arial" w:hAnsi="Arial" w:cs="Arial"/>
                <w:sz w:val="24"/>
                <w:szCs w:val="24"/>
              </w:rPr>
            </w:pPr>
          </w:p>
          <w:p w:rsidR="005302C6" w:rsidRPr="00F96BF4" w:rsidRDefault="005302C6" w:rsidP="005302C6">
            <w:pPr>
              <w:autoSpaceDE w:val="0"/>
              <w:autoSpaceDN w:val="0"/>
              <w:adjustRightInd w:val="0"/>
              <w:jc w:val="center"/>
              <w:rPr>
                <w:rFonts w:ascii="Arial" w:hAnsi="Arial" w:cs="Arial"/>
                <w:b/>
                <w:sz w:val="24"/>
                <w:szCs w:val="24"/>
              </w:rPr>
            </w:pPr>
            <w:r w:rsidRPr="00F96BF4">
              <w:rPr>
                <w:rFonts w:ascii="Arial" w:hAnsi="Arial" w:cs="Arial"/>
                <w:b/>
                <w:sz w:val="24"/>
                <w:szCs w:val="24"/>
              </w:rPr>
              <w:t>2</w:t>
            </w:r>
          </w:p>
          <w:p w:rsidR="005302C6" w:rsidRDefault="005302C6" w:rsidP="005302C6">
            <w:pPr>
              <w:autoSpaceDE w:val="0"/>
              <w:autoSpaceDN w:val="0"/>
              <w:adjustRightInd w:val="0"/>
              <w:jc w:val="center"/>
              <w:rPr>
                <w:rFonts w:ascii="Arial" w:hAnsi="Arial" w:cs="Arial"/>
                <w:sz w:val="24"/>
                <w:szCs w:val="24"/>
              </w:rPr>
            </w:pPr>
          </w:p>
          <w:p w:rsidR="005302C6" w:rsidRDefault="005302C6" w:rsidP="005302C6">
            <w:pPr>
              <w:autoSpaceDE w:val="0"/>
              <w:autoSpaceDN w:val="0"/>
              <w:adjustRightInd w:val="0"/>
              <w:jc w:val="center"/>
              <w:rPr>
                <w:rFonts w:ascii="Arial" w:hAnsi="Arial" w:cs="Arial"/>
                <w:sz w:val="24"/>
                <w:szCs w:val="24"/>
              </w:rPr>
            </w:pPr>
          </w:p>
          <w:p w:rsidR="005302C6" w:rsidRDefault="005302C6" w:rsidP="005302C6">
            <w:pPr>
              <w:autoSpaceDE w:val="0"/>
              <w:autoSpaceDN w:val="0"/>
              <w:adjustRightInd w:val="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r w:rsidRPr="002B5EFE">
              <w:rPr>
                <w:rFonts w:ascii="Arial" w:hAnsi="Arial" w:cs="Arial"/>
                <w:sz w:val="24"/>
                <w:szCs w:val="24"/>
              </w:rPr>
              <w:t>write short note on the following:</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pStyle w:val="ListParagraph"/>
              <w:numPr>
                <w:ilvl w:val="0"/>
                <w:numId w:val="10"/>
              </w:numPr>
              <w:autoSpaceDE w:val="0"/>
              <w:autoSpaceDN w:val="0"/>
              <w:adjustRightInd w:val="0"/>
              <w:jc w:val="both"/>
              <w:rPr>
                <w:rFonts w:ascii="Arial" w:hAnsi="Arial" w:cs="Arial"/>
                <w:sz w:val="24"/>
                <w:szCs w:val="24"/>
              </w:rPr>
            </w:pPr>
            <w:r w:rsidRPr="002B5EFE">
              <w:rPr>
                <w:rFonts w:ascii="Arial" w:hAnsi="Arial" w:cs="Arial"/>
                <w:sz w:val="24"/>
                <w:szCs w:val="24"/>
              </w:rPr>
              <w:t>Private databases</w:t>
            </w:r>
          </w:p>
          <w:p w:rsidR="005302C6" w:rsidRPr="002B5EFE" w:rsidRDefault="005302C6" w:rsidP="005302C6">
            <w:pPr>
              <w:autoSpaceDE w:val="0"/>
              <w:autoSpaceDN w:val="0"/>
              <w:adjustRightInd w:val="0"/>
              <w:ind w:left="360"/>
              <w:jc w:val="both"/>
              <w:rPr>
                <w:rFonts w:ascii="Arial" w:hAnsi="Arial" w:cs="Arial"/>
                <w:sz w:val="24"/>
                <w:szCs w:val="24"/>
              </w:rPr>
            </w:pPr>
          </w:p>
          <w:p w:rsidR="005302C6" w:rsidRPr="002B5EFE" w:rsidRDefault="005302C6" w:rsidP="005302C6">
            <w:pPr>
              <w:autoSpaceDE w:val="0"/>
              <w:autoSpaceDN w:val="0"/>
              <w:adjustRightInd w:val="0"/>
              <w:ind w:left="36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r w:rsidRPr="002B5EFE">
              <w:rPr>
                <w:rFonts w:ascii="Arial" w:hAnsi="Arial" w:cs="Arial"/>
                <w:sz w:val="24"/>
                <w:szCs w:val="24"/>
              </w:rPr>
              <w:t>This is one the two categories of database search which store vital information; such as real estate, telephone listing, uniform commercial code lien, consumer credit repot service, for example, Experian, Equifax and TransUnion; however, it has a limited access due required fees before a legitimate purpose data can be retrieved from such database.</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pStyle w:val="ListParagraph"/>
              <w:numPr>
                <w:ilvl w:val="0"/>
                <w:numId w:val="10"/>
              </w:numPr>
              <w:autoSpaceDE w:val="0"/>
              <w:autoSpaceDN w:val="0"/>
              <w:adjustRightInd w:val="0"/>
              <w:jc w:val="both"/>
              <w:rPr>
                <w:rFonts w:ascii="Arial" w:hAnsi="Arial" w:cs="Arial"/>
                <w:sz w:val="24"/>
                <w:szCs w:val="24"/>
              </w:rPr>
            </w:pPr>
            <w:r w:rsidRPr="002B5EFE">
              <w:rPr>
                <w:rFonts w:ascii="Arial" w:hAnsi="Arial" w:cs="Arial"/>
                <w:sz w:val="24"/>
                <w:szCs w:val="24"/>
              </w:rPr>
              <w:t>Public Database</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r w:rsidRPr="002B5EFE">
              <w:rPr>
                <w:rFonts w:ascii="Arial" w:hAnsi="Arial" w:cs="Arial"/>
                <w:sz w:val="24"/>
                <w:szCs w:val="24"/>
              </w:rPr>
              <w:t xml:space="preserve">This is also one of the two categories of database which has no limited access or less costly than private one due to complexity involved and segregation or decentralization of many government departmental public databases in placed for free of charge to the citizens and investigative bodies.  For example, an investigative body has to conduct a search of a suspect’s properties from every property </w:t>
            </w:r>
            <w:r w:rsidRPr="002B5EFE">
              <w:rPr>
                <w:rFonts w:ascii="Arial" w:hAnsi="Arial" w:cs="Arial"/>
                <w:sz w:val="24"/>
                <w:szCs w:val="24"/>
              </w:rPr>
              <w:lastRenderedPageBreak/>
              <w:t>appraiser office throughout the country to meet his target when using a public database search—and this not the case when the body decide to pay a fee to obtain such suspect information from private database search.</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p>
          <w:p w:rsidR="005302C6" w:rsidRPr="00F96BF4" w:rsidRDefault="005302C6" w:rsidP="005302C6">
            <w:pPr>
              <w:autoSpaceDE w:val="0"/>
              <w:autoSpaceDN w:val="0"/>
              <w:adjustRightInd w:val="0"/>
              <w:jc w:val="center"/>
              <w:rPr>
                <w:rFonts w:ascii="Arial" w:hAnsi="Arial" w:cs="Arial"/>
                <w:b/>
                <w:sz w:val="24"/>
                <w:szCs w:val="24"/>
              </w:rPr>
            </w:pPr>
            <w:r w:rsidRPr="00F96BF4">
              <w:rPr>
                <w:rFonts w:ascii="Arial" w:hAnsi="Arial" w:cs="Arial"/>
                <w:b/>
                <w:sz w:val="24"/>
                <w:szCs w:val="24"/>
              </w:rPr>
              <w:t>3</w:t>
            </w:r>
          </w:p>
          <w:p w:rsidR="005302C6" w:rsidRDefault="005302C6" w:rsidP="005302C6">
            <w:pPr>
              <w:autoSpaceDE w:val="0"/>
              <w:autoSpaceDN w:val="0"/>
              <w:adjustRightInd w:val="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r w:rsidRPr="002B5EFE">
              <w:rPr>
                <w:rFonts w:ascii="Arial" w:hAnsi="Arial" w:cs="Arial"/>
                <w:sz w:val="24"/>
                <w:szCs w:val="24"/>
              </w:rPr>
              <w:t xml:space="preserve"> “Financial crime investigations generally result in higher volumes of evidence and more complicated theories of evidence than non-financial crime.’ Discuss this.</w:t>
            </w: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autoSpaceDE w:val="0"/>
              <w:autoSpaceDN w:val="0"/>
              <w:adjustRightInd w:val="0"/>
              <w:jc w:val="both"/>
              <w:rPr>
                <w:rFonts w:ascii="Arial" w:hAnsi="Arial" w:cs="Arial"/>
                <w:sz w:val="24"/>
                <w:szCs w:val="24"/>
              </w:rPr>
            </w:pPr>
          </w:p>
          <w:p w:rsidR="005302C6" w:rsidRPr="002B5EFE" w:rsidRDefault="005302C6" w:rsidP="005302C6">
            <w:pPr>
              <w:spacing w:before="30" w:after="30"/>
              <w:jc w:val="both"/>
              <w:rPr>
                <w:rFonts w:ascii="Arial" w:eastAsia="Times New Roman" w:hAnsi="Arial" w:cs="Arial"/>
                <w:color w:val="000000"/>
                <w:sz w:val="24"/>
                <w:szCs w:val="24"/>
                <w:lang w:val="en"/>
              </w:rPr>
            </w:pPr>
            <w:r w:rsidRPr="002B5EFE">
              <w:rPr>
                <w:rFonts w:ascii="Arial" w:eastAsia="Times New Roman" w:hAnsi="Arial" w:cs="Arial"/>
                <w:color w:val="000000"/>
                <w:sz w:val="24"/>
                <w:szCs w:val="24"/>
                <w:lang w:val="en"/>
              </w:rPr>
              <w:t>All investigations share similarities. Whether the investigation centers around financial crimes, burglary, or even murder, each investigation must pass through the same general of obtaining an evidences. All cases go from initiation, to planning, to execution, to prosecution, and finally to reflection. In some cases, steps overlap and in others they are abbreviated. However, in every case each steps plays a key role in how well, or poorly, the outcome matches the expectations.</w:t>
            </w:r>
          </w:p>
          <w:p w:rsidR="005302C6" w:rsidRPr="002B5EFE" w:rsidRDefault="005302C6" w:rsidP="005302C6">
            <w:pPr>
              <w:spacing w:before="30" w:after="30"/>
              <w:ind w:firstLine="240"/>
              <w:jc w:val="both"/>
              <w:rPr>
                <w:rFonts w:ascii="Arial" w:eastAsia="Times New Roman" w:hAnsi="Arial" w:cs="Arial"/>
                <w:color w:val="000000"/>
                <w:sz w:val="24"/>
                <w:szCs w:val="24"/>
                <w:lang w:val="en"/>
              </w:rPr>
            </w:pPr>
            <w:r w:rsidRPr="002B5EFE">
              <w:rPr>
                <w:rFonts w:ascii="Arial" w:eastAsia="Times New Roman" w:hAnsi="Arial" w:cs="Arial"/>
                <w:color w:val="000000"/>
                <w:sz w:val="24"/>
                <w:szCs w:val="24"/>
                <w:lang w:val="en"/>
              </w:rPr>
              <w:t>Understanding these similarities and the roles each play in the overall investigation is crucial to success. In every investigation, there will be mistakes, whether they are mistakes in planning, mistakes in execution, or simply errors in judgment, it will occur, and it will influence the outcome of the case. Failures in the planning stage can result in cost overruns, and mistakes in the execution stage can result in a worse, an acquittal. By understanding what must occur during each steps of a case you can reduce the number of errors and minimize their impact.</w:t>
            </w:r>
          </w:p>
          <w:p w:rsidR="005302C6" w:rsidRDefault="005302C6" w:rsidP="005302C6">
            <w:pPr>
              <w:spacing w:before="30" w:after="30"/>
              <w:ind w:firstLine="240"/>
              <w:jc w:val="both"/>
              <w:rPr>
                <w:rFonts w:ascii="Arial" w:eastAsia="Times New Roman" w:hAnsi="Arial" w:cs="Arial"/>
                <w:color w:val="000000"/>
                <w:sz w:val="24"/>
                <w:szCs w:val="24"/>
                <w:lang w:val="en"/>
              </w:rPr>
            </w:pPr>
            <w:r w:rsidRPr="002B5EFE">
              <w:rPr>
                <w:rFonts w:ascii="Arial" w:eastAsia="Times New Roman" w:hAnsi="Arial" w:cs="Arial"/>
                <w:color w:val="000000"/>
                <w:sz w:val="24"/>
                <w:szCs w:val="24"/>
                <w:lang w:val="en"/>
              </w:rPr>
              <w:t>Understanding these steps is more important in financial crime investigations than any other because of high volume of evidences. In most nonfinancial crime investigations; such as burglary, robbery, and even murder, there are challenges but each is unique in its own right, and all require tremendous skill and experience. Financial crime investigations, however, generally result in higher volumes of evidence a</w:t>
            </w:r>
            <w:r>
              <w:rPr>
                <w:rFonts w:ascii="Arial" w:eastAsia="Times New Roman" w:hAnsi="Arial" w:cs="Arial"/>
                <w:color w:val="000000"/>
                <w:sz w:val="24"/>
                <w:szCs w:val="24"/>
                <w:lang w:val="en"/>
              </w:rPr>
              <w:t>nd more complicated theories with strong foundation; however, the reason behind this complexity are as a result many number of variations involve in fraudulent scheme—which from onset might be a simple case and as investigation going on, it might be evolving into a complex scheme scam to the extent that a wealthy experience forensic investigators might be unfamiliar with the complexities of such scheme.</w:t>
            </w:r>
          </w:p>
          <w:p w:rsidR="005302C6" w:rsidRDefault="005302C6" w:rsidP="005302C6">
            <w:pPr>
              <w:spacing w:before="30" w:after="30"/>
              <w:ind w:firstLine="240"/>
              <w:jc w:val="both"/>
              <w:rPr>
                <w:rFonts w:ascii="Arial" w:eastAsia="Times New Roman" w:hAnsi="Arial" w:cs="Arial"/>
                <w:color w:val="000000"/>
                <w:sz w:val="24"/>
                <w:szCs w:val="24"/>
                <w:lang w:val="en"/>
              </w:rPr>
            </w:pPr>
            <w:r>
              <w:rPr>
                <w:rFonts w:ascii="Arial" w:eastAsia="Times New Roman" w:hAnsi="Arial" w:cs="Arial"/>
                <w:color w:val="000000"/>
                <w:sz w:val="24"/>
                <w:szCs w:val="24"/>
                <w:lang w:val="en"/>
              </w:rPr>
              <w:t>Another reason for the high volume of evidences and more complicated theories of evidence  in financial crime than non-financial crime was as a result of business world is dynamic with business norms, traditions, culture and practices changing frequently and as such, debt and equity instruments, investments, acceptable forms of organization like limited liability company and many other aspects of business environment develop over time and influence the working firm function in that location environment.</w:t>
            </w:r>
          </w:p>
          <w:p w:rsidR="005302C6" w:rsidRPr="002B5EFE" w:rsidRDefault="005302C6" w:rsidP="005302C6">
            <w:pPr>
              <w:spacing w:before="30" w:after="30"/>
              <w:ind w:firstLine="240"/>
              <w:jc w:val="both"/>
              <w:rPr>
                <w:rFonts w:ascii="Arial" w:eastAsia="Times New Roman" w:hAnsi="Arial" w:cs="Arial"/>
                <w:color w:val="000000"/>
                <w:sz w:val="24"/>
                <w:szCs w:val="24"/>
                <w:lang w:val="en"/>
              </w:rPr>
            </w:pPr>
          </w:p>
          <w:p w:rsidR="005302C6" w:rsidRPr="002B5EFE" w:rsidRDefault="005302C6" w:rsidP="005302C6">
            <w:pPr>
              <w:spacing w:before="30" w:after="30"/>
              <w:ind w:firstLine="240"/>
              <w:jc w:val="both"/>
              <w:rPr>
                <w:rFonts w:ascii="Arial" w:eastAsia="Times New Roman" w:hAnsi="Arial" w:cs="Arial"/>
                <w:color w:val="000000"/>
                <w:sz w:val="24"/>
                <w:szCs w:val="24"/>
                <w:lang w:val="en"/>
              </w:rPr>
            </w:pPr>
          </w:p>
          <w:p w:rsidR="005302C6" w:rsidRPr="002B5EFE" w:rsidRDefault="005302C6" w:rsidP="005302C6">
            <w:pPr>
              <w:spacing w:before="30" w:after="30"/>
              <w:ind w:firstLine="240"/>
              <w:jc w:val="both"/>
              <w:rPr>
                <w:rFonts w:ascii="Arial" w:eastAsia="Times New Roman" w:hAnsi="Arial" w:cs="Arial"/>
                <w:color w:val="000000"/>
                <w:sz w:val="24"/>
                <w:szCs w:val="24"/>
                <w:lang w:val="en"/>
              </w:rPr>
            </w:pPr>
          </w:p>
          <w:p w:rsidR="005302C6" w:rsidRPr="002B5EFE" w:rsidRDefault="005302C6" w:rsidP="005302C6">
            <w:pPr>
              <w:jc w:val="both"/>
              <w:rPr>
                <w:rFonts w:ascii="Arial" w:hAnsi="Arial" w:cs="Arial"/>
                <w:sz w:val="24"/>
                <w:szCs w:val="24"/>
              </w:rPr>
            </w:pPr>
          </w:p>
          <w:p w:rsidR="005302C6" w:rsidRPr="002B5EFE" w:rsidRDefault="005302C6" w:rsidP="005302C6">
            <w:pPr>
              <w:spacing w:line="360" w:lineRule="auto"/>
              <w:jc w:val="both"/>
              <w:rPr>
                <w:rFonts w:ascii="Arial" w:hAnsi="Arial" w:cs="Arial"/>
                <w:b/>
                <w:sz w:val="24"/>
                <w:szCs w:val="24"/>
                <w:lang w:val="en"/>
              </w:rPr>
            </w:pPr>
          </w:p>
          <w:p w:rsidR="005302C6" w:rsidRPr="002B5EFE" w:rsidRDefault="005302C6" w:rsidP="005302C6">
            <w:pPr>
              <w:spacing w:line="360" w:lineRule="auto"/>
              <w:jc w:val="both"/>
              <w:rPr>
                <w:rFonts w:ascii="Arial" w:hAnsi="Arial" w:cs="Arial"/>
                <w:b/>
                <w:sz w:val="24"/>
                <w:szCs w:val="24"/>
                <w:lang w:val="en"/>
              </w:rPr>
            </w:pPr>
          </w:p>
          <w:p w:rsidR="005302C6" w:rsidRPr="002B5EFE" w:rsidRDefault="005302C6" w:rsidP="005302C6">
            <w:pPr>
              <w:spacing w:line="360" w:lineRule="auto"/>
              <w:jc w:val="both"/>
              <w:rPr>
                <w:rFonts w:ascii="Arial" w:hAnsi="Arial" w:cs="Arial"/>
                <w:b/>
                <w:sz w:val="24"/>
                <w:szCs w:val="24"/>
                <w:lang w:val="en"/>
              </w:rPr>
            </w:pPr>
          </w:p>
          <w:p w:rsidR="005302C6" w:rsidRPr="002B5EFE" w:rsidRDefault="005302C6" w:rsidP="005302C6">
            <w:pPr>
              <w:spacing w:line="360" w:lineRule="auto"/>
              <w:jc w:val="both"/>
              <w:rPr>
                <w:rFonts w:ascii="Arial" w:hAnsi="Arial" w:cs="Arial"/>
                <w:b/>
                <w:sz w:val="24"/>
                <w:szCs w:val="24"/>
                <w:lang w:val="en"/>
              </w:rPr>
            </w:pPr>
          </w:p>
          <w:p w:rsidR="005302C6" w:rsidRPr="002B5EFE" w:rsidRDefault="005302C6" w:rsidP="005302C6">
            <w:pPr>
              <w:spacing w:line="360" w:lineRule="auto"/>
              <w:jc w:val="both"/>
              <w:rPr>
                <w:rFonts w:ascii="Arial" w:hAnsi="Arial" w:cs="Arial"/>
                <w:b/>
                <w:sz w:val="24"/>
                <w:szCs w:val="24"/>
                <w:lang w:val="en"/>
              </w:rPr>
            </w:pPr>
            <w:r w:rsidRPr="002B5EFE">
              <w:rPr>
                <w:rFonts w:ascii="Arial" w:hAnsi="Arial" w:cs="Arial"/>
                <w:b/>
                <w:sz w:val="24"/>
                <w:szCs w:val="24"/>
                <w:lang w:val="en"/>
              </w:rPr>
              <w:t>Case Study</w:t>
            </w:r>
          </w:p>
          <w:p w:rsidR="005302C6" w:rsidRPr="002B5EFE" w:rsidRDefault="005302C6" w:rsidP="005302C6">
            <w:pPr>
              <w:spacing w:line="360" w:lineRule="auto"/>
              <w:jc w:val="both"/>
              <w:rPr>
                <w:rFonts w:ascii="Arial" w:hAnsi="Arial" w:cs="Arial"/>
                <w:sz w:val="24"/>
                <w:szCs w:val="24"/>
                <w:u w:val="single"/>
                <w:lang w:val="en"/>
              </w:rPr>
            </w:pPr>
            <w:r w:rsidRPr="002B5EFE">
              <w:rPr>
                <w:rFonts w:ascii="Arial" w:hAnsi="Arial" w:cs="Arial"/>
                <w:sz w:val="24"/>
                <w:szCs w:val="24"/>
                <w:u w:val="single"/>
                <w:lang w:val="en"/>
              </w:rPr>
              <w:t>Fact Pattern</w:t>
            </w:r>
          </w:p>
          <w:p w:rsidR="005302C6" w:rsidRPr="002B5EFE" w:rsidRDefault="005302C6" w:rsidP="005302C6">
            <w:pPr>
              <w:spacing w:line="360" w:lineRule="auto"/>
              <w:jc w:val="both"/>
              <w:rPr>
                <w:rFonts w:ascii="Arial" w:hAnsi="Arial" w:cs="Arial"/>
                <w:sz w:val="24"/>
                <w:szCs w:val="24"/>
                <w:lang w:val="en"/>
              </w:rPr>
            </w:pPr>
            <w:r w:rsidRPr="002B5EFE">
              <w:rPr>
                <w:rFonts w:ascii="Arial" w:hAnsi="Arial" w:cs="Arial"/>
                <w:sz w:val="24"/>
                <w:szCs w:val="24"/>
                <w:lang w:val="en"/>
              </w:rPr>
              <w:t>Byron was employed as a manager of public house in Hampshire due to his many years of experience in pub trader not all the entire operation—with no or little knowledge in book-keeping</w:t>
            </w:r>
          </w:p>
          <w:p w:rsidR="005302C6" w:rsidRPr="002B5EFE" w:rsidRDefault="005302C6" w:rsidP="005302C6">
            <w:pPr>
              <w:spacing w:line="360" w:lineRule="auto"/>
              <w:jc w:val="both"/>
              <w:rPr>
                <w:rFonts w:ascii="Arial" w:hAnsi="Arial" w:cs="Arial"/>
                <w:sz w:val="24"/>
                <w:szCs w:val="24"/>
                <w:u w:val="single"/>
                <w:lang w:val="en"/>
              </w:rPr>
            </w:pPr>
            <w:r w:rsidRPr="002B5EFE">
              <w:rPr>
                <w:rFonts w:ascii="Arial" w:hAnsi="Arial" w:cs="Arial"/>
                <w:sz w:val="24"/>
                <w:szCs w:val="24"/>
                <w:u w:val="single"/>
                <w:lang w:val="en"/>
              </w:rPr>
              <w:t>Allegation</w:t>
            </w:r>
          </w:p>
          <w:p w:rsidR="005302C6" w:rsidRPr="002B5EFE" w:rsidRDefault="005302C6" w:rsidP="005302C6">
            <w:pPr>
              <w:spacing w:line="360" w:lineRule="auto"/>
              <w:jc w:val="both"/>
              <w:rPr>
                <w:rFonts w:ascii="Arial" w:hAnsi="Arial" w:cs="Arial"/>
                <w:sz w:val="24"/>
                <w:szCs w:val="24"/>
                <w:lang w:val="en"/>
              </w:rPr>
            </w:pPr>
            <w:r w:rsidRPr="002B5EFE">
              <w:rPr>
                <w:rFonts w:ascii="Arial" w:hAnsi="Arial" w:cs="Arial"/>
                <w:sz w:val="24"/>
                <w:szCs w:val="24"/>
                <w:lang w:val="en"/>
              </w:rPr>
              <w:t>Byron was alleged of theft of the shortfall and false accounting.</w:t>
            </w:r>
          </w:p>
          <w:p w:rsidR="005302C6" w:rsidRPr="002B5EFE" w:rsidRDefault="005302C6" w:rsidP="005302C6">
            <w:pPr>
              <w:spacing w:line="360" w:lineRule="auto"/>
              <w:jc w:val="both"/>
              <w:rPr>
                <w:rFonts w:ascii="Arial" w:hAnsi="Arial" w:cs="Arial"/>
                <w:sz w:val="24"/>
                <w:szCs w:val="24"/>
                <w:u w:val="single"/>
                <w:lang w:val="en"/>
              </w:rPr>
            </w:pPr>
            <w:r w:rsidRPr="002B5EFE">
              <w:rPr>
                <w:rFonts w:ascii="Arial" w:hAnsi="Arial" w:cs="Arial"/>
                <w:sz w:val="24"/>
                <w:szCs w:val="24"/>
                <w:u w:val="single"/>
                <w:lang w:val="en"/>
              </w:rPr>
              <w:t>The Forensic account analysis</w:t>
            </w:r>
          </w:p>
          <w:p w:rsidR="005302C6" w:rsidRPr="002B5EFE" w:rsidRDefault="005302C6" w:rsidP="005302C6">
            <w:pPr>
              <w:spacing w:line="360" w:lineRule="auto"/>
              <w:jc w:val="both"/>
              <w:rPr>
                <w:rFonts w:ascii="Arial" w:hAnsi="Arial" w:cs="Arial"/>
                <w:sz w:val="24"/>
                <w:szCs w:val="24"/>
                <w:lang w:val="en"/>
              </w:rPr>
            </w:pPr>
            <w:r w:rsidRPr="002B5EFE">
              <w:rPr>
                <w:rFonts w:ascii="Arial" w:hAnsi="Arial" w:cs="Arial"/>
                <w:sz w:val="24"/>
                <w:szCs w:val="24"/>
                <w:lang w:val="en"/>
              </w:rPr>
              <w:t>The forensic expert opinion revealed serious deficiency in the accounting system; difficulties that Byron would have experience in attempting to operate it and other causes of cash discrepancy.</w:t>
            </w:r>
          </w:p>
          <w:p w:rsidR="005302C6" w:rsidRPr="002B5EFE" w:rsidRDefault="005302C6" w:rsidP="005302C6">
            <w:pPr>
              <w:spacing w:line="360" w:lineRule="auto"/>
              <w:jc w:val="both"/>
              <w:rPr>
                <w:rFonts w:ascii="Arial" w:hAnsi="Arial" w:cs="Arial"/>
                <w:b/>
                <w:sz w:val="24"/>
                <w:szCs w:val="24"/>
                <w:u w:val="single"/>
                <w:lang w:val="en"/>
              </w:rPr>
            </w:pPr>
            <w:r w:rsidRPr="002B5EFE">
              <w:rPr>
                <w:rFonts w:ascii="Arial" w:hAnsi="Arial" w:cs="Arial"/>
                <w:b/>
                <w:sz w:val="24"/>
                <w:szCs w:val="24"/>
                <w:u w:val="single"/>
                <w:lang w:val="en"/>
              </w:rPr>
              <w:t>Result</w:t>
            </w:r>
          </w:p>
          <w:p w:rsidR="005302C6" w:rsidRPr="002B5EFE" w:rsidRDefault="005302C6" w:rsidP="005302C6">
            <w:pPr>
              <w:pStyle w:val="ListParagraph"/>
              <w:numPr>
                <w:ilvl w:val="0"/>
                <w:numId w:val="5"/>
              </w:numPr>
              <w:spacing w:after="160" w:line="360" w:lineRule="auto"/>
              <w:jc w:val="both"/>
              <w:rPr>
                <w:rFonts w:ascii="Arial" w:hAnsi="Arial" w:cs="Arial"/>
                <w:sz w:val="24"/>
                <w:szCs w:val="24"/>
                <w:lang w:val="en"/>
              </w:rPr>
            </w:pPr>
            <w:r w:rsidRPr="002B5EFE">
              <w:rPr>
                <w:rFonts w:ascii="Arial" w:hAnsi="Arial" w:cs="Arial"/>
                <w:sz w:val="24"/>
                <w:szCs w:val="24"/>
                <w:lang w:val="en"/>
              </w:rPr>
              <w:t xml:space="preserve">Lacking Appropriate application of accounting principles and </w:t>
            </w:r>
            <w:r w:rsidRPr="002B5EFE">
              <w:rPr>
                <w:rFonts w:ascii="Arial" w:hAnsi="Arial" w:cs="Arial"/>
                <w:sz w:val="24"/>
                <w:szCs w:val="24"/>
                <w:lang w:val="en"/>
              </w:rPr>
              <w:t>knowledge</w:t>
            </w:r>
            <w:r w:rsidRPr="002B5EFE">
              <w:rPr>
                <w:rFonts w:ascii="Arial" w:hAnsi="Arial" w:cs="Arial"/>
                <w:sz w:val="24"/>
                <w:szCs w:val="24"/>
                <w:lang w:val="en"/>
              </w:rPr>
              <w:t>.</w:t>
            </w:r>
          </w:p>
          <w:p w:rsidR="005302C6" w:rsidRPr="002B5EFE" w:rsidRDefault="005302C6" w:rsidP="005302C6">
            <w:pPr>
              <w:pStyle w:val="ListParagraph"/>
              <w:numPr>
                <w:ilvl w:val="0"/>
                <w:numId w:val="5"/>
              </w:numPr>
              <w:spacing w:after="160" w:line="360" w:lineRule="auto"/>
              <w:jc w:val="both"/>
              <w:rPr>
                <w:rFonts w:ascii="Arial" w:hAnsi="Arial" w:cs="Arial"/>
                <w:sz w:val="24"/>
                <w:szCs w:val="24"/>
                <w:lang w:val="en"/>
              </w:rPr>
            </w:pPr>
            <w:r w:rsidRPr="002B5EFE">
              <w:rPr>
                <w:rFonts w:ascii="Arial" w:hAnsi="Arial" w:cs="Arial"/>
                <w:sz w:val="24"/>
                <w:szCs w:val="24"/>
                <w:lang w:val="en"/>
              </w:rPr>
              <w:t>Possible causes of short fall other than theft by Byron is Laxity of monthly bank reconciliation system, no segregation of duties—book-keeper also do the banking and misapplication of accounting principles.</w:t>
            </w:r>
          </w:p>
          <w:p w:rsidR="005302C6" w:rsidRPr="002B5EFE" w:rsidRDefault="005302C6" w:rsidP="005302C6">
            <w:pPr>
              <w:spacing w:line="360" w:lineRule="auto"/>
              <w:jc w:val="both"/>
              <w:rPr>
                <w:rFonts w:ascii="Arial" w:hAnsi="Arial" w:cs="Arial"/>
                <w:color w:val="545454"/>
                <w:sz w:val="24"/>
                <w:szCs w:val="24"/>
                <w:lang w:val="en"/>
              </w:rPr>
            </w:pPr>
          </w:p>
          <w:p w:rsidR="005302C6" w:rsidRPr="002B5EFE" w:rsidRDefault="005302C6" w:rsidP="005302C6">
            <w:pPr>
              <w:shd w:val="clear" w:color="auto" w:fill="FFFFFF"/>
              <w:spacing w:after="48" w:line="360" w:lineRule="auto"/>
              <w:jc w:val="both"/>
              <w:rPr>
                <w:rFonts w:ascii="Arial" w:eastAsia="Times New Roman" w:hAnsi="Arial" w:cs="Arial"/>
                <w:color w:val="333333"/>
                <w:sz w:val="24"/>
                <w:szCs w:val="24"/>
              </w:rPr>
            </w:pPr>
          </w:p>
          <w:p w:rsidR="005302C6" w:rsidRPr="002B5EFE" w:rsidRDefault="005302C6" w:rsidP="005302C6">
            <w:pPr>
              <w:shd w:val="clear" w:color="auto" w:fill="FFFFFF"/>
              <w:spacing w:line="360" w:lineRule="auto"/>
              <w:jc w:val="both"/>
              <w:rPr>
                <w:rFonts w:ascii="Arial" w:eastAsia="Times New Roman" w:hAnsi="Arial" w:cs="Arial"/>
                <w:color w:val="333333"/>
                <w:sz w:val="24"/>
                <w:szCs w:val="24"/>
              </w:rPr>
            </w:pPr>
          </w:p>
          <w:p w:rsidR="005302C6" w:rsidRPr="002B5EFE" w:rsidRDefault="005302C6" w:rsidP="005302C6">
            <w:pPr>
              <w:shd w:val="clear" w:color="auto" w:fill="FFFFFF"/>
              <w:spacing w:after="48" w:line="360" w:lineRule="auto"/>
              <w:jc w:val="both"/>
              <w:rPr>
                <w:rFonts w:ascii="Arial" w:eastAsia="Times New Roman" w:hAnsi="Arial" w:cs="Arial"/>
                <w:color w:val="333333"/>
                <w:sz w:val="24"/>
                <w:szCs w:val="24"/>
              </w:rPr>
            </w:pPr>
          </w:p>
          <w:p w:rsidR="005302C6" w:rsidRPr="002B5EFE" w:rsidRDefault="005302C6" w:rsidP="005302C6">
            <w:pPr>
              <w:shd w:val="clear" w:color="auto" w:fill="FFFFFF"/>
              <w:spacing w:line="360" w:lineRule="auto"/>
              <w:jc w:val="both"/>
              <w:rPr>
                <w:rFonts w:ascii="Arial" w:eastAsia="Times New Roman" w:hAnsi="Arial" w:cs="Arial"/>
                <w:color w:val="333333"/>
                <w:sz w:val="24"/>
                <w:szCs w:val="24"/>
              </w:rPr>
            </w:pPr>
          </w:p>
          <w:p w:rsidR="005302C6" w:rsidRPr="002B5EFE" w:rsidRDefault="005302C6" w:rsidP="005302C6">
            <w:pPr>
              <w:shd w:val="clear" w:color="auto" w:fill="FFFFFF"/>
              <w:spacing w:after="48" w:line="360" w:lineRule="auto"/>
              <w:jc w:val="both"/>
              <w:rPr>
                <w:rFonts w:ascii="Arial" w:eastAsia="Times New Roman" w:hAnsi="Arial" w:cs="Arial"/>
                <w:color w:val="333333"/>
                <w:sz w:val="24"/>
                <w:szCs w:val="24"/>
              </w:rPr>
            </w:pPr>
          </w:p>
          <w:p w:rsidR="005302C6" w:rsidRDefault="005302C6" w:rsidP="005302C6">
            <w:pPr>
              <w:spacing w:line="360" w:lineRule="auto"/>
              <w:jc w:val="both"/>
              <w:rPr>
                <w:rFonts w:ascii="Arial" w:hAnsi="Arial" w:cs="Arial"/>
                <w:sz w:val="24"/>
                <w:szCs w:val="24"/>
              </w:rPr>
            </w:pPr>
          </w:p>
          <w:p w:rsidR="005302C6" w:rsidRDefault="005302C6" w:rsidP="005302C6">
            <w:pPr>
              <w:spacing w:line="360" w:lineRule="auto"/>
              <w:jc w:val="both"/>
              <w:rPr>
                <w:rFonts w:ascii="Arial" w:hAnsi="Arial" w:cs="Arial"/>
                <w:sz w:val="24"/>
                <w:szCs w:val="24"/>
              </w:rPr>
            </w:pPr>
          </w:p>
          <w:p w:rsidR="005302C6" w:rsidRDefault="005302C6" w:rsidP="005302C6">
            <w:pPr>
              <w:spacing w:line="360" w:lineRule="auto"/>
              <w:jc w:val="both"/>
              <w:rPr>
                <w:rFonts w:ascii="Arial" w:hAnsi="Arial" w:cs="Arial"/>
                <w:sz w:val="24"/>
                <w:szCs w:val="24"/>
              </w:rPr>
            </w:pPr>
          </w:p>
          <w:p w:rsidR="005302C6" w:rsidRDefault="005302C6" w:rsidP="005302C6">
            <w:pPr>
              <w:spacing w:line="360" w:lineRule="auto"/>
              <w:jc w:val="both"/>
              <w:rPr>
                <w:rFonts w:ascii="Arial" w:hAnsi="Arial" w:cs="Arial"/>
                <w:sz w:val="24"/>
                <w:szCs w:val="24"/>
              </w:rPr>
            </w:pPr>
          </w:p>
          <w:p w:rsidR="005302C6" w:rsidRDefault="005302C6" w:rsidP="005302C6">
            <w:pPr>
              <w:spacing w:line="360" w:lineRule="auto"/>
              <w:jc w:val="both"/>
              <w:rPr>
                <w:rFonts w:ascii="Arial" w:hAnsi="Arial" w:cs="Arial"/>
                <w:sz w:val="24"/>
                <w:szCs w:val="24"/>
              </w:rPr>
            </w:pPr>
          </w:p>
          <w:p w:rsidR="005302C6" w:rsidRDefault="005302C6" w:rsidP="005302C6">
            <w:pPr>
              <w:spacing w:line="360" w:lineRule="auto"/>
              <w:jc w:val="both"/>
              <w:rPr>
                <w:rFonts w:ascii="Arial" w:hAnsi="Arial" w:cs="Arial"/>
                <w:sz w:val="24"/>
                <w:szCs w:val="24"/>
              </w:rPr>
            </w:pPr>
          </w:p>
          <w:p w:rsidR="005302C6" w:rsidRDefault="005302C6" w:rsidP="005302C6">
            <w:pPr>
              <w:spacing w:line="360" w:lineRule="auto"/>
              <w:jc w:val="both"/>
              <w:rPr>
                <w:rFonts w:ascii="Arial" w:hAnsi="Arial" w:cs="Arial"/>
                <w:sz w:val="24"/>
                <w:szCs w:val="24"/>
              </w:rPr>
            </w:pPr>
          </w:p>
          <w:p w:rsidR="005302C6" w:rsidRDefault="005302C6" w:rsidP="005302C6">
            <w:pPr>
              <w:spacing w:line="360" w:lineRule="auto"/>
              <w:jc w:val="both"/>
              <w:rPr>
                <w:rFonts w:ascii="Arial" w:hAnsi="Arial" w:cs="Arial"/>
                <w:sz w:val="24"/>
                <w:szCs w:val="24"/>
              </w:rPr>
            </w:pP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Reference</w:t>
            </w:r>
          </w:p>
          <w:p w:rsidR="005302C6" w:rsidRPr="002B5EFE" w:rsidRDefault="005302C6" w:rsidP="005302C6">
            <w:pPr>
              <w:spacing w:line="360" w:lineRule="auto"/>
              <w:jc w:val="both"/>
              <w:rPr>
                <w:rFonts w:ascii="Arial" w:hAnsi="Arial" w:cs="Arial"/>
                <w:sz w:val="24"/>
                <w:szCs w:val="24"/>
              </w:rPr>
            </w:pP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Frimette Kass-shraibman; Vijay S. Sampath, Forensic accounting for Dummies, (2011)</w:t>
            </w:r>
          </w:p>
          <w:p w:rsidR="005302C6" w:rsidRPr="002B5EFE" w:rsidRDefault="005302C6" w:rsidP="005302C6">
            <w:pPr>
              <w:spacing w:line="360" w:lineRule="auto"/>
              <w:jc w:val="both"/>
              <w:rPr>
                <w:rFonts w:ascii="Arial" w:hAnsi="Arial" w:cs="Arial"/>
                <w:sz w:val="24"/>
                <w:szCs w:val="24"/>
              </w:rPr>
            </w:pPr>
            <w:r w:rsidRPr="002B5EFE">
              <w:rPr>
                <w:rFonts w:ascii="Arial" w:hAnsi="Arial" w:cs="Arial"/>
                <w:sz w:val="24"/>
                <w:szCs w:val="24"/>
              </w:rPr>
              <w:t>D.Larry Crumbley; Lester E. Heitger; G. Stevenson Smith, forensic and investigative accounting 4</w:t>
            </w:r>
            <w:r w:rsidRPr="002B5EFE">
              <w:rPr>
                <w:rFonts w:ascii="Arial" w:hAnsi="Arial" w:cs="Arial"/>
                <w:sz w:val="24"/>
                <w:szCs w:val="24"/>
                <w:vertAlign w:val="superscript"/>
              </w:rPr>
              <w:t>th</w:t>
            </w:r>
            <w:r w:rsidRPr="002B5EFE">
              <w:rPr>
                <w:rFonts w:ascii="Arial" w:hAnsi="Arial" w:cs="Arial"/>
                <w:sz w:val="24"/>
                <w:szCs w:val="24"/>
              </w:rPr>
              <w:t xml:space="preserve"> edition (2009)</w:t>
            </w:r>
          </w:p>
          <w:p w:rsidR="00CC2FB3" w:rsidRPr="005302C6" w:rsidRDefault="00CC2FB3" w:rsidP="00A851DA">
            <w:pPr>
              <w:rPr>
                <w:b/>
              </w:rPr>
            </w:pPr>
          </w:p>
        </w:tc>
      </w:tr>
      <w:tr w:rsidR="00873346" w:rsidTr="00CC2FB3">
        <w:tc>
          <w:tcPr>
            <w:tcW w:w="9242" w:type="dxa"/>
          </w:tcPr>
          <w:p w:rsidR="00873346" w:rsidRPr="00CC2FB3" w:rsidRDefault="0087334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CF42FF" w:rsidRDefault="00CF42FF" w:rsidP="00A851DA">
      <w:pPr>
        <w:autoSpaceDE w:val="0"/>
        <w:autoSpaceDN w:val="0"/>
        <w:adjustRightInd w:val="0"/>
        <w:spacing w:after="0" w:line="240" w:lineRule="auto"/>
        <w:rPr>
          <w:rFonts w:cs="CalvertMT-Bold"/>
          <w:b/>
          <w:bCs/>
          <w:color w:val="002060"/>
          <w:sz w:val="28"/>
          <w:lang w:val="en-US"/>
        </w:rPr>
      </w:pPr>
    </w:p>
    <w:p w:rsidR="00CF42FF" w:rsidRDefault="00CF42F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0"/>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42FF" w:rsidP="00A851DA">
            <w:pPr>
              <w:rPr>
                <w:rFonts w:cs="Bliss-Regular"/>
                <w:color w:val="000000"/>
              </w:rPr>
            </w:pPr>
            <w:r>
              <w:rPr>
                <w:rFonts w:cs="Bliss-Regular"/>
                <w:color w:val="000000"/>
              </w:rPr>
              <w:t>POPOOLA Olusegun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02C6" w:rsidP="00A851DA">
            <w:pPr>
              <w:rPr>
                <w:rFonts w:cs="Bliss-Regular"/>
                <w:color w:val="000000"/>
              </w:rPr>
            </w:pPr>
            <w:r>
              <w:rPr>
                <w:rFonts w:cs="Bliss-Regular"/>
                <w:color w:val="000000"/>
              </w:rPr>
              <w:t>Feb 18</w:t>
            </w:r>
            <w:r w:rsidRPr="005302C6">
              <w:rPr>
                <w:rFonts w:cs="Bliss-Regular"/>
                <w:color w:val="000000"/>
                <w:vertAlign w:val="superscript"/>
              </w:rPr>
              <w:t>th</w:t>
            </w:r>
            <w:r>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C7887">
      <w:headerReference w:type="default" r:id="rId9"/>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507" w:rsidRDefault="00D92507" w:rsidP="00CB4D0A">
      <w:pPr>
        <w:spacing w:after="0" w:line="240" w:lineRule="auto"/>
      </w:pPr>
      <w:r>
        <w:separator/>
      </w:r>
    </w:p>
  </w:endnote>
  <w:endnote w:type="continuationSeparator" w:id="0">
    <w:p w:rsidR="00D92507" w:rsidRDefault="00D925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507" w:rsidRDefault="00D92507" w:rsidP="00CB4D0A">
      <w:pPr>
        <w:spacing w:after="0" w:line="240" w:lineRule="auto"/>
      </w:pPr>
      <w:r>
        <w:separator/>
      </w:r>
    </w:p>
  </w:footnote>
  <w:footnote w:type="continuationSeparator" w:id="0">
    <w:p w:rsidR="00D92507" w:rsidRDefault="00D9250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926738"/>
      <w:docPartObj>
        <w:docPartGallery w:val="Page Numbers (Top of Page)"/>
        <w:docPartUnique/>
      </w:docPartObj>
    </w:sdtPr>
    <w:sdtEndPr>
      <w:rPr>
        <w:noProof/>
      </w:rPr>
    </w:sdtEndPr>
    <w:sdtContent>
      <w:p w:rsidR="00873346" w:rsidRDefault="001C7887">
        <w:pPr>
          <w:pStyle w:val="Header"/>
          <w:jc w:val="right"/>
        </w:pPr>
        <w:r>
          <w:t>POPOOL</w:t>
        </w:r>
        <w:r w:rsidR="005302C6">
          <w:t>A Olusegun ID#5027 Assignment 5</w:t>
        </w:r>
        <w:r>
          <w:t xml:space="preserve">    </w:t>
        </w:r>
        <w:r w:rsidR="00873346">
          <w:fldChar w:fldCharType="begin"/>
        </w:r>
        <w:r w:rsidR="00873346">
          <w:instrText xml:space="preserve"> PAGE   \* MERGEFORMAT </w:instrText>
        </w:r>
        <w:r w:rsidR="00873346">
          <w:fldChar w:fldCharType="separate"/>
        </w:r>
        <w:r w:rsidR="005302C6">
          <w:rPr>
            <w:noProof/>
          </w:rPr>
          <w:t>1</w:t>
        </w:r>
        <w:r w:rsidR="00873346">
          <w:rPr>
            <w:noProof/>
          </w:rPr>
          <w:fldChar w:fldCharType="end"/>
        </w:r>
      </w:p>
    </w:sdtContent>
  </w:sdt>
  <w:p w:rsidR="00873346" w:rsidRDefault="00873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697"/>
    <w:multiLevelType w:val="hybridMultilevel"/>
    <w:tmpl w:val="1188D6E2"/>
    <w:lvl w:ilvl="0" w:tplc="92AA229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01FAB"/>
    <w:multiLevelType w:val="hybridMultilevel"/>
    <w:tmpl w:val="39224D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3287C"/>
    <w:multiLevelType w:val="hybridMultilevel"/>
    <w:tmpl w:val="AC04B7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03E90"/>
    <w:multiLevelType w:val="hybridMultilevel"/>
    <w:tmpl w:val="DEFE35F8"/>
    <w:lvl w:ilvl="0" w:tplc="48B0EC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D1852"/>
    <w:multiLevelType w:val="hybridMultilevel"/>
    <w:tmpl w:val="6D1C406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4F7776"/>
    <w:multiLevelType w:val="hybridMultilevel"/>
    <w:tmpl w:val="72860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BC5E91"/>
    <w:multiLevelType w:val="hybridMultilevel"/>
    <w:tmpl w:val="791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D1861"/>
    <w:multiLevelType w:val="hybridMultilevel"/>
    <w:tmpl w:val="1FC2AEC2"/>
    <w:lvl w:ilvl="0" w:tplc="A79ECD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381C0B"/>
    <w:multiLevelType w:val="hybridMultilevel"/>
    <w:tmpl w:val="357E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4"/>
  </w:num>
  <w:num w:numId="4">
    <w:abstractNumId w:val="0"/>
  </w:num>
  <w:num w:numId="5">
    <w:abstractNumId w:val="1"/>
  </w:num>
  <w:num w:numId="6">
    <w:abstractNumId w:val="5"/>
  </w:num>
  <w:num w:numId="7">
    <w:abstractNumId w:val="2"/>
  </w:num>
  <w:num w:numId="8">
    <w:abstractNumId w:val="9"/>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7887"/>
    <w:rsid w:val="001F0481"/>
    <w:rsid w:val="00200C92"/>
    <w:rsid w:val="0020451E"/>
    <w:rsid w:val="00206B9D"/>
    <w:rsid w:val="0023259C"/>
    <w:rsid w:val="002B0BD7"/>
    <w:rsid w:val="002B573D"/>
    <w:rsid w:val="002C5CB2"/>
    <w:rsid w:val="002F779F"/>
    <w:rsid w:val="00371885"/>
    <w:rsid w:val="003E063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2C6"/>
    <w:rsid w:val="00535F31"/>
    <w:rsid w:val="00574D64"/>
    <w:rsid w:val="00591365"/>
    <w:rsid w:val="005B31E4"/>
    <w:rsid w:val="006034F6"/>
    <w:rsid w:val="00607874"/>
    <w:rsid w:val="00607E77"/>
    <w:rsid w:val="00617BB3"/>
    <w:rsid w:val="00631734"/>
    <w:rsid w:val="00645CDD"/>
    <w:rsid w:val="006823A7"/>
    <w:rsid w:val="00687EE8"/>
    <w:rsid w:val="0070347F"/>
    <w:rsid w:val="0070678E"/>
    <w:rsid w:val="00831C11"/>
    <w:rsid w:val="00873346"/>
    <w:rsid w:val="008A60B4"/>
    <w:rsid w:val="008B3C31"/>
    <w:rsid w:val="008B64FE"/>
    <w:rsid w:val="00935BF7"/>
    <w:rsid w:val="0095442C"/>
    <w:rsid w:val="00983942"/>
    <w:rsid w:val="009C37E0"/>
    <w:rsid w:val="009E41F4"/>
    <w:rsid w:val="00A14B66"/>
    <w:rsid w:val="00A65CF7"/>
    <w:rsid w:val="00A72D2A"/>
    <w:rsid w:val="00A81AB4"/>
    <w:rsid w:val="00A851DA"/>
    <w:rsid w:val="00AC7D5B"/>
    <w:rsid w:val="00AE1481"/>
    <w:rsid w:val="00B0415E"/>
    <w:rsid w:val="00B04678"/>
    <w:rsid w:val="00B734C8"/>
    <w:rsid w:val="00BC46DF"/>
    <w:rsid w:val="00C03577"/>
    <w:rsid w:val="00C53029"/>
    <w:rsid w:val="00C65FEA"/>
    <w:rsid w:val="00CA0AC2"/>
    <w:rsid w:val="00CB4D0A"/>
    <w:rsid w:val="00CC2FB3"/>
    <w:rsid w:val="00CC575A"/>
    <w:rsid w:val="00CF123B"/>
    <w:rsid w:val="00CF42FF"/>
    <w:rsid w:val="00D039AC"/>
    <w:rsid w:val="00D427DE"/>
    <w:rsid w:val="00D5587D"/>
    <w:rsid w:val="00D707CC"/>
    <w:rsid w:val="00D821FE"/>
    <w:rsid w:val="00D92507"/>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C43EF8"/>
  <w15:docId w15:val="{D2C888E5-04E6-4075-86EC-9F60E94B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3346"/>
    <w:rPr>
      <w:color w:val="0000FF" w:themeColor="hyperlink"/>
      <w:u w:val="single"/>
    </w:rPr>
  </w:style>
  <w:style w:type="character" w:styleId="Emphasis">
    <w:name w:val="Emphasis"/>
    <w:basedOn w:val="DefaultParagraphFont"/>
    <w:uiPriority w:val="20"/>
    <w:qFormat/>
    <w:rsid w:val="008733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1485B-CFB0-4478-9BBC-3F6F1E54D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2313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GEORGE POPOOLA</cp:lastModifiedBy>
  <cp:revision>2</cp:revision>
  <dcterms:created xsi:type="dcterms:W3CDTF">2017-02-19T06:54:00Z</dcterms:created>
  <dcterms:modified xsi:type="dcterms:W3CDTF">2017-02-19T06:54:00Z</dcterms:modified>
</cp:coreProperties>
</file>