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896">
            <w:r>
              <w:t>9</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E5868" w:rsidRDefault="00EE3BC3" w:rsidP="003A3A51">
            <w:pPr>
              <w:rPr>
                <w:b/>
              </w:rPr>
            </w:pPr>
            <w:r>
              <w:rPr>
                <w:b/>
              </w:rPr>
              <w:t>Q1.</w:t>
            </w:r>
          </w:p>
          <w:p w:rsidR="001A43EB" w:rsidRDefault="00070115" w:rsidP="00070115">
            <w:pPr>
              <w:pStyle w:val="ListParagraph"/>
              <w:numPr>
                <w:ilvl w:val="0"/>
                <w:numId w:val="18"/>
              </w:numPr>
            </w:pPr>
            <w:r w:rsidRPr="00070115">
              <w:rPr>
                <w:rFonts w:cs="Calibri"/>
                <w:b/>
              </w:rPr>
              <w:t>Outline the factors on which fraud risk assessment depends.</w:t>
            </w:r>
            <w:r w:rsidR="00B253ED" w:rsidRPr="00070115">
              <w:rPr>
                <w:b/>
              </w:rPr>
              <w:t xml:space="preserve"> </w:t>
            </w:r>
          </w:p>
          <w:p w:rsidR="00070115" w:rsidRDefault="00070115" w:rsidP="00070115">
            <w:pPr>
              <w:pStyle w:val="ListParagraph"/>
              <w:ind w:left="1080"/>
            </w:pPr>
            <w:r>
              <w:t xml:space="preserve">Risk assessment factors can be considered on different levels such as entity, </w:t>
            </w:r>
            <w:proofErr w:type="spellStart"/>
            <w:r>
              <w:t>behavioural</w:t>
            </w:r>
            <w:proofErr w:type="spellEnd"/>
            <w:r>
              <w:t>, products and services, geography, divisions, accounting and business processes, controls</w:t>
            </w:r>
            <w:r w:rsidR="00025B4C">
              <w:t>, computerized systems. Usually, factors are initially considered at the entity level.</w:t>
            </w:r>
          </w:p>
          <w:p w:rsidR="00070115" w:rsidRPr="00070115" w:rsidRDefault="00070115" w:rsidP="00070115">
            <w:pPr>
              <w:pStyle w:val="ListParagraph"/>
              <w:numPr>
                <w:ilvl w:val="0"/>
                <w:numId w:val="18"/>
              </w:numPr>
              <w:rPr>
                <w:rFonts w:cs="Calibri"/>
              </w:rPr>
            </w:pPr>
            <w:r w:rsidRPr="00070115">
              <w:rPr>
                <w:rFonts w:cs="Calibri"/>
                <w:b/>
              </w:rPr>
              <w:t>What are the main concepts about risk assessment?</w:t>
            </w:r>
          </w:p>
          <w:p w:rsidR="00070115" w:rsidRDefault="00070115" w:rsidP="00070115">
            <w:pPr>
              <w:ind w:left="1080"/>
            </w:pPr>
            <w:r>
              <w:t xml:space="preserve">Fraud risk assessment depends on the investigator’s knowledge of fraud concepts, such as the fraud triangle, fraud indicators, fraud schemes and accounting information systems </w:t>
            </w:r>
            <w:proofErr w:type="gramStart"/>
            <w:r>
              <w:t>and  an</w:t>
            </w:r>
            <w:proofErr w:type="gramEnd"/>
            <w:r>
              <w:t xml:space="preserve"> understanding of the fraud environment, which includes timeframe, entity, efficacy of internal controls.</w:t>
            </w:r>
          </w:p>
          <w:p w:rsidR="00025B4C" w:rsidRPr="00025B4C" w:rsidRDefault="00025B4C" w:rsidP="00025B4C">
            <w:pPr>
              <w:pStyle w:val="ListParagraph"/>
              <w:numPr>
                <w:ilvl w:val="0"/>
                <w:numId w:val="18"/>
              </w:numPr>
              <w:rPr>
                <w:rFonts w:cs="Calibri"/>
              </w:rPr>
            </w:pPr>
            <w:r w:rsidRPr="00025B4C">
              <w:rPr>
                <w:rFonts w:cs="Calibri"/>
                <w:b/>
              </w:rPr>
              <w:t>What are the internal factors that should be considered for fraud risk assessment?</w:t>
            </w:r>
          </w:p>
          <w:p w:rsidR="00025B4C" w:rsidRDefault="004054A0" w:rsidP="004054A0">
            <w:pPr>
              <w:pStyle w:val="ListParagraph"/>
              <w:numPr>
                <w:ilvl w:val="0"/>
                <w:numId w:val="19"/>
              </w:numPr>
            </w:pPr>
            <w:r>
              <w:t>The absence of a culture that encourages honesty.</w:t>
            </w:r>
          </w:p>
          <w:p w:rsidR="004054A0" w:rsidRDefault="004054A0" w:rsidP="004054A0">
            <w:pPr>
              <w:pStyle w:val="ListParagraph"/>
              <w:numPr>
                <w:ilvl w:val="0"/>
                <w:numId w:val="19"/>
              </w:numPr>
            </w:pPr>
            <w:r>
              <w:t>The inability to set and communicate performance standards and standards for personal conduct.</w:t>
            </w:r>
          </w:p>
          <w:p w:rsidR="004054A0" w:rsidRDefault="004054A0" w:rsidP="004054A0">
            <w:pPr>
              <w:pStyle w:val="ListParagraph"/>
              <w:numPr>
                <w:ilvl w:val="0"/>
                <w:numId w:val="19"/>
              </w:numPr>
            </w:pPr>
            <w:r>
              <w:t>The inadequate legal, ethical, fraud detection and security-related training.</w:t>
            </w:r>
          </w:p>
          <w:p w:rsidR="004054A0" w:rsidRDefault="004054A0" w:rsidP="004054A0">
            <w:pPr>
              <w:pStyle w:val="ListParagraph"/>
              <w:numPr>
                <w:ilvl w:val="0"/>
                <w:numId w:val="19"/>
              </w:numPr>
            </w:pPr>
            <w:r>
              <w:t>The absence of company policy regarding sanctions for financial crime and breach of security.</w:t>
            </w:r>
          </w:p>
          <w:p w:rsidR="004054A0" w:rsidRDefault="004054A0" w:rsidP="004054A0">
            <w:pPr>
              <w:pStyle w:val="ListParagraph"/>
              <w:numPr>
                <w:ilvl w:val="0"/>
                <w:numId w:val="19"/>
              </w:numPr>
            </w:pPr>
            <w:r>
              <w:t>The lack of clarity in job roles, accountability, duties and responsibilities.</w:t>
            </w:r>
          </w:p>
          <w:p w:rsidR="004054A0" w:rsidRDefault="004054A0" w:rsidP="004054A0">
            <w:pPr>
              <w:pStyle w:val="ListParagraph"/>
              <w:numPr>
                <w:ilvl w:val="0"/>
                <w:numId w:val="19"/>
              </w:numPr>
            </w:pPr>
            <w:r>
              <w:t>Irregular audits, inspections and follow-throughs to monitor compliance.</w:t>
            </w:r>
          </w:p>
          <w:p w:rsidR="004054A0" w:rsidRPr="00E81FF6" w:rsidRDefault="00E81FF6" w:rsidP="00E81FF6">
            <w:pPr>
              <w:pStyle w:val="ListParagraph"/>
              <w:numPr>
                <w:ilvl w:val="0"/>
                <w:numId w:val="18"/>
              </w:numPr>
              <w:rPr>
                <w:rFonts w:cs="Calibri"/>
              </w:rPr>
            </w:pPr>
            <w:r w:rsidRPr="00E81FF6">
              <w:rPr>
                <w:rFonts w:cs="Calibri"/>
                <w:b/>
              </w:rPr>
              <w:t>What is ‘inherent risk’?</w:t>
            </w:r>
          </w:p>
          <w:p w:rsidR="00E81FF6" w:rsidRDefault="00E81FF6" w:rsidP="00E81FF6">
            <w:pPr>
              <w:pStyle w:val="ListParagraph"/>
              <w:ind w:left="1080"/>
            </w:pPr>
            <w:r>
              <w:t>Inherent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w:t>
            </w:r>
          </w:p>
          <w:p w:rsidR="00E81FF6" w:rsidRPr="008F75FF" w:rsidRDefault="008F75FF" w:rsidP="008F75FF">
            <w:pPr>
              <w:pStyle w:val="ListParagraph"/>
              <w:numPr>
                <w:ilvl w:val="0"/>
                <w:numId w:val="18"/>
              </w:numPr>
              <w:rPr>
                <w:rFonts w:cs="Calibri"/>
                <w:b/>
              </w:rPr>
            </w:pPr>
            <w:r w:rsidRPr="008F75FF">
              <w:rPr>
                <w:rFonts w:cs="Calibri"/>
                <w:b/>
              </w:rPr>
              <w:t>Define the term ‘residual risk’.</w:t>
            </w:r>
          </w:p>
          <w:p w:rsidR="008F75FF" w:rsidRDefault="008F75FF" w:rsidP="008F75FF">
            <w:pPr>
              <w:pStyle w:val="ListParagraph"/>
              <w:ind w:left="1080"/>
            </w:pPr>
            <w:r>
              <w:t>Residual risk can be simply calculated by subtracting the levels of internal controls being used to mitigate risk from the inherent risk. There are two possible responses to residual risk: no response, as it is accepted; or action to take further preventive measures (such as purchasing insurance) in order to mitigate residual risk. In either case, the response should be documented and tracked in order to determine the organization’s ability to measure and manage risk.</w:t>
            </w:r>
          </w:p>
          <w:p w:rsidR="008F75FF" w:rsidRDefault="008F75FF" w:rsidP="008F75FF"/>
          <w:p w:rsidR="008F75FF" w:rsidRDefault="008F75FF" w:rsidP="008F75FF"/>
          <w:p w:rsidR="008F75FF" w:rsidRDefault="008F75FF" w:rsidP="008F75FF">
            <w:pPr>
              <w:rPr>
                <w:rFonts w:ascii="Calibri" w:hAnsi="Calibri" w:cs="Calibri"/>
              </w:rPr>
            </w:pPr>
            <w:r w:rsidRPr="008F75FF">
              <w:rPr>
                <w:rFonts w:ascii="Calibri,Bold" w:hAnsi="Calibri,Bold" w:cs="Calibri,Bold"/>
                <w:b/>
                <w:bCs/>
                <w:sz w:val="24"/>
                <w:szCs w:val="24"/>
              </w:rPr>
              <w:lastRenderedPageBreak/>
              <w:t xml:space="preserve">2. </w:t>
            </w:r>
            <w:r w:rsidRPr="008F75FF">
              <w:rPr>
                <w:rFonts w:ascii="Calibri" w:hAnsi="Calibri" w:cs="Calibri"/>
                <w:b/>
              </w:rPr>
              <w:t>Prepare a fraud - risk assessment check list for any business of your choice.</w:t>
            </w:r>
          </w:p>
          <w:p w:rsidR="008F75FF" w:rsidRDefault="008F75FF" w:rsidP="008F75FF"/>
          <w:tbl>
            <w:tblPr>
              <w:tblW w:w="6660" w:type="dxa"/>
              <w:tblLook w:val="04A0" w:firstRow="1" w:lastRow="0" w:firstColumn="1" w:lastColumn="0" w:noHBand="0" w:noVBand="1"/>
            </w:tblPr>
            <w:tblGrid>
              <w:gridCol w:w="1520"/>
              <w:gridCol w:w="1180"/>
              <w:gridCol w:w="1198"/>
              <w:gridCol w:w="960"/>
              <w:gridCol w:w="1026"/>
              <w:gridCol w:w="960"/>
            </w:tblGrid>
            <w:tr w:rsidR="00866F15" w:rsidRPr="00866F15" w:rsidTr="00866F15">
              <w:trPr>
                <w:trHeight w:val="300"/>
              </w:trPr>
              <w:tc>
                <w:tcPr>
                  <w:tcW w:w="1520" w:type="dxa"/>
                  <w:tcBorders>
                    <w:top w:val="single" w:sz="4" w:space="0" w:color="auto"/>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Fraud Schemes</w:t>
                  </w:r>
                </w:p>
              </w:tc>
              <w:tc>
                <w:tcPr>
                  <w:tcW w:w="1180" w:type="dxa"/>
                  <w:tcBorders>
                    <w:top w:val="single" w:sz="4" w:space="0" w:color="auto"/>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 xml:space="preserve">Inherent </w:t>
                  </w:r>
                </w:p>
              </w:tc>
              <w:tc>
                <w:tcPr>
                  <w:tcW w:w="1080" w:type="dxa"/>
                  <w:tcBorders>
                    <w:top w:val="single" w:sz="4" w:space="0" w:color="auto"/>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Controls</w:t>
                  </w:r>
                </w:p>
              </w:tc>
              <w:tc>
                <w:tcPr>
                  <w:tcW w:w="960" w:type="dxa"/>
                  <w:tcBorders>
                    <w:top w:val="single" w:sz="4" w:space="0" w:color="auto"/>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proofErr w:type="spellStart"/>
                  <w:r w:rsidRPr="00866F15">
                    <w:rPr>
                      <w:rFonts w:ascii="Calibri" w:eastAsia="Times New Roman" w:hAnsi="Calibri" w:cs="Times New Roman"/>
                      <w:b/>
                      <w:bCs/>
                      <w:color w:val="000000"/>
                      <w:sz w:val="20"/>
                      <w:szCs w:val="20"/>
                    </w:rPr>
                    <w:t>Risidual</w:t>
                  </w:r>
                  <w:proofErr w:type="spellEnd"/>
                  <w:r w:rsidRPr="00866F15">
                    <w:rPr>
                      <w:rFonts w:ascii="Calibri" w:eastAsia="Times New Roman" w:hAnsi="Calibri" w:cs="Times New Roman"/>
                      <w:b/>
                      <w:bCs/>
                      <w:color w:val="000000"/>
                      <w:sz w:val="20"/>
                      <w:szCs w:val="20"/>
                    </w:rPr>
                    <w:t xml:space="preserve"> </w:t>
                  </w:r>
                </w:p>
              </w:tc>
              <w:tc>
                <w:tcPr>
                  <w:tcW w:w="960" w:type="dxa"/>
                  <w:tcBorders>
                    <w:top w:val="single" w:sz="4" w:space="0" w:color="auto"/>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Business</w:t>
                  </w:r>
                </w:p>
              </w:tc>
              <w:tc>
                <w:tcPr>
                  <w:tcW w:w="960" w:type="dxa"/>
                  <w:tcBorders>
                    <w:top w:val="single" w:sz="4" w:space="0" w:color="auto"/>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Red Flags</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Risk</w:t>
                  </w:r>
                </w:p>
              </w:tc>
              <w:tc>
                <w:tcPr>
                  <w:tcW w:w="10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Assessment</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Risk</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Processes</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jc w:val="center"/>
                    <w:rPr>
                      <w:rFonts w:ascii="Calibri" w:eastAsia="Times New Roman" w:hAnsi="Calibri" w:cs="Times New Roman"/>
                      <w:b/>
                      <w:bCs/>
                      <w:color w:val="000000"/>
                      <w:sz w:val="20"/>
                      <w:szCs w:val="20"/>
                    </w:rPr>
                  </w:pPr>
                  <w:r w:rsidRPr="00866F15">
                    <w:rPr>
                      <w:rFonts w:ascii="Calibri" w:eastAsia="Times New Roman" w:hAnsi="Calibri" w:cs="Times New Roman"/>
                      <w:b/>
                      <w:bCs/>
                      <w:color w:val="000000"/>
                      <w:sz w:val="20"/>
                      <w:szCs w:val="2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General anti-</w:t>
                  </w:r>
                </w:p>
              </w:tc>
              <w:tc>
                <w:tcPr>
                  <w:tcW w:w="118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fraud</w:t>
                  </w:r>
                </w:p>
              </w:tc>
              <w:tc>
                <w:tcPr>
                  <w:tcW w:w="11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Fraudulent</w:t>
                  </w:r>
                </w:p>
              </w:tc>
              <w:tc>
                <w:tcPr>
                  <w:tcW w:w="118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statements</w:t>
                  </w:r>
                </w:p>
              </w:tc>
              <w:tc>
                <w:tcPr>
                  <w:tcW w:w="11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Financial:</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Overstated</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revenues</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Timing</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differences</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Fictitious</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revenues</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Improper</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disclosures</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Improper asset</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Valuation</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Asset/revenue</w:t>
                  </w:r>
                </w:p>
              </w:tc>
              <w:tc>
                <w:tcPr>
                  <w:tcW w:w="118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nil"/>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r w:rsidR="00866F15" w:rsidRPr="00866F15" w:rsidTr="00866F15">
              <w:trPr>
                <w:trHeight w:val="300"/>
              </w:trPr>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Understated</w:t>
                  </w:r>
                </w:p>
              </w:tc>
              <w:tc>
                <w:tcPr>
                  <w:tcW w:w="118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nil"/>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866F15" w:rsidRPr="00866F15" w:rsidRDefault="00866F15" w:rsidP="00866F15">
                  <w:pPr>
                    <w:spacing w:after="0" w:line="240" w:lineRule="auto"/>
                    <w:rPr>
                      <w:rFonts w:ascii="Calibri" w:eastAsia="Times New Roman" w:hAnsi="Calibri" w:cs="Times New Roman"/>
                      <w:color w:val="000000"/>
                    </w:rPr>
                  </w:pPr>
                  <w:r w:rsidRPr="00866F15">
                    <w:rPr>
                      <w:rFonts w:ascii="Calibri" w:eastAsia="Times New Roman" w:hAnsi="Calibri" w:cs="Times New Roman"/>
                      <w:color w:val="000000"/>
                    </w:rPr>
                    <w:t> </w:t>
                  </w:r>
                </w:p>
              </w:tc>
            </w:tr>
          </w:tbl>
          <w:p w:rsidR="00B25A2F" w:rsidRPr="008F75FF" w:rsidRDefault="00B25A2F" w:rsidP="008F75FF"/>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6F15" w:rsidP="00A851DA">
            <w:pPr>
              <w:rPr>
                <w:rFonts w:cs="Bliss-Regular"/>
                <w:color w:val="000000"/>
              </w:rPr>
            </w:pPr>
            <w:r>
              <w:rPr>
                <w:rFonts w:cs="Bliss-Regular"/>
                <w:color w:val="000000"/>
              </w:rPr>
              <w:t>15</w:t>
            </w:r>
            <w:bookmarkStart w:id="0" w:name="_GoBack"/>
            <w:bookmarkEnd w:id="0"/>
            <w:r>
              <w:rPr>
                <w:rFonts w:cs="Bliss-Regular"/>
                <w:color w:val="000000"/>
              </w:rPr>
              <w:t>/08</w:t>
            </w:r>
            <w:r w:rsidR="000003BB">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588" w:rsidRDefault="00A33588" w:rsidP="00CB4D0A">
      <w:pPr>
        <w:spacing w:after="0" w:line="240" w:lineRule="auto"/>
      </w:pPr>
      <w:r>
        <w:separator/>
      </w:r>
    </w:p>
  </w:endnote>
  <w:endnote w:type="continuationSeparator" w:id="0">
    <w:p w:rsidR="00A33588" w:rsidRDefault="00A335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588" w:rsidRDefault="00A33588" w:rsidP="00CB4D0A">
      <w:pPr>
        <w:spacing w:after="0" w:line="240" w:lineRule="auto"/>
      </w:pPr>
      <w:r>
        <w:separator/>
      </w:r>
    </w:p>
  </w:footnote>
  <w:footnote w:type="continuationSeparator" w:id="0">
    <w:p w:rsidR="00A33588" w:rsidRDefault="00A3358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866F15">
          <w:rPr>
            <w:noProof/>
          </w:rPr>
          <w:t>1</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 xml:space="preserve">Assessment </w:t>
    </w:r>
    <w:r w:rsidR="00AC6896">
      <w:t>9</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40F6D"/>
    <w:multiLevelType w:val="hybridMultilevel"/>
    <w:tmpl w:val="EAFEA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3F284E"/>
    <w:multiLevelType w:val="hybridMultilevel"/>
    <w:tmpl w:val="F8128D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2D725A"/>
    <w:multiLevelType w:val="hybridMultilevel"/>
    <w:tmpl w:val="6F22C5C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37A73"/>
    <w:multiLevelType w:val="hybridMultilevel"/>
    <w:tmpl w:val="BBCAE7E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901FB6"/>
    <w:multiLevelType w:val="hybridMultilevel"/>
    <w:tmpl w:val="7DAE02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7EF5E4F"/>
    <w:multiLevelType w:val="hybridMultilevel"/>
    <w:tmpl w:val="AFF860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CC446FB"/>
    <w:multiLevelType w:val="hybridMultilevel"/>
    <w:tmpl w:val="3BAA68BC"/>
    <w:lvl w:ilvl="0" w:tplc="946673BA">
      <w:start w:val="1"/>
      <w:numFmt w:val="lowerRoman"/>
      <w:lvlText w:val="%1."/>
      <w:lvlJc w:val="left"/>
      <w:pPr>
        <w:ind w:left="1080" w:hanging="720"/>
      </w:pPr>
      <w:rPr>
        <w:rFonts w:ascii="Calibri" w:hAnsi="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A503F4"/>
    <w:multiLevelType w:val="hybridMultilevel"/>
    <w:tmpl w:val="EEA4C714"/>
    <w:lvl w:ilvl="0" w:tplc="FC90ED78">
      <w:start w:val="1"/>
      <w:numFmt w:val="lowerLetter"/>
      <w:lvlText w:val="%1)"/>
      <w:lvlJc w:val="left"/>
      <w:pPr>
        <w:ind w:left="1125"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7">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8063D5"/>
    <w:multiLevelType w:val="hybridMultilevel"/>
    <w:tmpl w:val="8000E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7"/>
  </w:num>
  <w:num w:numId="3">
    <w:abstractNumId w:val="6"/>
  </w:num>
  <w:num w:numId="4">
    <w:abstractNumId w:val="15"/>
  </w:num>
  <w:num w:numId="5">
    <w:abstractNumId w:val="2"/>
  </w:num>
  <w:num w:numId="6">
    <w:abstractNumId w:val="13"/>
  </w:num>
  <w:num w:numId="7">
    <w:abstractNumId w:val="4"/>
  </w:num>
  <w:num w:numId="8">
    <w:abstractNumId w:val="3"/>
  </w:num>
  <w:num w:numId="9">
    <w:abstractNumId w:val="1"/>
  </w:num>
  <w:num w:numId="10">
    <w:abstractNumId w:val="14"/>
  </w:num>
  <w:num w:numId="11">
    <w:abstractNumId w:val="8"/>
  </w:num>
  <w:num w:numId="12">
    <w:abstractNumId w:val="9"/>
  </w:num>
  <w:num w:numId="13">
    <w:abstractNumId w:val="16"/>
  </w:num>
  <w:num w:numId="14">
    <w:abstractNumId w:val="18"/>
  </w:num>
  <w:num w:numId="15">
    <w:abstractNumId w:val="5"/>
  </w:num>
  <w:num w:numId="16">
    <w:abstractNumId w:val="7"/>
  </w:num>
  <w:num w:numId="17">
    <w:abstractNumId w:val="0"/>
  </w:num>
  <w:num w:numId="18">
    <w:abstractNumId w:val="1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0E"/>
    <w:rsid w:val="000003BB"/>
    <w:rsid w:val="00004068"/>
    <w:rsid w:val="00010E86"/>
    <w:rsid w:val="000158F9"/>
    <w:rsid w:val="000239F7"/>
    <w:rsid w:val="00025B4C"/>
    <w:rsid w:val="00035CDD"/>
    <w:rsid w:val="000379B9"/>
    <w:rsid w:val="00040083"/>
    <w:rsid w:val="00047278"/>
    <w:rsid w:val="0004727D"/>
    <w:rsid w:val="00055992"/>
    <w:rsid w:val="00070115"/>
    <w:rsid w:val="000820E8"/>
    <w:rsid w:val="000851B2"/>
    <w:rsid w:val="000A1D3B"/>
    <w:rsid w:val="000C0AEC"/>
    <w:rsid w:val="000E20F8"/>
    <w:rsid w:val="000F029F"/>
    <w:rsid w:val="000F2296"/>
    <w:rsid w:val="000F5131"/>
    <w:rsid w:val="0010562A"/>
    <w:rsid w:val="00107062"/>
    <w:rsid w:val="001175EE"/>
    <w:rsid w:val="00130E50"/>
    <w:rsid w:val="00145D54"/>
    <w:rsid w:val="00157CF6"/>
    <w:rsid w:val="00160688"/>
    <w:rsid w:val="001746E9"/>
    <w:rsid w:val="00182416"/>
    <w:rsid w:val="00184356"/>
    <w:rsid w:val="00187EB4"/>
    <w:rsid w:val="00195C67"/>
    <w:rsid w:val="001A076C"/>
    <w:rsid w:val="001A43EB"/>
    <w:rsid w:val="001C6A51"/>
    <w:rsid w:val="001D66F5"/>
    <w:rsid w:val="001F0481"/>
    <w:rsid w:val="001F0B75"/>
    <w:rsid w:val="001F552A"/>
    <w:rsid w:val="0020451E"/>
    <w:rsid w:val="00206B9D"/>
    <w:rsid w:val="002160FE"/>
    <w:rsid w:val="00220005"/>
    <w:rsid w:val="0023259C"/>
    <w:rsid w:val="002407DA"/>
    <w:rsid w:val="0024221F"/>
    <w:rsid w:val="002474A6"/>
    <w:rsid w:val="002664E2"/>
    <w:rsid w:val="00273FA6"/>
    <w:rsid w:val="00282BCD"/>
    <w:rsid w:val="00292E59"/>
    <w:rsid w:val="002A0402"/>
    <w:rsid w:val="002A4A37"/>
    <w:rsid w:val="002B0BD7"/>
    <w:rsid w:val="002B573D"/>
    <w:rsid w:val="002C5CB2"/>
    <w:rsid w:val="002E1B08"/>
    <w:rsid w:val="002E3A6F"/>
    <w:rsid w:val="002E64AA"/>
    <w:rsid w:val="002F3E4E"/>
    <w:rsid w:val="002F5372"/>
    <w:rsid w:val="002F779F"/>
    <w:rsid w:val="00303241"/>
    <w:rsid w:val="0030769F"/>
    <w:rsid w:val="003171AA"/>
    <w:rsid w:val="003204E3"/>
    <w:rsid w:val="00322966"/>
    <w:rsid w:val="0032597D"/>
    <w:rsid w:val="003311A7"/>
    <w:rsid w:val="003314BD"/>
    <w:rsid w:val="00332EF8"/>
    <w:rsid w:val="00336A0E"/>
    <w:rsid w:val="00344064"/>
    <w:rsid w:val="0034619E"/>
    <w:rsid w:val="003565CD"/>
    <w:rsid w:val="00365C5D"/>
    <w:rsid w:val="00365F3E"/>
    <w:rsid w:val="00371885"/>
    <w:rsid w:val="00375195"/>
    <w:rsid w:val="00386EF3"/>
    <w:rsid w:val="00390D48"/>
    <w:rsid w:val="00395678"/>
    <w:rsid w:val="00396976"/>
    <w:rsid w:val="003A3A51"/>
    <w:rsid w:val="003B692C"/>
    <w:rsid w:val="003B7363"/>
    <w:rsid w:val="003C4353"/>
    <w:rsid w:val="003C7B16"/>
    <w:rsid w:val="003D2E40"/>
    <w:rsid w:val="003D532F"/>
    <w:rsid w:val="003E2B87"/>
    <w:rsid w:val="003E64D3"/>
    <w:rsid w:val="003F06FE"/>
    <w:rsid w:val="004016C8"/>
    <w:rsid w:val="00403EDC"/>
    <w:rsid w:val="004054A0"/>
    <w:rsid w:val="00405895"/>
    <w:rsid w:val="004058DF"/>
    <w:rsid w:val="0041438F"/>
    <w:rsid w:val="0042475E"/>
    <w:rsid w:val="0042570E"/>
    <w:rsid w:val="00453B28"/>
    <w:rsid w:val="00456365"/>
    <w:rsid w:val="00457FB3"/>
    <w:rsid w:val="00460D2C"/>
    <w:rsid w:val="0047763A"/>
    <w:rsid w:val="00486F1A"/>
    <w:rsid w:val="00490CB9"/>
    <w:rsid w:val="004936F0"/>
    <w:rsid w:val="004A2CE2"/>
    <w:rsid w:val="004B42A7"/>
    <w:rsid w:val="004D67BA"/>
    <w:rsid w:val="004E3CDA"/>
    <w:rsid w:val="004F2CC9"/>
    <w:rsid w:val="004F2CFD"/>
    <w:rsid w:val="004F42C1"/>
    <w:rsid w:val="004F4B4D"/>
    <w:rsid w:val="004F4B5D"/>
    <w:rsid w:val="0050216D"/>
    <w:rsid w:val="005023C5"/>
    <w:rsid w:val="00503D7E"/>
    <w:rsid w:val="0050778F"/>
    <w:rsid w:val="00517325"/>
    <w:rsid w:val="00522BE5"/>
    <w:rsid w:val="00523F79"/>
    <w:rsid w:val="005314CB"/>
    <w:rsid w:val="005352ED"/>
    <w:rsid w:val="00535F31"/>
    <w:rsid w:val="00560427"/>
    <w:rsid w:val="00566902"/>
    <w:rsid w:val="00574D64"/>
    <w:rsid w:val="00591365"/>
    <w:rsid w:val="00594227"/>
    <w:rsid w:val="005B31E4"/>
    <w:rsid w:val="005B74EE"/>
    <w:rsid w:val="005D773E"/>
    <w:rsid w:val="005F4033"/>
    <w:rsid w:val="006034F6"/>
    <w:rsid w:val="00607874"/>
    <w:rsid w:val="00607E77"/>
    <w:rsid w:val="00617BB3"/>
    <w:rsid w:val="00637FBC"/>
    <w:rsid w:val="00642BDC"/>
    <w:rsid w:val="00645CDD"/>
    <w:rsid w:val="00650520"/>
    <w:rsid w:val="00657A7A"/>
    <w:rsid w:val="006641B1"/>
    <w:rsid w:val="00671180"/>
    <w:rsid w:val="0067295C"/>
    <w:rsid w:val="00673857"/>
    <w:rsid w:val="00680E86"/>
    <w:rsid w:val="006823A7"/>
    <w:rsid w:val="00693B4D"/>
    <w:rsid w:val="006A0BEE"/>
    <w:rsid w:val="006B526D"/>
    <w:rsid w:val="006B779E"/>
    <w:rsid w:val="006D159B"/>
    <w:rsid w:val="006D3445"/>
    <w:rsid w:val="006D6824"/>
    <w:rsid w:val="006E2C74"/>
    <w:rsid w:val="0070347F"/>
    <w:rsid w:val="0070678E"/>
    <w:rsid w:val="007114A2"/>
    <w:rsid w:val="00713F21"/>
    <w:rsid w:val="00723145"/>
    <w:rsid w:val="00732349"/>
    <w:rsid w:val="0074293C"/>
    <w:rsid w:val="00745FB4"/>
    <w:rsid w:val="00791349"/>
    <w:rsid w:val="007940D1"/>
    <w:rsid w:val="007971ED"/>
    <w:rsid w:val="007A24E7"/>
    <w:rsid w:val="007A28F0"/>
    <w:rsid w:val="007A7879"/>
    <w:rsid w:val="007C4E7B"/>
    <w:rsid w:val="007D728D"/>
    <w:rsid w:val="007E5098"/>
    <w:rsid w:val="007E5C27"/>
    <w:rsid w:val="007F6296"/>
    <w:rsid w:val="008276BA"/>
    <w:rsid w:val="00831C11"/>
    <w:rsid w:val="0084722C"/>
    <w:rsid w:val="008478BD"/>
    <w:rsid w:val="00855609"/>
    <w:rsid w:val="008624CC"/>
    <w:rsid w:val="00866F15"/>
    <w:rsid w:val="008A35FC"/>
    <w:rsid w:val="008A60B4"/>
    <w:rsid w:val="008B3C31"/>
    <w:rsid w:val="008B64FE"/>
    <w:rsid w:val="008C4ED8"/>
    <w:rsid w:val="008E3B1F"/>
    <w:rsid w:val="008F123F"/>
    <w:rsid w:val="008F75FF"/>
    <w:rsid w:val="00903620"/>
    <w:rsid w:val="00915BD4"/>
    <w:rsid w:val="00927738"/>
    <w:rsid w:val="00935BF7"/>
    <w:rsid w:val="0095442C"/>
    <w:rsid w:val="00974CE0"/>
    <w:rsid w:val="00983942"/>
    <w:rsid w:val="009A5519"/>
    <w:rsid w:val="009A6FA7"/>
    <w:rsid w:val="009B2C37"/>
    <w:rsid w:val="009C10B7"/>
    <w:rsid w:val="009C37E0"/>
    <w:rsid w:val="009D006F"/>
    <w:rsid w:val="009F3EDD"/>
    <w:rsid w:val="00A13DAA"/>
    <w:rsid w:val="00A145B5"/>
    <w:rsid w:val="00A14B66"/>
    <w:rsid w:val="00A20A22"/>
    <w:rsid w:val="00A25F94"/>
    <w:rsid w:val="00A264B5"/>
    <w:rsid w:val="00A33588"/>
    <w:rsid w:val="00A47E2A"/>
    <w:rsid w:val="00A614A3"/>
    <w:rsid w:val="00A65CF7"/>
    <w:rsid w:val="00A815E9"/>
    <w:rsid w:val="00A851DA"/>
    <w:rsid w:val="00A945E3"/>
    <w:rsid w:val="00AA4157"/>
    <w:rsid w:val="00AC1945"/>
    <w:rsid w:val="00AC387F"/>
    <w:rsid w:val="00AC6896"/>
    <w:rsid w:val="00AC720A"/>
    <w:rsid w:val="00AC7D5B"/>
    <w:rsid w:val="00AD60D3"/>
    <w:rsid w:val="00AD69B9"/>
    <w:rsid w:val="00AE13CB"/>
    <w:rsid w:val="00AE1481"/>
    <w:rsid w:val="00AE22B9"/>
    <w:rsid w:val="00AE249D"/>
    <w:rsid w:val="00AE4004"/>
    <w:rsid w:val="00B01E82"/>
    <w:rsid w:val="00B0415E"/>
    <w:rsid w:val="00B04678"/>
    <w:rsid w:val="00B12B4B"/>
    <w:rsid w:val="00B20692"/>
    <w:rsid w:val="00B253ED"/>
    <w:rsid w:val="00B25A2F"/>
    <w:rsid w:val="00B40B3B"/>
    <w:rsid w:val="00B70912"/>
    <w:rsid w:val="00BA13F6"/>
    <w:rsid w:val="00BC4014"/>
    <w:rsid w:val="00BC46DF"/>
    <w:rsid w:val="00BC6279"/>
    <w:rsid w:val="00BD3895"/>
    <w:rsid w:val="00BD4901"/>
    <w:rsid w:val="00BE5868"/>
    <w:rsid w:val="00BE6984"/>
    <w:rsid w:val="00BE701C"/>
    <w:rsid w:val="00BF5ECF"/>
    <w:rsid w:val="00C03577"/>
    <w:rsid w:val="00C23CC6"/>
    <w:rsid w:val="00C53FFA"/>
    <w:rsid w:val="00C62BA5"/>
    <w:rsid w:val="00C65FEA"/>
    <w:rsid w:val="00C75627"/>
    <w:rsid w:val="00C86ADA"/>
    <w:rsid w:val="00C871FB"/>
    <w:rsid w:val="00C8789B"/>
    <w:rsid w:val="00CA0AC2"/>
    <w:rsid w:val="00CB4D0A"/>
    <w:rsid w:val="00CC2FB3"/>
    <w:rsid w:val="00CC575A"/>
    <w:rsid w:val="00CF25D4"/>
    <w:rsid w:val="00D039AC"/>
    <w:rsid w:val="00D35330"/>
    <w:rsid w:val="00D427DE"/>
    <w:rsid w:val="00D42889"/>
    <w:rsid w:val="00D44FC5"/>
    <w:rsid w:val="00D46232"/>
    <w:rsid w:val="00D47E74"/>
    <w:rsid w:val="00D5587D"/>
    <w:rsid w:val="00D621ED"/>
    <w:rsid w:val="00D66D58"/>
    <w:rsid w:val="00D707CC"/>
    <w:rsid w:val="00D71D5D"/>
    <w:rsid w:val="00D72C0D"/>
    <w:rsid w:val="00D75B24"/>
    <w:rsid w:val="00D821FE"/>
    <w:rsid w:val="00D824D3"/>
    <w:rsid w:val="00D97728"/>
    <w:rsid w:val="00DB0793"/>
    <w:rsid w:val="00DB283C"/>
    <w:rsid w:val="00DC793B"/>
    <w:rsid w:val="00DD10A7"/>
    <w:rsid w:val="00E00821"/>
    <w:rsid w:val="00E04DB4"/>
    <w:rsid w:val="00E17029"/>
    <w:rsid w:val="00E30679"/>
    <w:rsid w:val="00E4597D"/>
    <w:rsid w:val="00E4647A"/>
    <w:rsid w:val="00E46B7A"/>
    <w:rsid w:val="00E50807"/>
    <w:rsid w:val="00E534BF"/>
    <w:rsid w:val="00E54832"/>
    <w:rsid w:val="00E54EA4"/>
    <w:rsid w:val="00E56A90"/>
    <w:rsid w:val="00E641CC"/>
    <w:rsid w:val="00E7160C"/>
    <w:rsid w:val="00E80D2D"/>
    <w:rsid w:val="00E81FF6"/>
    <w:rsid w:val="00E83BB8"/>
    <w:rsid w:val="00E937AD"/>
    <w:rsid w:val="00E96CA2"/>
    <w:rsid w:val="00E975E7"/>
    <w:rsid w:val="00EA30AB"/>
    <w:rsid w:val="00EB3925"/>
    <w:rsid w:val="00EB39E7"/>
    <w:rsid w:val="00EC3322"/>
    <w:rsid w:val="00ED44B3"/>
    <w:rsid w:val="00EE1882"/>
    <w:rsid w:val="00EE3BC3"/>
    <w:rsid w:val="00EF2285"/>
    <w:rsid w:val="00EF7AFF"/>
    <w:rsid w:val="00F075C7"/>
    <w:rsid w:val="00F14FCF"/>
    <w:rsid w:val="00F43473"/>
    <w:rsid w:val="00F47D85"/>
    <w:rsid w:val="00F640D8"/>
    <w:rsid w:val="00F95237"/>
    <w:rsid w:val="00FB03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679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B823-E59C-45BC-B104-11C795FB3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cp:lastModifiedBy>
  <cp:revision>9</cp:revision>
  <dcterms:created xsi:type="dcterms:W3CDTF">2016-08-15T18:17:00Z</dcterms:created>
  <dcterms:modified xsi:type="dcterms:W3CDTF">2016-08-15T19:10:00Z</dcterms:modified>
</cp:coreProperties>
</file>