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50D55"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4445"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ellenraster"/>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64429">
            <w:pPr>
              <w:pStyle w:val="Default"/>
              <w:rPr>
                <w:rFonts w:asciiTheme="minorHAnsi" w:hAnsiTheme="minorHAnsi"/>
              </w:rPr>
            </w:pPr>
            <w:r>
              <w:rPr>
                <w:rFonts w:asciiTheme="minorHAnsi" w:hAnsiTheme="minorHAnsi"/>
              </w:rPr>
              <w:t>Altijana Hromic</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64429">
            <w:pPr>
              <w:pStyle w:val="Default"/>
              <w:rPr>
                <w:rFonts w:asciiTheme="minorHAnsi" w:hAnsiTheme="minorHAnsi"/>
              </w:rPr>
            </w:pPr>
            <w:r>
              <w:rPr>
                <w:rFonts w:asciiTheme="minorHAnsi" w:hAnsiTheme="minorHAnsi"/>
              </w:rPr>
              <w:t>3773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64429">
            <w:pPr>
              <w:pStyle w:val="Default"/>
              <w:rPr>
                <w:rFonts w:asciiTheme="minorHAnsi" w:hAnsiTheme="minorHAnsi"/>
              </w:rPr>
            </w:pPr>
            <w:r w:rsidRPr="00364429">
              <w:rPr>
                <w:rFonts w:asciiTheme="minorHAnsi" w:hAnsiTheme="minorHAnsi"/>
              </w:rP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74660">
            <w:r>
              <w:t>10</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ellenraster"/>
        <w:tblW w:w="0" w:type="auto"/>
        <w:tblLook w:val="04A0" w:firstRow="1" w:lastRow="0" w:firstColumn="1" w:lastColumn="0" w:noHBand="0" w:noVBand="1"/>
      </w:tblPr>
      <w:tblGrid>
        <w:gridCol w:w="9242"/>
      </w:tblGrid>
      <w:tr w:rsidR="00CC2FB3" w:rsidTr="00CC2FB3">
        <w:tc>
          <w:tcPr>
            <w:tcW w:w="9242" w:type="dxa"/>
          </w:tcPr>
          <w:p w:rsidR="00985DCC" w:rsidRDefault="00774660" w:rsidP="00985DCC">
            <w:pPr>
              <w:spacing w:line="360" w:lineRule="auto"/>
              <w:jc w:val="both"/>
              <w:rPr>
                <w:rFonts w:ascii="Arial" w:hAnsi="Arial" w:cs="Arial"/>
                <w:sz w:val="24"/>
                <w:szCs w:val="24"/>
              </w:rPr>
            </w:pPr>
            <w:r>
              <w:rPr>
                <w:rFonts w:ascii="Arial" w:hAnsi="Arial" w:cs="Arial"/>
                <w:sz w:val="24"/>
                <w:szCs w:val="24"/>
              </w:rPr>
              <w:t>Answers:</w:t>
            </w:r>
          </w:p>
          <w:p w:rsidR="00774660" w:rsidRDefault="00774660" w:rsidP="00985DCC">
            <w:pPr>
              <w:spacing w:line="360" w:lineRule="auto"/>
              <w:jc w:val="both"/>
              <w:rPr>
                <w:rFonts w:ascii="Arial" w:hAnsi="Arial" w:cs="Arial"/>
                <w:sz w:val="24"/>
                <w:szCs w:val="24"/>
              </w:rPr>
            </w:pPr>
          </w:p>
          <w:p w:rsidR="00774660" w:rsidRPr="00774660" w:rsidRDefault="00774660" w:rsidP="00774660">
            <w:pPr>
              <w:spacing w:line="360" w:lineRule="auto"/>
              <w:jc w:val="both"/>
              <w:rPr>
                <w:rFonts w:ascii="Arial" w:hAnsi="Arial" w:cs="Arial"/>
                <w:sz w:val="24"/>
                <w:szCs w:val="24"/>
              </w:rPr>
            </w:pPr>
            <w:r w:rsidRPr="00774660">
              <w:rPr>
                <w:rFonts w:ascii="Arial" w:hAnsi="Arial" w:cs="Arial"/>
                <w:sz w:val="24"/>
                <w:szCs w:val="24"/>
              </w:rPr>
              <w:t>1i. The knowledge areas of project procurement management are the processes involved in purchasing goods or services from external vendors, contractors and suppliers.</w:t>
            </w:r>
          </w:p>
          <w:p w:rsidR="00774660" w:rsidRPr="00774660" w:rsidRDefault="00774660" w:rsidP="00774660">
            <w:pPr>
              <w:spacing w:line="360" w:lineRule="auto"/>
              <w:jc w:val="both"/>
              <w:rPr>
                <w:rFonts w:ascii="Arial" w:hAnsi="Arial" w:cs="Arial"/>
                <w:sz w:val="24"/>
                <w:szCs w:val="24"/>
              </w:rPr>
            </w:pPr>
            <w:r w:rsidRPr="00774660">
              <w:rPr>
                <w:rFonts w:ascii="Arial" w:hAnsi="Arial" w:cs="Arial"/>
                <w:sz w:val="24"/>
                <w:szCs w:val="24"/>
              </w:rPr>
              <w:t>1ii. Four major elements of procurement planning are: whether or not procurement is needed, how much to procure, when to procure and what to procure.</w:t>
            </w:r>
          </w:p>
          <w:p w:rsidR="00774660" w:rsidRPr="00774660" w:rsidRDefault="00774660" w:rsidP="00774660">
            <w:pPr>
              <w:spacing w:line="360" w:lineRule="auto"/>
              <w:jc w:val="both"/>
              <w:rPr>
                <w:rFonts w:ascii="Arial" w:hAnsi="Arial" w:cs="Arial"/>
                <w:sz w:val="24"/>
                <w:szCs w:val="24"/>
              </w:rPr>
            </w:pPr>
            <w:r w:rsidRPr="00774660">
              <w:rPr>
                <w:rFonts w:ascii="Arial" w:hAnsi="Arial" w:cs="Arial"/>
                <w:sz w:val="24"/>
                <w:szCs w:val="24"/>
              </w:rPr>
              <w:t>1iii. Part of procurement management is to determine what sources are available to provide the needed services or products for the project. Determining what products are available they request an evaluation of the marketplace. There are three specific terms to be aware of:</w:t>
            </w:r>
          </w:p>
          <w:p w:rsidR="00774660" w:rsidRPr="00774660" w:rsidRDefault="00774660" w:rsidP="00774660">
            <w:pPr>
              <w:spacing w:line="360" w:lineRule="auto"/>
              <w:jc w:val="both"/>
              <w:rPr>
                <w:rFonts w:ascii="Arial" w:hAnsi="Arial" w:cs="Arial"/>
                <w:sz w:val="24"/>
                <w:szCs w:val="24"/>
              </w:rPr>
            </w:pPr>
            <w:r w:rsidRPr="00774660">
              <w:rPr>
                <w:rFonts w:ascii="Arial" w:hAnsi="Arial" w:cs="Arial"/>
                <w:sz w:val="24"/>
                <w:szCs w:val="24"/>
              </w:rPr>
              <w:t>-Sole source-only one qualified seller exists in the marketplace</w:t>
            </w:r>
          </w:p>
          <w:p w:rsidR="00774660" w:rsidRPr="00774660" w:rsidRDefault="00774660" w:rsidP="00774660">
            <w:pPr>
              <w:spacing w:line="360" w:lineRule="auto"/>
              <w:jc w:val="both"/>
              <w:rPr>
                <w:rFonts w:ascii="Arial" w:hAnsi="Arial" w:cs="Arial"/>
                <w:sz w:val="24"/>
                <w:szCs w:val="24"/>
              </w:rPr>
            </w:pPr>
            <w:r w:rsidRPr="00774660">
              <w:rPr>
                <w:rFonts w:ascii="Arial" w:hAnsi="Arial" w:cs="Arial"/>
                <w:sz w:val="24"/>
                <w:szCs w:val="24"/>
              </w:rPr>
              <w:t>-Single source-the performing organization prefers to contract with a specific seller</w:t>
            </w:r>
          </w:p>
          <w:p w:rsidR="00774660" w:rsidRPr="00774660" w:rsidRDefault="00774660" w:rsidP="00774660">
            <w:pPr>
              <w:spacing w:line="360" w:lineRule="auto"/>
              <w:jc w:val="both"/>
              <w:rPr>
                <w:rFonts w:ascii="Arial" w:hAnsi="Arial" w:cs="Arial"/>
                <w:sz w:val="24"/>
                <w:szCs w:val="24"/>
              </w:rPr>
            </w:pPr>
            <w:r w:rsidRPr="00774660">
              <w:rPr>
                <w:rFonts w:ascii="Arial" w:hAnsi="Arial" w:cs="Arial"/>
                <w:sz w:val="24"/>
                <w:szCs w:val="24"/>
              </w:rPr>
              <w:t>-Oligopoly-Very few sellers and the actions of one seller will have a direct effect on the other seller`s prices and overall market condition.</w:t>
            </w:r>
          </w:p>
          <w:p w:rsidR="00774660" w:rsidRPr="00774660" w:rsidRDefault="00774660" w:rsidP="00774660">
            <w:pPr>
              <w:spacing w:line="360" w:lineRule="auto"/>
              <w:jc w:val="both"/>
              <w:rPr>
                <w:rFonts w:ascii="Arial" w:hAnsi="Arial" w:cs="Arial"/>
                <w:sz w:val="24"/>
                <w:szCs w:val="24"/>
              </w:rPr>
            </w:pPr>
            <w:r w:rsidRPr="00774660">
              <w:rPr>
                <w:rFonts w:ascii="Arial" w:hAnsi="Arial" w:cs="Arial"/>
                <w:sz w:val="24"/>
                <w:szCs w:val="24"/>
              </w:rPr>
              <w:t xml:space="preserve">1iv. A major aspect of management is to decide on whether to make or buy a </w:t>
            </w:r>
            <w:r w:rsidRPr="00774660">
              <w:rPr>
                <w:rFonts w:ascii="Arial" w:hAnsi="Arial" w:cs="Arial"/>
                <w:sz w:val="24"/>
                <w:szCs w:val="24"/>
              </w:rPr>
              <w:lastRenderedPageBreak/>
              <w:t>product. Sometimes it is more cost-effective to buy, but sometimes it makes more sense to create an in-house solution. The make-or-buy analysis should be undertaken in the initial scope definition. This determines whether the whole project should be completed via procurement or in-house. Of course, additional make-or-buy decisions are needed as the project evolves.</w:t>
            </w:r>
          </w:p>
          <w:p w:rsidR="00774660" w:rsidRPr="00774660" w:rsidRDefault="00774660" w:rsidP="00774660">
            <w:pPr>
              <w:spacing w:line="360" w:lineRule="auto"/>
              <w:jc w:val="both"/>
              <w:rPr>
                <w:rFonts w:ascii="Arial" w:hAnsi="Arial" w:cs="Arial"/>
                <w:sz w:val="24"/>
                <w:szCs w:val="24"/>
              </w:rPr>
            </w:pPr>
            <w:r w:rsidRPr="00774660">
              <w:rPr>
                <w:rFonts w:ascii="Arial" w:hAnsi="Arial" w:cs="Arial"/>
                <w:sz w:val="24"/>
                <w:szCs w:val="24"/>
              </w:rPr>
              <w:t>1v. Cost-reimbursable contracts are those where you pay seller for the product. In the payment there is a profit margin also known as the difference between the actual costs of the product and the sales amount.  The actual costs fall in two groups:</w:t>
            </w:r>
          </w:p>
          <w:p w:rsidR="00774660" w:rsidRPr="00774660" w:rsidRDefault="00774660" w:rsidP="00774660">
            <w:pPr>
              <w:spacing w:line="360" w:lineRule="auto"/>
              <w:jc w:val="both"/>
              <w:rPr>
                <w:rFonts w:ascii="Arial" w:hAnsi="Arial" w:cs="Arial"/>
                <w:sz w:val="24"/>
                <w:szCs w:val="24"/>
              </w:rPr>
            </w:pPr>
            <w:r w:rsidRPr="00774660">
              <w:rPr>
                <w:rFonts w:ascii="Arial" w:hAnsi="Arial" w:cs="Arial"/>
                <w:sz w:val="24"/>
                <w:szCs w:val="24"/>
              </w:rPr>
              <w:t>-Direct costs-those are included by the project in order for the project to exist (salaries of the project team, equipment, other expenses that are involved directly to the project`s existence)</w:t>
            </w:r>
          </w:p>
          <w:p w:rsidR="00774660" w:rsidRPr="00774660" w:rsidRDefault="00774660" w:rsidP="00774660">
            <w:pPr>
              <w:spacing w:line="360" w:lineRule="auto"/>
              <w:jc w:val="both"/>
              <w:rPr>
                <w:rFonts w:ascii="Arial" w:hAnsi="Arial" w:cs="Arial"/>
                <w:sz w:val="24"/>
                <w:szCs w:val="24"/>
              </w:rPr>
            </w:pPr>
            <w:r w:rsidRPr="00774660">
              <w:rPr>
                <w:rFonts w:ascii="Arial" w:hAnsi="Arial" w:cs="Arial"/>
                <w:sz w:val="24"/>
                <w:szCs w:val="24"/>
              </w:rPr>
              <w:t>-Indirect costs-those attributed to the cost of doing business (utilities, office space and other overhead costs).</w:t>
            </w:r>
          </w:p>
          <w:p w:rsidR="00774660" w:rsidRPr="00774660" w:rsidRDefault="00774660" w:rsidP="00774660">
            <w:pPr>
              <w:spacing w:line="360" w:lineRule="auto"/>
              <w:jc w:val="both"/>
              <w:rPr>
                <w:rFonts w:ascii="Arial" w:hAnsi="Arial" w:cs="Arial"/>
                <w:sz w:val="24"/>
                <w:szCs w:val="24"/>
              </w:rPr>
            </w:pPr>
            <w:r w:rsidRPr="00774660">
              <w:rPr>
                <w:rFonts w:ascii="Arial" w:hAnsi="Arial" w:cs="Arial"/>
                <w:sz w:val="24"/>
                <w:szCs w:val="24"/>
              </w:rPr>
              <w:t>There are three arts of cost-reimbursable contracts: cost plus incentive fee, cost plus fixed fee and cost plus percentage of costs.</w:t>
            </w:r>
          </w:p>
          <w:p w:rsidR="00774660" w:rsidRPr="00774660" w:rsidRDefault="00774660" w:rsidP="00774660">
            <w:pPr>
              <w:spacing w:line="360" w:lineRule="auto"/>
              <w:jc w:val="both"/>
              <w:rPr>
                <w:rFonts w:ascii="Arial" w:hAnsi="Arial" w:cs="Arial"/>
                <w:sz w:val="24"/>
                <w:szCs w:val="24"/>
              </w:rPr>
            </w:pPr>
            <w:r w:rsidRPr="00774660">
              <w:rPr>
                <w:rFonts w:ascii="Arial" w:hAnsi="Arial" w:cs="Arial"/>
                <w:sz w:val="24"/>
                <w:szCs w:val="24"/>
              </w:rPr>
              <w:t xml:space="preserve">1vi. Procurement management plan specifies how the remaining procurement activities will be managed. The plan has following </w:t>
            </w:r>
            <w:r w:rsidRPr="00774660">
              <w:rPr>
                <w:rFonts w:ascii="Arial" w:hAnsi="Arial" w:cs="Arial"/>
                <w:sz w:val="24"/>
                <w:szCs w:val="24"/>
              </w:rPr>
              <w:t>information</w:t>
            </w:r>
            <w:r w:rsidRPr="00774660">
              <w:rPr>
                <w:rFonts w:ascii="Arial" w:hAnsi="Arial" w:cs="Arial"/>
                <w:sz w:val="24"/>
                <w:szCs w:val="24"/>
              </w:rPr>
              <w:t>:</w:t>
            </w:r>
          </w:p>
          <w:p w:rsidR="00774660" w:rsidRPr="00774660" w:rsidRDefault="00774660" w:rsidP="00774660">
            <w:pPr>
              <w:spacing w:line="360" w:lineRule="auto"/>
              <w:jc w:val="both"/>
              <w:rPr>
                <w:rFonts w:ascii="Arial" w:hAnsi="Arial" w:cs="Arial"/>
                <w:sz w:val="24"/>
                <w:szCs w:val="24"/>
              </w:rPr>
            </w:pPr>
            <w:r w:rsidRPr="00774660">
              <w:rPr>
                <w:rFonts w:ascii="Arial" w:hAnsi="Arial" w:cs="Arial"/>
                <w:sz w:val="24"/>
                <w:szCs w:val="24"/>
              </w:rPr>
              <w:t>-how vendors will be selected</w:t>
            </w:r>
          </w:p>
          <w:p w:rsidR="00774660" w:rsidRPr="00774660" w:rsidRDefault="00774660" w:rsidP="00774660">
            <w:pPr>
              <w:spacing w:line="360" w:lineRule="auto"/>
              <w:jc w:val="both"/>
              <w:rPr>
                <w:rFonts w:ascii="Arial" w:hAnsi="Arial" w:cs="Arial"/>
                <w:sz w:val="24"/>
                <w:szCs w:val="24"/>
              </w:rPr>
            </w:pPr>
            <w:r w:rsidRPr="00774660">
              <w:rPr>
                <w:rFonts w:ascii="Arial" w:hAnsi="Arial" w:cs="Arial"/>
                <w:sz w:val="24"/>
                <w:szCs w:val="24"/>
              </w:rPr>
              <w:t>-the process of independent estimating</w:t>
            </w:r>
          </w:p>
          <w:p w:rsidR="00774660" w:rsidRPr="00774660" w:rsidRDefault="00774660" w:rsidP="00774660">
            <w:pPr>
              <w:spacing w:line="360" w:lineRule="auto"/>
              <w:jc w:val="both"/>
              <w:rPr>
                <w:rFonts w:ascii="Arial" w:hAnsi="Arial" w:cs="Arial"/>
                <w:sz w:val="24"/>
                <w:szCs w:val="24"/>
              </w:rPr>
            </w:pPr>
            <w:r w:rsidRPr="00774660">
              <w:rPr>
                <w:rFonts w:ascii="Arial" w:hAnsi="Arial" w:cs="Arial"/>
                <w:sz w:val="24"/>
                <w:szCs w:val="24"/>
              </w:rPr>
              <w:t>-the linkage between the project team and the procurement office within the performing organization</w:t>
            </w:r>
          </w:p>
          <w:p w:rsidR="00774660" w:rsidRPr="00774660" w:rsidRDefault="00774660" w:rsidP="00774660">
            <w:pPr>
              <w:spacing w:line="360" w:lineRule="auto"/>
              <w:jc w:val="both"/>
              <w:rPr>
                <w:rFonts w:ascii="Arial" w:hAnsi="Arial" w:cs="Arial"/>
                <w:sz w:val="24"/>
                <w:szCs w:val="24"/>
              </w:rPr>
            </w:pPr>
            <w:r w:rsidRPr="00774660">
              <w:rPr>
                <w:rFonts w:ascii="Arial" w:hAnsi="Arial" w:cs="Arial"/>
                <w:sz w:val="24"/>
                <w:szCs w:val="24"/>
              </w:rPr>
              <w:t>-the type of contracts</w:t>
            </w:r>
          </w:p>
          <w:p w:rsidR="00774660" w:rsidRPr="00774660" w:rsidRDefault="00774660" w:rsidP="00774660">
            <w:pPr>
              <w:spacing w:line="360" w:lineRule="auto"/>
              <w:jc w:val="both"/>
              <w:rPr>
                <w:rFonts w:ascii="Arial" w:hAnsi="Arial" w:cs="Arial"/>
                <w:sz w:val="24"/>
                <w:szCs w:val="24"/>
              </w:rPr>
            </w:pPr>
            <w:r w:rsidRPr="00774660">
              <w:rPr>
                <w:rFonts w:ascii="Arial" w:hAnsi="Arial" w:cs="Arial"/>
                <w:sz w:val="24"/>
                <w:szCs w:val="24"/>
              </w:rPr>
              <w:t>-the coordination between sellers and the project team and among project activities, project reporting, scheduling, business operations and other project concerns</w:t>
            </w:r>
          </w:p>
          <w:p w:rsidR="00774660" w:rsidRPr="00774660" w:rsidRDefault="00774660" w:rsidP="00774660">
            <w:pPr>
              <w:spacing w:line="360" w:lineRule="auto"/>
              <w:jc w:val="both"/>
              <w:rPr>
                <w:rFonts w:ascii="Arial" w:hAnsi="Arial" w:cs="Arial"/>
                <w:sz w:val="24"/>
                <w:szCs w:val="24"/>
              </w:rPr>
            </w:pPr>
            <w:r w:rsidRPr="00774660">
              <w:rPr>
                <w:rFonts w:ascii="Arial" w:hAnsi="Arial" w:cs="Arial"/>
                <w:sz w:val="24"/>
                <w:szCs w:val="24"/>
              </w:rPr>
              <w:t>-the procurement forms like contracts that project team is required to use</w:t>
            </w:r>
          </w:p>
          <w:p w:rsidR="00774660" w:rsidRPr="00774660" w:rsidRDefault="00774660" w:rsidP="00774660">
            <w:pPr>
              <w:spacing w:line="360" w:lineRule="auto"/>
              <w:jc w:val="both"/>
              <w:rPr>
                <w:rFonts w:ascii="Arial" w:hAnsi="Arial" w:cs="Arial"/>
                <w:sz w:val="24"/>
                <w:szCs w:val="24"/>
              </w:rPr>
            </w:pPr>
            <w:r w:rsidRPr="00774660">
              <w:rPr>
                <w:rFonts w:ascii="Arial" w:hAnsi="Arial" w:cs="Arial"/>
                <w:sz w:val="24"/>
                <w:szCs w:val="24"/>
              </w:rPr>
              <w:t>-how multiple vendors will be managed to supply their contracted products</w:t>
            </w:r>
          </w:p>
          <w:p w:rsidR="00774660" w:rsidRPr="00774660" w:rsidRDefault="00774660" w:rsidP="00774660">
            <w:pPr>
              <w:spacing w:line="360" w:lineRule="auto"/>
              <w:jc w:val="both"/>
              <w:rPr>
                <w:rFonts w:ascii="Arial" w:hAnsi="Arial" w:cs="Arial"/>
                <w:sz w:val="24"/>
                <w:szCs w:val="24"/>
              </w:rPr>
            </w:pPr>
            <w:r w:rsidRPr="00774660">
              <w:rPr>
                <w:rFonts w:ascii="Arial" w:hAnsi="Arial" w:cs="Arial"/>
                <w:sz w:val="24"/>
                <w:szCs w:val="24"/>
              </w:rPr>
              <w:t>1vii. Solicitation planning is the process of preparing to solicit sellers to provide products required by the project. There are three inputs to this art of planning:</w:t>
            </w:r>
          </w:p>
          <w:p w:rsidR="00774660" w:rsidRPr="00774660" w:rsidRDefault="00774660" w:rsidP="00774660">
            <w:pPr>
              <w:spacing w:line="360" w:lineRule="auto"/>
              <w:jc w:val="both"/>
              <w:rPr>
                <w:rFonts w:ascii="Arial" w:hAnsi="Arial" w:cs="Arial"/>
                <w:sz w:val="24"/>
                <w:szCs w:val="24"/>
              </w:rPr>
            </w:pPr>
            <w:r w:rsidRPr="00774660">
              <w:rPr>
                <w:rFonts w:ascii="Arial" w:hAnsi="Arial" w:cs="Arial"/>
                <w:sz w:val="24"/>
                <w:szCs w:val="24"/>
              </w:rPr>
              <w:t>-Procurement management plan-which sets out the methods and expectations of procurement within the performing organization</w:t>
            </w:r>
          </w:p>
          <w:p w:rsidR="00774660" w:rsidRPr="00774660" w:rsidRDefault="00774660" w:rsidP="00774660">
            <w:pPr>
              <w:spacing w:line="360" w:lineRule="auto"/>
              <w:jc w:val="both"/>
              <w:rPr>
                <w:rFonts w:ascii="Arial" w:hAnsi="Arial" w:cs="Arial"/>
                <w:sz w:val="24"/>
                <w:szCs w:val="24"/>
              </w:rPr>
            </w:pPr>
            <w:r w:rsidRPr="00774660">
              <w:rPr>
                <w:rFonts w:ascii="Arial" w:hAnsi="Arial" w:cs="Arial"/>
                <w:sz w:val="24"/>
                <w:szCs w:val="24"/>
              </w:rPr>
              <w:t xml:space="preserve">-Statement of work (SOW)-which provides detailed information on what the seller will </w:t>
            </w:r>
            <w:r w:rsidRPr="00774660">
              <w:rPr>
                <w:rFonts w:ascii="Arial" w:hAnsi="Arial" w:cs="Arial"/>
                <w:sz w:val="24"/>
                <w:szCs w:val="24"/>
              </w:rPr>
              <w:lastRenderedPageBreak/>
              <w:t>be providing for the performing organization</w:t>
            </w:r>
          </w:p>
          <w:p w:rsidR="00774660" w:rsidRDefault="00774660" w:rsidP="00774660">
            <w:pPr>
              <w:spacing w:line="360" w:lineRule="auto"/>
              <w:jc w:val="both"/>
              <w:rPr>
                <w:rFonts w:ascii="Arial" w:hAnsi="Arial" w:cs="Arial"/>
                <w:sz w:val="24"/>
                <w:szCs w:val="24"/>
              </w:rPr>
            </w:pPr>
            <w:r w:rsidRPr="00774660">
              <w:rPr>
                <w:rFonts w:ascii="Arial" w:hAnsi="Arial" w:cs="Arial"/>
                <w:sz w:val="24"/>
                <w:szCs w:val="24"/>
              </w:rPr>
              <w:t>-Other planning outputs-that can have influence on the solicitation process (schedules, estimates, constraints and assumptions).</w:t>
            </w:r>
          </w:p>
          <w:p w:rsidR="00774660" w:rsidRPr="00774660" w:rsidRDefault="00774660" w:rsidP="00774660">
            <w:pPr>
              <w:spacing w:line="360" w:lineRule="auto"/>
              <w:jc w:val="both"/>
              <w:rPr>
                <w:rFonts w:ascii="Arial" w:hAnsi="Arial" w:cs="Arial"/>
                <w:sz w:val="24"/>
                <w:szCs w:val="24"/>
              </w:rPr>
            </w:pPr>
          </w:p>
          <w:p w:rsidR="00774660" w:rsidRPr="00774660" w:rsidRDefault="00774660" w:rsidP="00774660">
            <w:pPr>
              <w:spacing w:line="360" w:lineRule="auto"/>
              <w:jc w:val="both"/>
              <w:rPr>
                <w:rFonts w:ascii="Arial" w:hAnsi="Arial" w:cs="Arial"/>
                <w:sz w:val="24"/>
                <w:szCs w:val="24"/>
              </w:rPr>
            </w:pPr>
            <w:r w:rsidRPr="00774660">
              <w:rPr>
                <w:rFonts w:ascii="Arial" w:hAnsi="Arial" w:cs="Arial"/>
                <w:sz w:val="24"/>
                <w:szCs w:val="24"/>
              </w:rPr>
              <w:t>2. Contract administration is the process of ensuring that the seller lives up to the agreements made in the contract. There must be the terms of payment within the contract and the project manager must track quality and performance to approve or decline payment as required. The obligations of both parties should be in alignment with the contract. If this is not the case, disagreements or delays may ensure. There are other inputs to contract administration other than the contract. Those are:</w:t>
            </w:r>
          </w:p>
          <w:p w:rsidR="00774660" w:rsidRPr="00774660" w:rsidRDefault="00774660" w:rsidP="00774660">
            <w:pPr>
              <w:spacing w:line="360" w:lineRule="auto"/>
              <w:jc w:val="both"/>
              <w:rPr>
                <w:rFonts w:ascii="Arial" w:hAnsi="Arial" w:cs="Arial"/>
                <w:sz w:val="24"/>
                <w:szCs w:val="24"/>
              </w:rPr>
            </w:pPr>
            <w:r w:rsidRPr="00774660">
              <w:rPr>
                <w:rFonts w:ascii="Arial" w:hAnsi="Arial" w:cs="Arial"/>
                <w:sz w:val="24"/>
                <w:szCs w:val="24"/>
              </w:rPr>
              <w:t>-Work results-they must be completed according to the requirements of the contract. This is part of project plan execution.</w:t>
            </w:r>
          </w:p>
          <w:p w:rsidR="00774660" w:rsidRPr="00774660" w:rsidRDefault="00774660" w:rsidP="00774660">
            <w:pPr>
              <w:spacing w:line="360" w:lineRule="auto"/>
              <w:jc w:val="both"/>
              <w:rPr>
                <w:rFonts w:ascii="Arial" w:hAnsi="Arial" w:cs="Arial"/>
                <w:sz w:val="24"/>
                <w:szCs w:val="24"/>
              </w:rPr>
            </w:pPr>
            <w:r w:rsidRPr="00774660">
              <w:rPr>
                <w:rFonts w:ascii="Arial" w:hAnsi="Arial" w:cs="Arial"/>
                <w:sz w:val="24"/>
                <w:szCs w:val="24"/>
              </w:rPr>
              <w:t xml:space="preserve">-Seller invoices-the terms for payment may stipulate under what conditions the seller will provide an invoice for the work completed. </w:t>
            </w:r>
          </w:p>
          <w:p w:rsidR="00774660" w:rsidRPr="00774660" w:rsidRDefault="00774660" w:rsidP="00774660">
            <w:pPr>
              <w:spacing w:line="360" w:lineRule="auto"/>
              <w:jc w:val="both"/>
              <w:rPr>
                <w:rFonts w:ascii="Arial" w:hAnsi="Arial" w:cs="Arial"/>
                <w:sz w:val="24"/>
                <w:szCs w:val="24"/>
              </w:rPr>
            </w:pPr>
            <w:r w:rsidRPr="00774660">
              <w:rPr>
                <w:rFonts w:ascii="Arial" w:hAnsi="Arial" w:cs="Arial"/>
                <w:sz w:val="24"/>
                <w:szCs w:val="24"/>
              </w:rPr>
              <w:t>-On the job-in case that seller`s performance is unacceptable, the performing organization my choose to cancel the contract.</w:t>
            </w:r>
          </w:p>
          <w:p w:rsidR="00774660" w:rsidRPr="00774660" w:rsidRDefault="00774660" w:rsidP="00774660">
            <w:pPr>
              <w:spacing w:line="360" w:lineRule="auto"/>
              <w:jc w:val="both"/>
              <w:rPr>
                <w:rFonts w:ascii="Arial" w:hAnsi="Arial" w:cs="Arial"/>
                <w:sz w:val="24"/>
                <w:szCs w:val="24"/>
              </w:rPr>
            </w:pPr>
            <w:r w:rsidRPr="00774660">
              <w:rPr>
                <w:rFonts w:ascii="Arial" w:hAnsi="Arial" w:cs="Arial"/>
                <w:sz w:val="24"/>
                <w:szCs w:val="24"/>
              </w:rPr>
              <w:t xml:space="preserve">-Change request-Changes to the project that affect the contracted work require changes to the contract where the seller and buyer may disagree about the cost of the changes in some cases. </w:t>
            </w:r>
          </w:p>
          <w:p w:rsidR="00774660" w:rsidRPr="00774660" w:rsidRDefault="00774660" w:rsidP="00774660">
            <w:pPr>
              <w:spacing w:line="360" w:lineRule="auto"/>
              <w:jc w:val="both"/>
              <w:rPr>
                <w:rFonts w:ascii="Arial" w:hAnsi="Arial" w:cs="Arial"/>
                <w:sz w:val="24"/>
                <w:szCs w:val="24"/>
              </w:rPr>
            </w:pPr>
            <w:r w:rsidRPr="00774660">
              <w:rPr>
                <w:rFonts w:ascii="Arial" w:hAnsi="Arial" w:cs="Arial"/>
                <w:sz w:val="24"/>
                <w:szCs w:val="24"/>
              </w:rPr>
              <w:t xml:space="preserve">-Completing contract administration-relies on communication between project manager, the seller and the contract officer. </w:t>
            </w:r>
          </w:p>
          <w:p w:rsidR="00774660" w:rsidRPr="00774660" w:rsidRDefault="00774660" w:rsidP="00774660">
            <w:pPr>
              <w:spacing w:line="360" w:lineRule="auto"/>
              <w:jc w:val="both"/>
              <w:rPr>
                <w:rFonts w:ascii="Arial" w:hAnsi="Arial" w:cs="Arial"/>
                <w:sz w:val="24"/>
                <w:szCs w:val="24"/>
              </w:rPr>
            </w:pPr>
            <w:r w:rsidRPr="00774660">
              <w:rPr>
                <w:rFonts w:ascii="Arial" w:hAnsi="Arial" w:cs="Arial"/>
                <w:sz w:val="24"/>
                <w:szCs w:val="24"/>
              </w:rPr>
              <w:t>-Payment system- the method of payment is controlled by the payment system. This includes interaction between the project manager and the accounts payable department. On bigger projects, the project manager team may have specific procedures for submitting the payment requests.</w:t>
            </w:r>
          </w:p>
          <w:p w:rsidR="00774660" w:rsidRPr="00774660" w:rsidRDefault="00774660" w:rsidP="00774660">
            <w:pPr>
              <w:spacing w:line="360" w:lineRule="auto"/>
              <w:jc w:val="both"/>
              <w:rPr>
                <w:rFonts w:ascii="Arial" w:hAnsi="Arial" w:cs="Arial"/>
                <w:sz w:val="24"/>
                <w:szCs w:val="24"/>
              </w:rPr>
            </w:pPr>
            <w:r w:rsidRPr="00774660">
              <w:rPr>
                <w:rFonts w:ascii="Arial" w:hAnsi="Arial" w:cs="Arial"/>
                <w:sz w:val="24"/>
                <w:szCs w:val="24"/>
              </w:rPr>
              <w:t>-Contract change control system-where procedures for changing the contract are defined. The process for changing the contract includes the forms, tracking, conditions in the project, business etc. he system is part of integrated change control.</w:t>
            </w:r>
          </w:p>
          <w:p w:rsidR="00774660" w:rsidRPr="00774660" w:rsidRDefault="00774660" w:rsidP="00774660">
            <w:pPr>
              <w:spacing w:line="360" w:lineRule="auto"/>
              <w:jc w:val="both"/>
              <w:rPr>
                <w:rFonts w:ascii="Arial" w:hAnsi="Arial" w:cs="Arial"/>
                <w:sz w:val="24"/>
                <w:szCs w:val="24"/>
              </w:rPr>
            </w:pPr>
            <w:r w:rsidRPr="00774660">
              <w:rPr>
                <w:rFonts w:ascii="Arial" w:hAnsi="Arial" w:cs="Arial"/>
                <w:sz w:val="24"/>
                <w:szCs w:val="24"/>
              </w:rPr>
              <w:t>-Performance reporting- is communication between the project manager and management on how the seller is performing under the guidelines in the contract.</w:t>
            </w:r>
          </w:p>
          <w:p w:rsidR="00774660" w:rsidRPr="00774660" w:rsidRDefault="00774660" w:rsidP="00774660">
            <w:pPr>
              <w:spacing w:line="360" w:lineRule="auto"/>
              <w:jc w:val="both"/>
              <w:rPr>
                <w:rFonts w:ascii="Arial" w:hAnsi="Arial" w:cs="Arial"/>
                <w:sz w:val="24"/>
                <w:szCs w:val="24"/>
              </w:rPr>
            </w:pPr>
            <w:r w:rsidRPr="00774660">
              <w:rPr>
                <w:rFonts w:ascii="Arial" w:hAnsi="Arial" w:cs="Arial"/>
                <w:sz w:val="24"/>
                <w:szCs w:val="24"/>
              </w:rPr>
              <w:lastRenderedPageBreak/>
              <w:t>3. Contract closeout is done to confirm that the obligations of the contract have been as expected. The project manager, key stakeholders, the customer and sometimes also the seller may complete product verification together to confirm that the contract has been completed. It is sometimes linked to administrative closure. There are some details in the contract that may need a revision to close it successfully. So the project manager should consider some points:</w:t>
            </w:r>
          </w:p>
          <w:p w:rsidR="00774660" w:rsidRPr="00774660" w:rsidRDefault="00774660" w:rsidP="00774660">
            <w:pPr>
              <w:spacing w:line="360" w:lineRule="auto"/>
              <w:jc w:val="both"/>
              <w:rPr>
                <w:rFonts w:ascii="Arial" w:hAnsi="Arial" w:cs="Arial"/>
                <w:sz w:val="24"/>
                <w:szCs w:val="24"/>
              </w:rPr>
            </w:pPr>
            <w:r w:rsidRPr="00774660">
              <w:rPr>
                <w:rFonts w:ascii="Arial" w:hAnsi="Arial" w:cs="Arial"/>
                <w:sz w:val="24"/>
                <w:szCs w:val="24"/>
              </w:rPr>
              <w:t>-schedules of the procured work</w:t>
            </w:r>
          </w:p>
          <w:p w:rsidR="00774660" w:rsidRPr="00774660" w:rsidRDefault="00774660" w:rsidP="00774660">
            <w:pPr>
              <w:spacing w:line="360" w:lineRule="auto"/>
              <w:jc w:val="both"/>
              <w:rPr>
                <w:rFonts w:ascii="Arial" w:hAnsi="Arial" w:cs="Arial"/>
                <w:sz w:val="24"/>
                <w:szCs w:val="24"/>
              </w:rPr>
            </w:pPr>
            <w:r w:rsidRPr="00774660">
              <w:rPr>
                <w:rFonts w:ascii="Arial" w:hAnsi="Arial" w:cs="Arial"/>
                <w:sz w:val="24"/>
                <w:szCs w:val="24"/>
              </w:rPr>
              <w:t>-contract change requests (approved and declined)</w:t>
            </w:r>
          </w:p>
          <w:p w:rsidR="00774660" w:rsidRPr="00774660" w:rsidRDefault="00774660" w:rsidP="00774660">
            <w:pPr>
              <w:spacing w:line="360" w:lineRule="auto"/>
              <w:jc w:val="both"/>
              <w:rPr>
                <w:rFonts w:ascii="Arial" w:hAnsi="Arial" w:cs="Arial"/>
                <w:sz w:val="24"/>
                <w:szCs w:val="24"/>
              </w:rPr>
            </w:pPr>
            <w:r w:rsidRPr="00774660">
              <w:rPr>
                <w:rFonts w:ascii="Arial" w:hAnsi="Arial" w:cs="Arial"/>
                <w:sz w:val="24"/>
                <w:szCs w:val="24"/>
              </w:rPr>
              <w:t>-documentation created and provided by the seller</w:t>
            </w:r>
          </w:p>
          <w:p w:rsidR="00774660" w:rsidRPr="00774660" w:rsidRDefault="00774660" w:rsidP="00774660">
            <w:pPr>
              <w:spacing w:line="360" w:lineRule="auto"/>
              <w:jc w:val="both"/>
              <w:rPr>
                <w:rFonts w:ascii="Arial" w:hAnsi="Arial" w:cs="Arial"/>
                <w:sz w:val="24"/>
                <w:szCs w:val="24"/>
              </w:rPr>
            </w:pPr>
            <w:r w:rsidRPr="00774660">
              <w:rPr>
                <w:rFonts w:ascii="Arial" w:hAnsi="Arial" w:cs="Arial"/>
                <w:sz w:val="24"/>
                <w:szCs w:val="24"/>
              </w:rPr>
              <w:t>-financial documents, invoices and payment records and</w:t>
            </w:r>
          </w:p>
          <w:p w:rsidR="00774660" w:rsidRPr="00774660" w:rsidRDefault="00774660" w:rsidP="00774660">
            <w:pPr>
              <w:spacing w:line="360" w:lineRule="auto"/>
              <w:jc w:val="both"/>
              <w:rPr>
                <w:rFonts w:ascii="Arial" w:hAnsi="Arial" w:cs="Arial"/>
                <w:sz w:val="24"/>
                <w:szCs w:val="24"/>
              </w:rPr>
            </w:pPr>
            <w:r w:rsidRPr="00774660">
              <w:rPr>
                <w:rFonts w:ascii="Arial" w:hAnsi="Arial" w:cs="Arial"/>
                <w:sz w:val="24"/>
                <w:szCs w:val="24"/>
              </w:rPr>
              <w:t>-results of contractual inspections</w:t>
            </w:r>
          </w:p>
          <w:p w:rsidR="00774660" w:rsidRPr="000D237B" w:rsidRDefault="00774660" w:rsidP="00774660">
            <w:pPr>
              <w:spacing w:line="360" w:lineRule="auto"/>
              <w:jc w:val="both"/>
              <w:rPr>
                <w:rFonts w:ascii="Arial" w:hAnsi="Arial" w:cs="Arial"/>
                <w:sz w:val="24"/>
                <w:szCs w:val="24"/>
              </w:rPr>
            </w:pPr>
            <w:r w:rsidRPr="00774660">
              <w:rPr>
                <w:rFonts w:ascii="Arial" w:hAnsi="Arial" w:cs="Arial"/>
                <w:sz w:val="24"/>
                <w:szCs w:val="24"/>
              </w:rPr>
              <w:t>A contract file is a complete indexed set of records of the procurement process. These records include information on the performance and acceptance of the procured work as well as financial information. The contract can be closed as soon as it can be assumed that the project comes in a written notice from the contract officer to the seller. Contract closeout requirements should be documented within the contract.</w:t>
            </w: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A851DA" w:rsidRDefault="00A851DA" w:rsidP="00A851DA">
      <w:pPr>
        <w:autoSpaceDE w:val="0"/>
        <w:autoSpaceDN w:val="0"/>
        <w:adjustRightInd w:val="0"/>
        <w:spacing w:after="0" w:line="240" w:lineRule="auto"/>
        <w:rPr>
          <w:rFonts w:cs="Bliss-Regular"/>
          <w:color w:val="000000"/>
        </w:rPr>
      </w:pPr>
    </w:p>
    <w:p w:rsidR="000D237B" w:rsidRPr="00B0415E" w:rsidRDefault="000D237B" w:rsidP="00A851DA">
      <w:pPr>
        <w:autoSpaceDE w:val="0"/>
        <w:autoSpaceDN w:val="0"/>
        <w:adjustRightInd w:val="0"/>
        <w:spacing w:after="0" w:line="240" w:lineRule="auto"/>
        <w:rPr>
          <w:rFonts w:cs="Bliss-Regular"/>
          <w:color w:val="000000"/>
        </w:rPr>
      </w:pPr>
    </w:p>
    <w:tbl>
      <w:tblPr>
        <w:tblStyle w:val="Tabellenraster"/>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56FCA" w:rsidP="00A851DA">
            <w:pPr>
              <w:rPr>
                <w:rFonts w:cs="Bliss-Regular"/>
                <w:color w:val="000000"/>
              </w:rPr>
            </w:pPr>
            <w:r>
              <w:rPr>
                <w:rFonts w:cs="Bliss-Regular"/>
                <w:color w:val="000000"/>
              </w:rPr>
              <w:t>Altijana Hromic</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74660" w:rsidP="00985DCC">
            <w:pPr>
              <w:rPr>
                <w:rFonts w:cs="Bliss-Regular"/>
                <w:color w:val="000000"/>
              </w:rPr>
            </w:pPr>
            <w:r>
              <w:rPr>
                <w:rFonts w:cs="Bliss-Regular"/>
                <w:color w:val="000000"/>
              </w:rPr>
              <w:t>30</w:t>
            </w:r>
            <w:bookmarkStart w:id="0" w:name="_GoBack"/>
            <w:bookmarkEnd w:id="0"/>
            <w:r w:rsidR="00091FF0">
              <w:rPr>
                <w:rFonts w:cs="Bliss-Regular"/>
                <w:color w:val="000000"/>
              </w:rPr>
              <w:t>.01.2017.</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ellenraster"/>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058F" w:rsidRDefault="000F058F" w:rsidP="00CB4D0A">
      <w:pPr>
        <w:spacing w:after="0" w:line="240" w:lineRule="auto"/>
      </w:pPr>
      <w:r>
        <w:separator/>
      </w:r>
    </w:p>
  </w:endnote>
  <w:endnote w:type="continuationSeparator" w:id="0">
    <w:p w:rsidR="000F058F" w:rsidRDefault="000F058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058F" w:rsidRDefault="000F058F" w:rsidP="00CB4D0A">
      <w:pPr>
        <w:spacing w:after="0" w:line="240" w:lineRule="auto"/>
      </w:pPr>
      <w:r>
        <w:separator/>
      </w:r>
    </w:p>
  </w:footnote>
  <w:footnote w:type="continuationSeparator" w:id="0">
    <w:p w:rsidR="000F058F" w:rsidRDefault="000F058F"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
        <w:bCs/>
        <w:color w:val="1F497D" w:themeColor="text2"/>
        <w:sz w:val="28"/>
        <w:szCs w:val="28"/>
      </w:rPr>
      <w:alias w:val="Titel"/>
      <w:id w:val="77887899"/>
      <w:placeholder>
        <w:docPart w:val="0A81E862DDF1468FB05812D49BA7B672"/>
      </w:placeholder>
      <w:dataBinding w:prefixMappings="xmlns:ns0='http://schemas.openxmlformats.org/package/2006/metadata/core-properties' xmlns:ns1='http://purl.org/dc/elements/1.1/'" w:xpath="/ns0:coreProperties[1]/ns1:title[1]" w:storeItemID="{6C3C8BC8-F283-45AE-878A-BAB7291924A1}"/>
      <w:text/>
    </w:sdtPr>
    <w:sdtEndPr/>
    <w:sdtContent>
      <w:p w:rsidR="00450D55" w:rsidRPr="00450D55" w:rsidRDefault="00450D55">
        <w:pPr>
          <w:pStyle w:val="Kopfzeile"/>
          <w:tabs>
            <w:tab w:val="left" w:pos="2580"/>
            <w:tab w:val="left" w:pos="2985"/>
          </w:tabs>
          <w:spacing w:after="120" w:line="276" w:lineRule="auto"/>
          <w:jc w:val="right"/>
          <w:rPr>
            <w:b/>
            <w:bCs/>
            <w:color w:val="1F497D" w:themeColor="text2"/>
            <w:sz w:val="28"/>
            <w:szCs w:val="28"/>
          </w:rPr>
        </w:pPr>
        <w:proofErr w:type="spellStart"/>
        <w:r>
          <w:rPr>
            <w:b/>
            <w:bCs/>
            <w:color w:val="1F497D" w:themeColor="text2"/>
            <w:sz w:val="28"/>
            <w:szCs w:val="28"/>
          </w:rPr>
          <w:t>Altijana</w:t>
        </w:r>
        <w:proofErr w:type="spellEnd"/>
        <w:r>
          <w:rPr>
            <w:b/>
            <w:bCs/>
            <w:color w:val="1F497D" w:themeColor="text2"/>
            <w:sz w:val="28"/>
            <w:szCs w:val="28"/>
          </w:rPr>
          <w:t xml:space="preserve"> </w:t>
        </w:r>
        <w:proofErr w:type="spellStart"/>
        <w:r>
          <w:rPr>
            <w:b/>
            <w:bCs/>
            <w:color w:val="1F497D" w:themeColor="text2"/>
            <w:sz w:val="28"/>
            <w:szCs w:val="28"/>
          </w:rPr>
          <w:t>Hromic</w:t>
        </w:r>
        <w:proofErr w:type="spellEnd"/>
      </w:p>
    </w:sdtContent>
  </w:sdt>
  <w:sdt>
    <w:sdtPr>
      <w:rPr>
        <w:color w:val="4F81BD" w:themeColor="accent1"/>
      </w:rPr>
      <w:alias w:val="Untertitel"/>
      <w:id w:val="77887903"/>
      <w:placeholder>
        <w:docPart w:val="372BF3F7DE254B6687E3A9CF5ED1E665"/>
      </w:placeholder>
      <w:dataBinding w:prefixMappings="xmlns:ns0='http://schemas.openxmlformats.org/package/2006/metadata/core-properties' xmlns:ns1='http://purl.org/dc/elements/1.1/'" w:xpath="/ns0:coreProperties[1]/ns1:subject[1]" w:storeItemID="{6C3C8BC8-F283-45AE-878A-BAB7291924A1}"/>
      <w:text/>
    </w:sdtPr>
    <w:sdtEndPr/>
    <w:sdtContent>
      <w:p w:rsidR="00450D55" w:rsidRPr="00450D55" w:rsidRDefault="00450D55">
        <w:pPr>
          <w:pStyle w:val="Kopfzeile"/>
          <w:tabs>
            <w:tab w:val="left" w:pos="2580"/>
            <w:tab w:val="left" w:pos="2985"/>
          </w:tabs>
          <w:spacing w:after="120" w:line="276" w:lineRule="auto"/>
          <w:jc w:val="right"/>
          <w:rPr>
            <w:color w:val="4F81BD" w:themeColor="accent1"/>
          </w:rPr>
        </w:pPr>
        <w:r w:rsidRPr="00450D55">
          <w:rPr>
            <w:color w:val="4F81BD" w:themeColor="accent1"/>
          </w:rPr>
          <w:t>Student ID: 3773</w:t>
        </w:r>
      </w:p>
    </w:sdtContent>
  </w:sdt>
  <w:sdt>
    <w:sdtPr>
      <w:rPr>
        <w:color w:val="7F7F7F" w:themeColor="text1" w:themeTint="80"/>
      </w:rPr>
      <w:alias w:val="Autor"/>
      <w:id w:val="77887908"/>
      <w:placeholder>
        <w:docPart w:val="21AFB88D745342D1B1A4F89C828EA906"/>
      </w:placeholder>
      <w:dataBinding w:prefixMappings="xmlns:ns0='http://schemas.openxmlformats.org/package/2006/metadata/core-properties' xmlns:ns1='http://purl.org/dc/elements/1.1/'" w:xpath="/ns0:coreProperties[1]/ns1:creator[1]" w:storeItemID="{6C3C8BC8-F283-45AE-878A-BAB7291924A1}"/>
      <w:text/>
    </w:sdtPr>
    <w:sdtEndPr/>
    <w:sdtContent>
      <w:p w:rsidR="00450D55" w:rsidRPr="00450D55" w:rsidRDefault="00774660">
        <w:pPr>
          <w:pStyle w:val="Kopfzeile"/>
          <w:pBdr>
            <w:bottom w:val="single" w:sz="4" w:space="1" w:color="A5A5A5" w:themeColor="background1" w:themeShade="A5"/>
          </w:pBdr>
          <w:tabs>
            <w:tab w:val="left" w:pos="2580"/>
            <w:tab w:val="left" w:pos="2985"/>
          </w:tabs>
          <w:spacing w:after="120" w:line="276" w:lineRule="auto"/>
          <w:jc w:val="right"/>
          <w:rPr>
            <w:color w:val="7F7F7F" w:themeColor="text1" w:themeTint="80"/>
          </w:rPr>
        </w:pPr>
        <w:r>
          <w:rPr>
            <w:color w:val="7F7F7F" w:themeColor="text1" w:themeTint="80"/>
          </w:rPr>
          <w:t>Assignment Nr.10</w:t>
        </w:r>
      </w:p>
    </w:sdtContent>
  </w:sdt>
  <w:p w:rsidR="00450D55" w:rsidRPr="00450D55" w:rsidRDefault="00450D55">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91FF0"/>
    <w:rsid w:val="000D237B"/>
    <w:rsid w:val="000F058F"/>
    <w:rsid w:val="001175EE"/>
    <w:rsid w:val="00157CF6"/>
    <w:rsid w:val="00182416"/>
    <w:rsid w:val="00187EB4"/>
    <w:rsid w:val="001F0481"/>
    <w:rsid w:val="00200C92"/>
    <w:rsid w:val="0020451E"/>
    <w:rsid w:val="00206B9D"/>
    <w:rsid w:val="0023259C"/>
    <w:rsid w:val="00292FD1"/>
    <w:rsid w:val="002B0BD7"/>
    <w:rsid w:val="002B573D"/>
    <w:rsid w:val="002C5CB2"/>
    <w:rsid w:val="002F779F"/>
    <w:rsid w:val="00364429"/>
    <w:rsid w:val="00371885"/>
    <w:rsid w:val="00391ED8"/>
    <w:rsid w:val="003E2B87"/>
    <w:rsid w:val="00402786"/>
    <w:rsid w:val="00405895"/>
    <w:rsid w:val="004058DF"/>
    <w:rsid w:val="00443E6F"/>
    <w:rsid w:val="00450D55"/>
    <w:rsid w:val="00486F1A"/>
    <w:rsid w:val="00490CB9"/>
    <w:rsid w:val="004A2CE2"/>
    <w:rsid w:val="004E3CDA"/>
    <w:rsid w:val="004F4B4D"/>
    <w:rsid w:val="0050216D"/>
    <w:rsid w:val="00503D7E"/>
    <w:rsid w:val="0050778F"/>
    <w:rsid w:val="00527C11"/>
    <w:rsid w:val="00535F31"/>
    <w:rsid w:val="00566C03"/>
    <w:rsid w:val="00574D64"/>
    <w:rsid w:val="00591365"/>
    <w:rsid w:val="005B31E4"/>
    <w:rsid w:val="006034F6"/>
    <w:rsid w:val="00607874"/>
    <w:rsid w:val="00607E77"/>
    <w:rsid w:val="00617BB3"/>
    <w:rsid w:val="00645CDD"/>
    <w:rsid w:val="00656FCA"/>
    <w:rsid w:val="006823A7"/>
    <w:rsid w:val="00687EE8"/>
    <w:rsid w:val="006D37FA"/>
    <w:rsid w:val="0070347F"/>
    <w:rsid w:val="0070678E"/>
    <w:rsid w:val="00706C36"/>
    <w:rsid w:val="00774660"/>
    <w:rsid w:val="0077520A"/>
    <w:rsid w:val="00831C11"/>
    <w:rsid w:val="00870A5F"/>
    <w:rsid w:val="008A193D"/>
    <w:rsid w:val="008A60B4"/>
    <w:rsid w:val="008B3C31"/>
    <w:rsid w:val="008B64FE"/>
    <w:rsid w:val="00935BF7"/>
    <w:rsid w:val="00945F2B"/>
    <w:rsid w:val="0095442C"/>
    <w:rsid w:val="00983942"/>
    <w:rsid w:val="00985DCC"/>
    <w:rsid w:val="009B7E76"/>
    <w:rsid w:val="009C37E0"/>
    <w:rsid w:val="009E41F4"/>
    <w:rsid w:val="00A14B66"/>
    <w:rsid w:val="00A65CF7"/>
    <w:rsid w:val="00A81AB4"/>
    <w:rsid w:val="00A851DA"/>
    <w:rsid w:val="00AC7D5B"/>
    <w:rsid w:val="00AE1481"/>
    <w:rsid w:val="00B0415E"/>
    <w:rsid w:val="00B04678"/>
    <w:rsid w:val="00BC132D"/>
    <w:rsid w:val="00BC46DF"/>
    <w:rsid w:val="00C03577"/>
    <w:rsid w:val="00C50CFA"/>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B7927"/>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CB4D0A"/>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CB4D0A"/>
  </w:style>
  <w:style w:type="paragraph" w:styleId="Fuzeile">
    <w:name w:val="footer"/>
    <w:basedOn w:val="Standard"/>
    <w:link w:val="FuzeileZchn"/>
    <w:uiPriority w:val="99"/>
    <w:unhideWhenUsed/>
    <w:rsid w:val="00CB4D0A"/>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CB4D0A"/>
  </w:style>
  <w:style w:type="paragraph" w:styleId="Sprechblasentext">
    <w:name w:val="Balloon Text"/>
    <w:basedOn w:val="Standard"/>
    <w:link w:val="SprechblasentextZchn"/>
    <w:uiPriority w:val="99"/>
    <w:semiHidden/>
    <w:unhideWhenUsed/>
    <w:rsid w:val="0020451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0451E"/>
    <w:rPr>
      <w:rFonts w:ascii="Tahoma" w:hAnsi="Tahoma" w:cs="Tahoma"/>
      <w:sz w:val="16"/>
      <w:szCs w:val="16"/>
    </w:rPr>
  </w:style>
  <w:style w:type="paragraph" w:styleId="Listenabsatz">
    <w:name w:val="List Paragraph"/>
    <w:basedOn w:val="Standard"/>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ellenraster">
    <w:name w:val="Table Grid"/>
    <w:basedOn w:val="NormaleTabelle"/>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CB4D0A"/>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CB4D0A"/>
  </w:style>
  <w:style w:type="paragraph" w:styleId="Fuzeile">
    <w:name w:val="footer"/>
    <w:basedOn w:val="Standard"/>
    <w:link w:val="FuzeileZchn"/>
    <w:uiPriority w:val="99"/>
    <w:unhideWhenUsed/>
    <w:rsid w:val="00CB4D0A"/>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CB4D0A"/>
  </w:style>
  <w:style w:type="paragraph" w:styleId="Sprechblasentext">
    <w:name w:val="Balloon Text"/>
    <w:basedOn w:val="Standard"/>
    <w:link w:val="SprechblasentextZchn"/>
    <w:uiPriority w:val="99"/>
    <w:semiHidden/>
    <w:unhideWhenUsed/>
    <w:rsid w:val="0020451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0451E"/>
    <w:rPr>
      <w:rFonts w:ascii="Tahoma" w:hAnsi="Tahoma" w:cs="Tahoma"/>
      <w:sz w:val="16"/>
      <w:szCs w:val="16"/>
    </w:rPr>
  </w:style>
  <w:style w:type="paragraph" w:styleId="Listenabsatz">
    <w:name w:val="List Paragraph"/>
    <w:basedOn w:val="Standard"/>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ellenraster">
    <w:name w:val="Table Grid"/>
    <w:basedOn w:val="NormaleTabelle"/>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0A81E862DDF1468FB05812D49BA7B672"/>
        <w:category>
          <w:name w:val="Allgemein"/>
          <w:gallery w:val="placeholder"/>
        </w:category>
        <w:types>
          <w:type w:val="bbPlcHdr"/>
        </w:types>
        <w:behaviors>
          <w:behavior w:val="content"/>
        </w:behaviors>
        <w:guid w:val="{7E363172-FBE6-4925-B431-E4EF7E1C86F5}"/>
      </w:docPartPr>
      <w:docPartBody>
        <w:p w:rsidR="001D5EFD" w:rsidRDefault="00E539B9" w:rsidP="00E539B9">
          <w:pPr>
            <w:pStyle w:val="0A81E862DDF1468FB05812D49BA7B672"/>
          </w:pPr>
          <w:r>
            <w:rPr>
              <w:b/>
              <w:bCs/>
              <w:color w:val="1F497D" w:themeColor="text2"/>
              <w:sz w:val="28"/>
              <w:szCs w:val="28"/>
              <w:lang w:val="de-DE"/>
            </w:rPr>
            <w:t>[Geben Sie den Titel des Dokuments ein]</w:t>
          </w:r>
        </w:p>
      </w:docPartBody>
    </w:docPart>
    <w:docPart>
      <w:docPartPr>
        <w:name w:val="372BF3F7DE254B6687E3A9CF5ED1E665"/>
        <w:category>
          <w:name w:val="Allgemein"/>
          <w:gallery w:val="placeholder"/>
        </w:category>
        <w:types>
          <w:type w:val="bbPlcHdr"/>
        </w:types>
        <w:behaviors>
          <w:behavior w:val="content"/>
        </w:behaviors>
        <w:guid w:val="{37BB3C25-A59A-41B1-BB7A-11FE285B612F}"/>
      </w:docPartPr>
      <w:docPartBody>
        <w:p w:rsidR="001D5EFD" w:rsidRDefault="00E539B9" w:rsidP="00E539B9">
          <w:pPr>
            <w:pStyle w:val="372BF3F7DE254B6687E3A9CF5ED1E665"/>
          </w:pPr>
          <w:r>
            <w:rPr>
              <w:color w:val="4F81BD" w:themeColor="accent1"/>
              <w:lang w:val="de-DE"/>
            </w:rPr>
            <w:t>[Geben Sie den Untertitel des Dokuments ein]</w:t>
          </w:r>
        </w:p>
      </w:docPartBody>
    </w:docPart>
    <w:docPart>
      <w:docPartPr>
        <w:name w:val="21AFB88D745342D1B1A4F89C828EA906"/>
        <w:category>
          <w:name w:val="Allgemein"/>
          <w:gallery w:val="placeholder"/>
        </w:category>
        <w:types>
          <w:type w:val="bbPlcHdr"/>
        </w:types>
        <w:behaviors>
          <w:behavior w:val="content"/>
        </w:behaviors>
        <w:guid w:val="{052A2AF0-AA35-4983-B9BC-94272F75B30E}"/>
      </w:docPartPr>
      <w:docPartBody>
        <w:p w:rsidR="001D5EFD" w:rsidRDefault="00E539B9" w:rsidP="00E539B9">
          <w:pPr>
            <w:pStyle w:val="21AFB88D745342D1B1A4F89C828EA906"/>
          </w:pPr>
          <w:r>
            <w:rPr>
              <w:color w:val="808080" w:themeColor="text1" w:themeTint="7F"/>
              <w:lang w:val="de-DE"/>
            </w:rPr>
            <w:t>[Geben Sie den Namen des Autors ein]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39B9"/>
    <w:rsid w:val="001D5EFD"/>
    <w:rsid w:val="00391FBA"/>
    <w:rsid w:val="003C65AC"/>
    <w:rsid w:val="009068D1"/>
    <w:rsid w:val="009143ED"/>
    <w:rsid w:val="00935C4F"/>
    <w:rsid w:val="00AF4CA7"/>
    <w:rsid w:val="00D45108"/>
    <w:rsid w:val="00DF325C"/>
    <w:rsid w:val="00E539B9"/>
    <w:rsid w:val="00FE54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0A81E862DDF1468FB05812D49BA7B672">
    <w:name w:val="0A81E862DDF1468FB05812D49BA7B672"/>
    <w:rsid w:val="00E539B9"/>
  </w:style>
  <w:style w:type="paragraph" w:customStyle="1" w:styleId="372BF3F7DE254B6687E3A9CF5ED1E665">
    <w:name w:val="372BF3F7DE254B6687E3A9CF5ED1E665"/>
    <w:rsid w:val="00E539B9"/>
  </w:style>
  <w:style w:type="paragraph" w:customStyle="1" w:styleId="21AFB88D745342D1B1A4F89C828EA906">
    <w:name w:val="21AFB88D745342D1B1A4F89C828EA906"/>
    <w:rsid w:val="00E539B9"/>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0A81E862DDF1468FB05812D49BA7B672">
    <w:name w:val="0A81E862DDF1468FB05812D49BA7B672"/>
    <w:rsid w:val="00E539B9"/>
  </w:style>
  <w:style w:type="paragraph" w:customStyle="1" w:styleId="372BF3F7DE254B6687E3A9CF5ED1E665">
    <w:name w:val="372BF3F7DE254B6687E3A9CF5ED1E665"/>
    <w:rsid w:val="00E539B9"/>
  </w:style>
  <w:style w:type="paragraph" w:customStyle="1" w:styleId="21AFB88D745342D1B1A4F89C828EA906">
    <w:name w:val="21AFB88D745342D1B1A4F89C828EA906"/>
    <w:rsid w:val="00E539B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7CCAD6-99FD-418C-BE6C-74A87AFF25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1035</Words>
  <Characters>5906</Characters>
  <Application>Microsoft Office Word</Application>
  <DocSecurity>0</DocSecurity>
  <Lines>49</Lines>
  <Paragraphs>13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Altijana Hromic</vt:lpstr>
      <vt:lpstr/>
    </vt:vector>
  </TitlesOfParts>
  <Company>Karl-Franzens-Universität Graz</Company>
  <LinksUpToDate>false</LinksUpToDate>
  <CharactersWithSpaces>6928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Altijana Hromic</dc:title>
  <dc:subject>Student ID: 3773</dc:subject>
  <dc:creator>Assignment Nr.10</dc:creator>
  <cp:lastModifiedBy>altijana</cp:lastModifiedBy>
  <cp:revision>2</cp:revision>
  <dcterms:created xsi:type="dcterms:W3CDTF">2017-01-30T12:52:00Z</dcterms:created>
  <dcterms:modified xsi:type="dcterms:W3CDTF">2017-01-30T12:52:00Z</dcterms:modified>
</cp:coreProperties>
</file>