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1016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55pt;margin-top:7.85pt;height:36.75pt;width:245.2pt;z-index:251660288;mso-width-relative:page;mso-height-relative:page;" fillcolor="#FFFFFF" filled="t" stroked="f" coordsize="21600,21600" o:gfxdata="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CGt2M9YAAAAJAQAADwAAAAAA&#10;AAABACAAAAAiAAAAZHJzL2Rvd25yZXYueG1sUEsBAhQAFAAAAAgAh07iQI3P7XejAQAAOwMAAA4A&#10;AAAAAAAAAQAgAAAAJQEAAGRycy9lMm9Eb2MueG1sUEsFBgAAAAAGAAYAWQEAADoFAAAAAA==&#10;">
                <v:fill on="t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Nina Sakic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</w:rPr>
            </w:pPr>
            <w:r>
              <w:rPr>
                <w:rFonts w:hint="default" w:ascii="Arial" w:hAnsi="Arial" w:eastAsia="Helvetica" w:cs="Arial"/>
                <w:b w:val="0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</w:rPr>
            </w:pPr>
            <w:r>
              <w:rPr>
                <w:rFonts w:hint="default" w:ascii="Arial" w:hAnsi="Arial" w:eastAsia="Helvetica" w:cs="Arial"/>
                <w:b w:val="0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fill="F2F1F1"/>
                <w14:textFill>
                  <w14:solidFill>
                    <w14:schemeClr w14:val="tx1"/>
                  </w14:solidFill>
                </w14:textFill>
              </w:rPr>
              <w:t>International Diploma in Project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Nina Sakic</w:t>
            </w:r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07/12/16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spacing w:after="0" w:line="360" w:lineRule="auto"/>
        <w:rPr>
          <w:rFonts w:hint="default" w:ascii="Arial" w:hAnsi="Arial" w:cs="Arial"/>
          <w:b w:val="0"/>
          <w:bCs/>
          <w:sz w:val="24"/>
          <w:szCs w:val="24"/>
          <w:lang w:val="en-US"/>
        </w:rPr>
        <w:sectPr>
          <w:headerReference r:id="rId3" w:type="default"/>
          <w:footerReference r:id="rId4" w:type="default"/>
          <w:pgSz w:w="11906" w:h="16838"/>
          <w:pgMar w:top="1440" w:right="1440" w:bottom="1440" w:left="1440" w:header="708" w:footer="708" w:gutter="0"/>
          <w:pgNumType w:fmt="decimal"/>
          <w:cols w:space="708" w:num="1"/>
          <w:docGrid w:linePitch="360" w:charSpace="0"/>
        </w:sectPr>
      </w:pPr>
    </w:p>
    <w:p>
      <w:pPr>
        <w:spacing w:after="0" w:line="360" w:lineRule="auto"/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</w:pP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>1.1 B</w:t>
      </w:r>
    </w:p>
    <w:p>
      <w:pPr>
        <w:spacing w:after="0" w:line="360" w:lineRule="auto"/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</w:pP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 xml:space="preserve">1.2 Project Deliverables  are measurable </w:t>
      </w:r>
      <w:r>
        <w:rPr>
          <w:rFonts w:hint="default" w:ascii="Arial" w:hAnsi="Arial" w:eastAsia="Calibri" w:cs="Arial"/>
          <w:color w:val="auto"/>
          <w:sz w:val="24"/>
        </w:rPr>
        <w:t>results, measurable outcomes, or specific items that must be produced for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 xml:space="preserve">the project or project phase to be considered complete. 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It 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 xml:space="preserve"> is a term used in Project Management to describe tangible or intangible product or service produced as a result of the project that is intended to be delivered to a customer.</w:t>
      </w:r>
    </w:p>
    <w:p>
      <w:pPr>
        <w:spacing w:after="0" w:line="360" w:lineRule="auto"/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</w:pPr>
    </w:p>
    <w:p>
      <w:pPr>
        <w:spacing w:after="0" w:line="360" w:lineRule="auto"/>
        <w:rPr>
          <w:rFonts w:hint="default" w:ascii="Arial" w:hAnsi="Arial" w:eastAsia="Calibri" w:cs="Arial"/>
          <w:color w:val="auto"/>
          <w:sz w:val="24"/>
          <w:lang w:val="en-US"/>
        </w:rPr>
      </w:pP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>1.3  T</w:t>
      </w:r>
      <w:r>
        <w:rPr>
          <w:rFonts w:hint="default" w:ascii="Arial" w:hAnsi="Arial" w:eastAsia="Calibri" w:cs="Arial"/>
          <w:color w:val="auto"/>
          <w:sz w:val="24"/>
        </w:rPr>
        <w:t xml:space="preserve">he purpose of 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determining a project’s goals and objectives is to define </w:t>
      </w:r>
      <w:r>
        <w:rPr>
          <w:rFonts w:hint="default" w:ascii="Arial" w:hAnsi="Arial" w:eastAsia="Calibri" w:cs="Arial"/>
          <w:color w:val="auto"/>
          <w:sz w:val="24"/>
        </w:rPr>
        <w:t xml:space="preserve">the final 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outcome </w:t>
      </w:r>
      <w:r>
        <w:rPr>
          <w:rFonts w:hint="default" w:ascii="Arial" w:hAnsi="Arial" w:eastAsia="Calibri" w:cs="Arial"/>
          <w:color w:val="auto"/>
          <w:sz w:val="24"/>
        </w:rPr>
        <w:t>of the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project, and the steps required to achieve that outcome. Poorly defined goals and objectives pushes the projects into overruns, territory battles, personality clashes, missed milestones, and unhappy clients. </w:t>
      </w:r>
    </w:p>
    <w:p>
      <w:pPr>
        <w:spacing w:after="0" w:line="360" w:lineRule="auto"/>
        <w:rPr>
          <w:rFonts w:hint="default" w:ascii="Arial" w:hAnsi="Arial" w:eastAsia="Calibri" w:cs="Arial"/>
          <w:color w:val="auto"/>
          <w:sz w:val="24"/>
          <w:lang w:val="en-US"/>
        </w:rPr>
      </w:pPr>
    </w:p>
    <w:p>
      <w:pPr>
        <w:spacing w:beforeLines="0" w:afterLines="0" w:line="360" w:lineRule="auto"/>
        <w:jc w:val="left"/>
        <w:rPr>
          <w:rFonts w:hint="default" w:ascii="Arial" w:hAnsi="Arial" w:eastAsia="Calibri" w:cs="Arial"/>
          <w:color w:val="auto"/>
          <w:sz w:val="24"/>
          <w:lang w:val="en-US"/>
        </w:rPr>
      </w:pP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>1.4 T</w:t>
      </w:r>
      <w:r>
        <w:rPr>
          <w:rFonts w:hint="default" w:ascii="Arial" w:hAnsi="Arial" w:eastAsia="Calibri" w:cs="Arial"/>
          <w:color w:val="auto"/>
          <w:sz w:val="24"/>
        </w:rPr>
        <w:t xml:space="preserve">he project’s constrains 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are </w:t>
      </w:r>
      <w:r>
        <w:rPr>
          <w:rFonts w:hint="default" w:ascii="Arial" w:hAnsi="Arial" w:eastAsia="Calibri" w:cs="Arial"/>
          <w:color w:val="auto"/>
          <w:sz w:val="24"/>
        </w:rPr>
        <w:t>identified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in the project Initiation phase. </w:t>
      </w:r>
      <w:bookmarkStart w:id="0" w:name="_GoBack"/>
      <w:bookmarkEnd w:id="0"/>
    </w:p>
    <w:p>
      <w:pPr>
        <w:spacing w:after="0" w:line="360" w:lineRule="auto"/>
        <w:rPr>
          <w:rFonts w:hint="default" w:ascii="Arial" w:hAnsi="Arial" w:eastAsia="Calibri" w:cs="Arial"/>
          <w:color w:val="auto"/>
          <w:sz w:val="24"/>
          <w:lang w:val="en-US"/>
        </w:rPr>
      </w:pP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 xml:space="preserve">1.5 </w:t>
      </w:r>
      <w:r>
        <w:rPr>
          <w:rFonts w:hint="default" w:ascii="Arial" w:hAnsi="Arial" w:eastAsia="Calibri" w:cs="Arial"/>
          <w:color w:val="auto"/>
          <w:sz w:val="24"/>
        </w:rPr>
        <w:t>The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project charter </w:t>
      </w:r>
      <w:r>
        <w:rPr>
          <w:rFonts w:hint="default" w:ascii="Arial" w:hAnsi="Arial" w:eastAsia="Calibri" w:cs="Arial"/>
          <w:color w:val="auto"/>
          <w:sz w:val="24"/>
        </w:rPr>
        <w:t>is the official, written acknowledgment and recognition that a project exists. It is usually the first official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document of the project once acceptance of the project has been granted. It is issued by senior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management and gives the project manager authority to assign organizational resources to the work of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the project.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The charter should describe the preliminary roles and responsibilities of the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project manager, project sponsor, project staff, and executive management.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</w:p>
    <w:p>
      <w:pPr>
        <w:spacing w:after="0" w:line="360" w:lineRule="auto"/>
        <w:rPr>
          <w:rFonts w:hint="default" w:ascii="Arial" w:hAnsi="Arial" w:eastAsia="Calibri" w:cs="Arial"/>
          <w:color w:val="auto"/>
          <w:sz w:val="24"/>
          <w:lang w:val="en-US"/>
        </w:rPr>
      </w:pPr>
      <w:r>
        <w:rPr>
          <w:rFonts w:hint="default" w:ascii="Arial" w:hAnsi="Arial" w:eastAsia="Calibri" w:cs="Arial"/>
          <w:color w:val="auto"/>
          <w:sz w:val="24"/>
        </w:rPr>
        <w:t>The project charter should include an overview of the project, the project deliverables, its goals and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objectives, resource and cost estimates, the business case or need for the project, and a feasibility study,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 xml:space="preserve">if one was performed. </w:t>
      </w:r>
    </w:p>
    <w:p>
      <w:pPr>
        <w:spacing w:after="0" w:line="360" w:lineRule="auto"/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</w:pPr>
    </w:p>
    <w:p>
      <w:pPr>
        <w:numPr>
          <w:ilvl w:val="0"/>
          <w:numId w:val="1"/>
        </w:numPr>
        <w:spacing w:after="0" w:line="360" w:lineRule="auto"/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</w:pPr>
      <w:r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  <w:t xml:space="preserve"> The Initiation process lays groundwork for the Planning process group that follows Initiation. A high percentage of projects fail due to poor planning or no planning. Since the Initiation process is the foundation of Planning, the importance of Initiation is self-evident. Estimating costs and activity levels, scheduling resources, and continually monitoring and adjusting them requires intense planning to ensure a project is moving in the right direction. Effective planning identifies the tools and techniques required to accomplish these tasks and reduces the risk of having unclear roles and responsibilities. </w:t>
      </w:r>
    </w:p>
    <w:p>
      <w:pPr>
        <w:numPr>
          <w:numId w:val="0"/>
        </w:numPr>
        <w:spacing w:after="0" w:line="360" w:lineRule="auto"/>
        <w:rPr>
          <w:rFonts w:hint="default" w:ascii="Arial" w:hAnsi="Arial" w:cs="Arial"/>
          <w:b w:val="0"/>
          <w:bCs/>
          <w:color w:val="auto"/>
          <w:sz w:val="24"/>
          <w:szCs w:val="24"/>
          <w:lang w:val="en-US"/>
        </w:rPr>
      </w:pPr>
    </w:p>
    <w:p>
      <w:pPr>
        <w:numPr>
          <w:ilvl w:val="0"/>
          <w:numId w:val="1"/>
        </w:numPr>
        <w:spacing w:after="200" w:line="360" w:lineRule="auto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</w:rPr>
        <w:t>The Project Planning Phase is the second phase in the project life cycle. It involves creating of a set of plans to help guide</w:t>
      </w: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 xml:space="preserve"> the Project Manager’s t</w:t>
      </w: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</w:rPr>
        <w:t xml:space="preserve">eam through the execution and closure phases of the project. The plans created during this phase will help </w:t>
      </w: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 xml:space="preserve">the Project Manager </w:t>
      </w: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</w:rPr>
        <w:t>to manage time, cost, quality, change, risk and issues.</w:t>
      </w: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 xml:space="preserve"> The plans made during this stage are: 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 xml:space="preserve"> Project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 xml:space="preserve"> Resource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>Organizational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>Staffing Management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>Financial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>Quality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>Communications Plan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>Risk Planning</w:t>
      </w:r>
    </w:p>
    <w:p>
      <w:pPr>
        <w:numPr>
          <w:ilvl w:val="0"/>
          <w:numId w:val="2"/>
        </w:numPr>
        <w:tabs>
          <w:tab w:val="left" w:pos="420"/>
        </w:tabs>
        <w:spacing w:after="200" w:line="360" w:lineRule="auto"/>
        <w:ind w:left="420" w:leftChars="0" w:hanging="420" w:firstLineChars="0"/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SimSun" w:cs="Arial"/>
          <w:b w:val="0"/>
          <w:bCs w:val="0"/>
          <w:i w:val="0"/>
          <w:caps w:val="0"/>
          <w:color w:val="auto"/>
          <w:spacing w:val="0"/>
          <w:sz w:val="24"/>
          <w:szCs w:val="24"/>
          <w:shd w:val="clear" w:fill="FFFFFF"/>
          <w:lang w:val="en-US"/>
        </w:rPr>
        <w:t xml:space="preserve">Procurement Plan </w:t>
      </w:r>
    </w:p>
    <w:p>
      <w:pPr>
        <w:numPr>
          <w:ilvl w:val="0"/>
          <w:numId w:val="3"/>
        </w:numPr>
        <w:spacing w:after="200" w:line="360" w:lineRule="auto"/>
        <w:ind w:leftChars="0"/>
        <w:rPr>
          <w:rFonts w:hint="default" w:ascii="Arial" w:hAnsi="Arial" w:eastAsia="Calibri" w:cs="Arial"/>
          <w:color w:val="auto"/>
          <w:sz w:val="24"/>
        </w:rPr>
      </w:pPr>
      <w:r>
        <w:rPr>
          <w:rFonts w:hint="default" w:ascii="Arial" w:hAnsi="Arial" w:eastAsia="Calibri" w:cs="Arial"/>
          <w:color w:val="auto"/>
          <w:sz w:val="24"/>
          <w:lang w:val="en-US"/>
        </w:rPr>
        <w:t>T</w:t>
      </w:r>
      <w:r>
        <w:rPr>
          <w:rFonts w:hint="default" w:ascii="Arial" w:hAnsi="Arial" w:eastAsia="Calibri" w:cs="Arial"/>
          <w:color w:val="auto"/>
          <w:sz w:val="24"/>
        </w:rPr>
        <w:t>he activities performed during the Project Closure Phase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are: </w:t>
      </w:r>
    </w:p>
    <w:p>
      <w:pPr>
        <w:numPr>
          <w:ilvl w:val="0"/>
          <w:numId w:val="4"/>
        </w:numPr>
        <w:tabs>
          <w:tab w:val="left" w:pos="420"/>
        </w:tabs>
        <w:spacing w:beforeLines="0" w:afterLines="0" w:line="360" w:lineRule="auto"/>
        <w:ind w:left="420" w:leftChars="0" w:hanging="420" w:firstLineChars="0"/>
        <w:jc w:val="left"/>
        <w:rPr>
          <w:rFonts w:hint="default" w:ascii="Arial" w:hAnsi="Arial" w:eastAsia="Calibri" w:cs="Arial"/>
          <w:color w:val="auto"/>
          <w:sz w:val="24"/>
        </w:rPr>
      </w:pPr>
      <w:r>
        <w:rPr>
          <w:rFonts w:hint="default" w:ascii="Arial" w:hAnsi="Arial" w:eastAsia="Calibri" w:cs="Arial"/>
          <w:color w:val="auto"/>
          <w:sz w:val="24"/>
        </w:rPr>
        <w:t>Identifying any outstanding items (activities, risks or issues)</w:t>
      </w:r>
      <w:r>
        <w:rPr>
          <w:rFonts w:hint="default" w:ascii="Arial" w:hAnsi="Arial" w:eastAsia="Calibri" w:cs="Arial"/>
          <w:color w:val="auto"/>
          <w:sz w:val="24"/>
          <w:lang w:val="en-US"/>
        </w:rPr>
        <w:t>;</w:t>
      </w:r>
    </w:p>
    <w:p>
      <w:pPr>
        <w:numPr>
          <w:ilvl w:val="0"/>
          <w:numId w:val="4"/>
        </w:numPr>
        <w:tabs>
          <w:tab w:val="left" w:pos="420"/>
        </w:tabs>
        <w:spacing w:beforeLines="0" w:afterLines="0" w:line="360" w:lineRule="auto"/>
        <w:ind w:left="420" w:leftChars="0" w:hanging="420" w:firstLineChars="0"/>
        <w:jc w:val="left"/>
        <w:rPr>
          <w:rFonts w:hint="default" w:ascii="Arial" w:hAnsi="Arial" w:eastAsia="Calibri" w:cs="Arial"/>
          <w:color w:val="auto"/>
          <w:sz w:val="24"/>
        </w:rPr>
      </w:pP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Listing the activities required to hand over documentation, cancel supplier contracts and</w:t>
      </w:r>
      <w:r>
        <w:rPr>
          <w:rFonts w:hint="default" w:ascii="Arial" w:hAnsi="Arial" w:eastAsia="Calibri" w:cs="Arial"/>
          <w:color w:val="auto"/>
          <w:sz w:val="24"/>
          <w:lang w:val="en-US"/>
        </w:rPr>
        <w:t xml:space="preserve"> </w:t>
      </w:r>
      <w:r>
        <w:rPr>
          <w:rFonts w:hint="default" w:ascii="Arial" w:hAnsi="Arial" w:eastAsia="Calibri" w:cs="Arial"/>
          <w:color w:val="auto"/>
          <w:sz w:val="24"/>
        </w:rPr>
        <w:t>release project resources to the business</w:t>
      </w:r>
      <w:r>
        <w:rPr>
          <w:rFonts w:hint="default" w:ascii="Arial" w:hAnsi="Arial" w:eastAsia="Calibri" w:cs="Arial"/>
          <w:color w:val="auto"/>
          <w:sz w:val="24"/>
          <w:lang w:val="en-US"/>
        </w:rPr>
        <w:t>;</w:t>
      </w:r>
    </w:p>
    <w:p>
      <w:pPr>
        <w:numPr>
          <w:ilvl w:val="0"/>
          <w:numId w:val="4"/>
        </w:numPr>
        <w:tabs>
          <w:tab w:val="left" w:pos="420"/>
        </w:tabs>
        <w:spacing w:beforeLines="0" w:afterLines="0" w:line="360" w:lineRule="auto"/>
        <w:ind w:left="420" w:leftChars="0" w:hanging="420" w:firstLineChars="0"/>
        <w:jc w:val="left"/>
        <w:rPr>
          <w:rFonts w:hint="default" w:ascii="Arial" w:hAnsi="Arial" w:eastAsia="Calibri" w:cs="Arial"/>
          <w:color w:val="auto"/>
          <w:sz w:val="24"/>
          <w:lang w:val="en-US"/>
        </w:rPr>
      </w:pPr>
      <w:r>
        <w:rPr>
          <w:rFonts w:hint="default" w:ascii="Arial" w:hAnsi="Arial" w:eastAsia="Calibri" w:cs="Arial"/>
          <w:color w:val="auto"/>
          <w:sz w:val="24"/>
        </w:rPr>
        <w:t>Communicating closure to all stakeholders and interested parties</w:t>
      </w:r>
      <w:r>
        <w:rPr>
          <w:rFonts w:hint="default" w:ascii="Arial" w:hAnsi="Arial" w:eastAsia="Calibri" w:cs="Arial"/>
          <w:color w:val="auto"/>
          <w:sz w:val="24"/>
          <w:lang w:val="en-US"/>
        </w:rPr>
        <w:t>, and</w:t>
      </w:r>
    </w:p>
    <w:p>
      <w:pPr>
        <w:numPr>
          <w:ilvl w:val="0"/>
          <w:numId w:val="4"/>
        </w:numPr>
        <w:tabs>
          <w:tab w:val="left" w:pos="420"/>
        </w:tabs>
        <w:spacing w:beforeLines="0" w:afterLines="0" w:line="360" w:lineRule="auto"/>
        <w:ind w:left="420" w:leftChars="0" w:hanging="420" w:firstLineChars="0"/>
        <w:jc w:val="left"/>
        <w:rPr>
          <w:rFonts w:hint="default" w:ascii="Arial" w:hAnsi="Arial" w:cs="Arial"/>
          <w:color w:val="auto"/>
          <w:sz w:val="24"/>
          <w:szCs w:val="32"/>
        </w:rPr>
      </w:pPr>
      <w:r>
        <w:rPr>
          <w:rFonts w:hint="default" w:ascii="Arial" w:hAnsi="Arial" w:eastAsia="Calibri" w:cs="Arial"/>
          <w:color w:val="auto"/>
          <w:sz w:val="24"/>
        </w:rPr>
        <w:t>Producing a handover plan to transfer the deliverables to the customer environment.</w:t>
      </w:r>
    </w:p>
    <w:sectPr>
      <w:headerReference r:id="rId5" w:type="default"/>
      <w:pgSz w:w="11906" w:h="16838"/>
      <w:pgMar w:top="1440" w:right="1440" w:bottom="1440" w:left="144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2AFF" w:usb1="C000247B" w:usb2="00000009" w:usb3="00000000" w:csb0="200001F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roma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decorative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moder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roma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vertMT-Bold">
    <w:altName w:val="AlienCare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AlienCare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imSun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ienCaret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YaHe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Microsoft YaHei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Microsoft YaHei UI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NSimSun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dobe Devanagari">
    <w:panose1 w:val="02040503050201020203"/>
    <w:charset w:val="00"/>
    <w:family w:val="auto"/>
    <w:pitch w:val="default"/>
    <w:sig w:usb0="00008003" w:usb1="00000000" w:usb2="00000000" w:usb3="00000000" w:csb0="20000001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roman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CalvertMT-Bold">
    <w:altName w:val="AlienCare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Bliss-Regular">
    <w:altName w:val="AlienCare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imSun">
    <w:panose1 w:val="02010600030101010101"/>
    <w:charset w:val="86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modern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modern"/>
    <w:pitch w:val="default"/>
    <w:sig w:usb0="E1002EFF" w:usb1="C000605B" w:usb2="00000029" w:usb3="00000000" w:csb0="200101FF" w:csb1="20280000"/>
  </w:font>
  <w:font w:name="CalvertMT-Bold">
    <w:altName w:val="AlienCare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Bliss-Regular">
    <w:altName w:val="AlienCare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imSun">
    <w:panose1 w:val="02010600030101010101"/>
    <w:charset w:val="86"/>
    <w:family w:val="swiss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Source Sans Pro">
    <w:altName w:val="AlienCare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,Italic">
    <w:altName w:val="AlienCare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86"/>
    <w:family w:val="decorative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CalvertMT-Bold">
    <w:altName w:val="AlienCare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Bliss-Regular">
    <w:altName w:val="AlienCare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Open Sans">
    <w:altName w:val="AlienCare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swiss"/>
    <w:pitch w:val="default"/>
    <w:sig w:usb0="00000287" w:usb1="00000000" w:usb2="00000000" w:usb3="00000000" w:csb0="0000009F" w:csb1="DFD70000"/>
  </w:font>
  <w:font w:name="Garamond">
    <w:panose1 w:val="02020404030301010803"/>
    <w:charset w:val="00"/>
    <w:family w:val="decorative"/>
    <w:pitch w:val="default"/>
    <w:sig w:usb0="00000287" w:usb1="00000000" w:usb2="00000000" w:usb3="00000000" w:csb0="0000009F" w:csb1="DFD70000"/>
  </w:font>
  <w:font w:name="segoe_uiregular">
    <w:altName w:val="AlienCare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Garamond">
    <w:panose1 w:val="02020404030301010803"/>
    <w:charset w:val="00"/>
    <w:family w:val="modern"/>
    <w:pitch w:val="default"/>
    <w:sig w:usb0="00000287" w:usb1="00000000" w:usb2="00000000" w:usb3="00000000" w:csb0="0000009F" w:csb1="DFD70000"/>
  </w:font>
  <w:font w:name="SimSun">
    <w:panose1 w:val="02010600030101010101"/>
    <w:charset w:val="86"/>
    <w:family w:val="roman"/>
    <w:pitch w:val="variable"/>
    <w:sig w:usb0="00000003" w:usb1="288F0000" w:usb2="00000006" w:usb3="00000000" w:csb0="00040001" w:csb1="00000000"/>
  </w:font>
  <w:font w:name="myriad-pro">
    <w:altName w:val="AlienCare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ienCaret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alibri,Bold">
    <w:altName w:val="AlienCare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lienCaret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</w:pPr>
    <w:r>
      <w:rPr>
        <w:sz w:val="22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745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M6pebnPAAAABQEAAA8AAAAAAAAA&#10;AQAgAAAAIgAAAGRycy9kb3ducmV2LnhtbFBLAQIUABQAAAAIAIdO4kBRyB47qAEAAF0DAAAOAAAA&#10;AAAAAAEAIAAAAB4BAABkcnMvZTJvRG9jLnhtbFBLBQYAAAAABgAGAFkBAAA4BQAAAAA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  <w:lang w:val="en-US"/>
                      </w:rPr>
                    </w:pPr>
                    <w:r>
                      <w:rPr>
                        <w:sz w:val="18"/>
                        <w:lang w:val="en-US"/>
                      </w:rPr>
                      <w:fldChar w:fldCharType="begin"/>
                    </w:r>
                    <w:r>
                      <w:rPr>
                        <w:sz w:val="1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lang w:val="en-US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81140686">
    <w:nsid w:val="584869CE"/>
    <w:multiLevelType w:val="singleLevel"/>
    <w:tmpl w:val="584869CE"/>
    <w:lvl w:ilvl="0" w:tentative="1">
      <w:start w:val="2"/>
      <w:numFmt w:val="decimal"/>
      <w:suff w:val="space"/>
      <w:lvlText w:val="%1."/>
      <w:lvlJc w:val="left"/>
    </w:lvl>
  </w:abstractNum>
  <w:abstractNum w:abstractNumId="1481146567">
    <w:nsid w:val="584880C7"/>
    <w:multiLevelType w:val="singleLevel"/>
    <w:tmpl w:val="584880C7"/>
    <w:lvl w:ilvl="0" w:tentative="1">
      <w:start w:val="4"/>
      <w:numFmt w:val="decimal"/>
      <w:suff w:val="space"/>
      <w:lvlText w:val="%1."/>
      <w:lvlJc w:val="left"/>
    </w:lvl>
  </w:abstractNum>
  <w:abstractNum w:abstractNumId="1481146908">
    <w:nsid w:val="5848821C"/>
    <w:multiLevelType w:val="singleLevel"/>
    <w:tmpl w:val="5848821C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81145989">
    <w:nsid w:val="58487E85"/>
    <w:multiLevelType w:val="singleLevel"/>
    <w:tmpl w:val="58487E85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481140686"/>
  </w:num>
  <w:num w:numId="2">
    <w:abstractNumId w:val="1481145989"/>
  </w:num>
  <w:num w:numId="3">
    <w:abstractNumId w:val="1481146567"/>
  </w:num>
  <w:num w:numId="4">
    <w:abstractNumId w:val="1481146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32F27C8"/>
    <w:rsid w:val="04AA4233"/>
    <w:rsid w:val="0AA53284"/>
    <w:rsid w:val="0AB24B18"/>
    <w:rsid w:val="12F21BA5"/>
    <w:rsid w:val="16FB4F43"/>
    <w:rsid w:val="1DC323E3"/>
    <w:rsid w:val="269F5C69"/>
    <w:rsid w:val="368F6E0E"/>
    <w:rsid w:val="3C8D6DE4"/>
    <w:rsid w:val="3ED1739E"/>
    <w:rsid w:val="405567A2"/>
    <w:rsid w:val="40FF4A82"/>
    <w:rsid w:val="43FF1BF3"/>
    <w:rsid w:val="449B239D"/>
    <w:rsid w:val="48B459D5"/>
    <w:rsid w:val="4A072E04"/>
    <w:rsid w:val="4DF655F8"/>
    <w:rsid w:val="5347092C"/>
    <w:rsid w:val="59F11DE5"/>
    <w:rsid w:val="633330CC"/>
    <w:rsid w:val="6B333AEC"/>
    <w:rsid w:val="77E116BC"/>
    <w:rsid w:val="78C209AA"/>
    <w:rsid w:val="7A2F48A0"/>
  </w:rsids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qFormat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qFormat/>
    <w:uiPriority w:val="99"/>
  </w:style>
  <w:style w:type="character" w:customStyle="1" w:styleId="9">
    <w:name w:val="Footer Char"/>
    <w:basedOn w:val="5"/>
    <w:link w:val="3"/>
    <w:semiHidden/>
    <w:qFormat/>
    <w:uiPriority w:val="99"/>
  </w:style>
  <w:style w:type="character" w:customStyle="1" w:styleId="10">
    <w:name w:val="Balloon Text Char"/>
    <w:basedOn w:val="5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734</CharactersWithSpaces>
  <Application>WPS Office_10.1.0.5656_F1E327BC-269C-435d-A152-05C5408002CA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Misko</cp:lastModifiedBy>
  <dcterms:modified xsi:type="dcterms:W3CDTF">2016-12-07T21:45:08Z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1033-10.1.0.5656</vt:lpwstr>
  </property>
</Properties>
</file>