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Default"/>
        <w:rPr>
          <w:rFonts w:ascii="Calibri" w:cs="Calibri" w:hAnsi="Calibri" w:eastAsia="Calibri"/>
        </w:rPr>
      </w:pPr>
      <w:r>
        <w:rPr>
          <w:rFonts w:ascii="Calibri" w:cs="Calibri" w:hAnsi="Calibri" w:eastAsia="Calibri"/>
          <w:rtl w:val="0"/>
        </w:rPr>
        <w:drawing>
          <wp:anchor distT="0" distB="0" distL="0" distR="0" simplePos="0" relativeHeight="251659264" behindDoc="0" locked="0" layoutInCell="1" allowOverlap="1">
            <wp:simplePos x="0" y="0"/>
            <wp:positionH relativeFrom="column">
              <wp:posOffset>-342900</wp:posOffset>
            </wp:positionH>
            <wp:positionV relativeFrom="line">
              <wp:posOffset>-295275</wp:posOffset>
            </wp:positionV>
            <wp:extent cx="2809876" cy="1419225"/>
            <wp:effectExtent l="0" t="0" r="0" b="0"/>
            <wp:wrapNone/>
            <wp:docPr id="1073741825" name="officeArt object" descr="BOLC_Logo"/>
            <wp:cNvGraphicFramePr/>
            <a:graphic xmlns:a="http://schemas.openxmlformats.org/drawingml/2006/main">
              <a:graphicData uri="http://schemas.openxmlformats.org/drawingml/2006/picture">
                <pic:pic xmlns:pic="http://schemas.openxmlformats.org/drawingml/2006/picture">
                  <pic:nvPicPr>
                    <pic:cNvPr id="1073741825" name="image1.png" descr="BOLC_Logo"/>
                    <pic:cNvPicPr/>
                  </pic:nvPicPr>
                  <pic:blipFill>
                    <a:blip r:embed="rId4">
                      <a:extLst/>
                    </a:blip>
                    <a:srcRect l="20320" t="20000" r="23669" b="32001"/>
                    <a:stretch>
                      <a:fillRect/>
                    </a:stretch>
                  </pic:blipFill>
                  <pic:spPr>
                    <a:xfrm>
                      <a:off x="0" y="0"/>
                      <a:ext cx="2809876" cy="1419225"/>
                    </a:xfrm>
                    <a:prstGeom prst="rect">
                      <a:avLst/>
                    </a:prstGeom>
                    <a:ln w="12700" cap="flat">
                      <a:noFill/>
                      <a:miter lim="400000"/>
                    </a:ln>
                    <a:effectLst/>
                  </pic:spPr>
                </pic:pic>
              </a:graphicData>
            </a:graphic>
          </wp:anchor>
        </w:drawing>
      </w:r>
      <w:r>
        <w:rPr>
          <w:rFonts w:ascii="Calibri" w:cs="Calibri" w:hAnsi="Calibri" w:eastAsia="Calibri"/>
          <w:rtl w:val="0"/>
          <w:lang w:val="en-US"/>
        </w:rPr>
        <w:t xml:space="preserve">                                                                  </w:t>
      </w:r>
    </w:p>
    <w:p>
      <w:pPr>
        <w:pStyle w:val="Body"/>
        <w:rPr>
          <w:lang w:val="en-US"/>
        </w:rPr>
      </w:pPr>
      <w:r>
        <w:rPr>
          <w:rtl w:val="0"/>
        </w:rPr>
        <mc:AlternateContent>
          <mc:Choice Requires="wpg">
            <w:drawing>
              <wp:anchor distT="152400" distB="152400" distL="152400" distR="152400" simplePos="0" relativeHeight="251660288" behindDoc="0" locked="0" layoutInCell="1" allowOverlap="1">
                <wp:simplePos x="0" y="0"/>
                <wp:positionH relativeFrom="column">
                  <wp:posOffset>2889885</wp:posOffset>
                </wp:positionH>
                <wp:positionV relativeFrom="line">
                  <wp:posOffset>99694</wp:posOffset>
                </wp:positionV>
                <wp:extent cx="3114040" cy="466725"/>
                <wp:effectExtent l="0" t="0" r="0" b="0"/>
                <wp:wrapThrough wrapText="bothSides" distL="152400" distR="152400">
                  <wp:wrapPolygon edited="1">
                    <wp:start x="0" y="0"/>
                    <wp:lineTo x="21600" y="0"/>
                    <wp:lineTo x="21600" y="21600"/>
                    <wp:lineTo x="0" y="21600"/>
                    <wp:lineTo x="0" y="0"/>
                  </wp:wrapPolygon>
                </wp:wrapThrough>
                <wp:docPr id="1073741828" name="officeArt object"/>
                <wp:cNvGraphicFramePr/>
                <a:graphic xmlns:a="http://schemas.openxmlformats.org/drawingml/2006/main">
                  <a:graphicData uri="http://schemas.microsoft.com/office/word/2010/wordprocessingGroup">
                    <wpg:wgp>
                      <wpg:cNvGrpSpPr/>
                      <wpg:grpSpPr>
                        <a:xfrm>
                          <a:off x="0" y="0"/>
                          <a:ext cx="3114040" cy="466725"/>
                          <a:chOff x="0" y="0"/>
                          <a:chExt cx="3114039" cy="466725"/>
                        </a:xfrm>
                      </wpg:grpSpPr>
                      <wps:wsp>
                        <wps:cNvPr id="1073741826" name="Shape 1073741826"/>
                        <wps:cNvSpPr/>
                        <wps:spPr>
                          <a:xfrm>
                            <a:off x="0" y="0"/>
                            <a:ext cx="3114040" cy="466725"/>
                          </a:xfrm>
                          <a:prstGeom prst="rect">
                            <a:avLst/>
                          </a:prstGeom>
                          <a:solidFill>
                            <a:srgbClr val="FFFFFF"/>
                          </a:solidFill>
                          <a:ln w="12700" cap="flat">
                            <a:noFill/>
                            <a:miter lim="400000"/>
                          </a:ln>
                          <a:effectLst/>
                        </wps:spPr>
                        <wps:bodyPr/>
                      </wps:wsp>
                      <wps:wsp>
                        <wps:cNvPr id="1073741827" name="Shape 1073741827"/>
                        <wps:cNvSpPr/>
                        <wps:spPr>
                          <a:xfrm>
                            <a:off x="0" y="0"/>
                            <a:ext cx="3114040" cy="466725"/>
                          </a:xfrm>
                          <a:prstGeom prst="rect">
                            <a:avLst/>
                          </a:prstGeom>
                          <a:noFill/>
                          <a:ln w="12700" cap="flat">
                            <a:noFill/>
                            <a:miter lim="400000"/>
                          </a:ln>
                          <a:effectLst/>
                        </wps:spPr>
                        <wps:txbx>
                          <w:txbxContent>
                            <w:p>
                              <w:pPr>
                                <w:pStyle w:val="Body"/>
                                <w:jc w:val="center"/>
                              </w:pPr>
                              <w:r>
                                <w:rPr>
                                  <w:rFonts w:ascii="Trebuchet MS"/>
                                  <w:sz w:val="24"/>
                                  <w:szCs w:val="24"/>
                                  <w:rtl w:val="0"/>
                                </w:rPr>
                                <w:t xml:space="preserve">   </w:t>
                              </w:r>
                              <w:r>
                                <w:rPr>
                                  <w:rFonts w:ascii="Calibri" w:cs="Calibri" w:hAnsi="Calibri" w:eastAsia="Calibri"/>
                                  <w:b w:val="1"/>
                                  <w:bCs w:val="1"/>
                                  <w:color w:val="002060"/>
                                  <w:sz w:val="44"/>
                                  <w:szCs w:val="44"/>
                                  <w:u w:color="002060"/>
                                  <w:rtl w:val="0"/>
                                  <w:lang w:val="en-US"/>
                                </w:rPr>
                                <w:t>Assignment Cover Sheet</w:t>
                              </w:r>
                              <w:r>
                                <w:rPr>
                                  <w:rFonts w:ascii="Calibri" w:cs="Calibri" w:hAnsi="Calibri" w:eastAsia="Calibri"/>
                                  <w:b w:val="1"/>
                                  <w:bCs w:val="1"/>
                                  <w:color w:val="002060"/>
                                  <w:sz w:val="44"/>
                                  <w:szCs w:val="44"/>
                                  <w:u w:color="002060"/>
                                </w:rPr>
                              </w:r>
                            </w:p>
                          </w:txbxContent>
                        </wps:txbx>
                        <wps:bodyPr wrap="square" lIns="45719" tIns="45719" rIns="45719" bIns="45719" numCol="1" anchor="t">
                          <a:noAutofit/>
                        </wps:bodyPr>
                      </wps:wsp>
                    </wpg:wgp>
                  </a:graphicData>
                </a:graphic>
              </wp:anchor>
            </w:drawing>
          </mc:Choice>
          <mc:Fallback>
            <w:pict>
              <v:group id="_x0000_s1026" style="visibility:visible;position:absolute;margin-left:227.6pt;margin-top:7.8pt;width:245.2pt;height:36.8pt;z-index:251660288;mso-position-horizontal:absolute;mso-position-horizontal-relative:text;mso-position-vertical:absolute;mso-position-vertical-relative:line;mso-wrap-distance-left:12.0pt;mso-wrap-distance-top:12.0pt;mso-wrap-distance-right:12.0pt;mso-wrap-distance-bottom:12.0pt;" coordorigin="0,0" coordsize="3114040,466725">
                <w10:wrap type="through" side="bothSides" anchorx="text"/>
                <v:rect id="_x0000_s1027" style="position:absolute;left:0;top:0;width:3114040;height:466725;">
                  <v:fill color="#FFFFFF" opacity="100.0%" type="solid"/>
                  <v:stroke on="f" weight="1.0pt" dashstyle="solid" endcap="flat" miterlimit="400.0%" joinstyle="miter" linestyle="single" startarrow="none" startarrowwidth="medium" startarrowlength="medium" endarrow="none" endarrowwidth="medium" endarrowlength="medium"/>
                </v:rect>
                <v:rect id="_x0000_s1028" style="position:absolute;left:0;top:0;width:3114040;height:466725;">
                  <v:fill on="f"/>
                  <v:stroke on="f" weight="1.0pt" dashstyle="solid" endcap="flat" miterlimit="400.0%" joinstyle="miter" linestyle="single" startarrow="none" startarrowwidth="medium" startarrowlength="medium" endarrow="none" endarrowwidth="medium" endarrowlength="medium"/>
                  <v:textbox>
                    <w:txbxContent>
                      <w:p>
                        <w:pPr>
                          <w:pStyle w:val="Body"/>
                          <w:jc w:val="center"/>
                        </w:pPr>
                        <w:r>
                          <w:rPr>
                            <w:rFonts w:ascii="Trebuchet MS"/>
                            <w:sz w:val="24"/>
                            <w:szCs w:val="24"/>
                            <w:rtl w:val="0"/>
                          </w:rPr>
                          <w:t xml:space="preserve">   </w:t>
                        </w:r>
                        <w:r>
                          <w:rPr>
                            <w:rFonts w:ascii="Calibri" w:cs="Calibri" w:hAnsi="Calibri" w:eastAsia="Calibri"/>
                            <w:b w:val="1"/>
                            <w:bCs w:val="1"/>
                            <w:color w:val="002060"/>
                            <w:sz w:val="44"/>
                            <w:szCs w:val="44"/>
                            <w:u w:color="002060"/>
                            <w:rtl w:val="0"/>
                            <w:lang w:val="en-US"/>
                          </w:rPr>
                          <w:t>Assignment Cover Sheet</w:t>
                        </w:r>
                        <w:r>
                          <w:rPr>
                            <w:rFonts w:ascii="Calibri" w:cs="Calibri" w:hAnsi="Calibri" w:eastAsia="Calibri"/>
                            <w:b w:val="1"/>
                            <w:bCs w:val="1"/>
                            <w:color w:val="002060"/>
                            <w:sz w:val="44"/>
                            <w:szCs w:val="44"/>
                            <w:u w:color="002060"/>
                          </w:rPr>
                        </w:r>
                      </w:p>
                    </w:txbxContent>
                  </v:textbox>
                </v:rect>
              </v:group>
            </w:pict>
          </mc:Fallback>
        </mc:AlternateContent>
      </w:r>
    </w:p>
    <w:p>
      <w:pPr>
        <w:pStyle w:val="Body"/>
        <w:rPr>
          <w:lang w:val="en-US"/>
        </w:rPr>
      </w:pPr>
    </w:p>
    <w:p>
      <w:pPr>
        <w:pStyle w:val="Body"/>
        <w:rPr>
          <w:lang w:val="en-US"/>
        </w:rPr>
      </w:pPr>
    </w:p>
    <w:p>
      <w:pPr>
        <w:pStyle w:val="Body"/>
        <w:rPr>
          <w:lang w:val="en-US"/>
        </w:rPr>
      </w:pPr>
    </w:p>
    <w:tbl>
      <w:tblPr>
        <w:tblW w:w="9242"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2566"/>
        <w:gridCol w:w="6676"/>
      </w:tblGrid>
      <w:tr>
        <w:tblPrEx>
          <w:shd w:val="clear" w:color="auto" w:fill="auto"/>
        </w:tblPrEx>
        <w:trPr>
          <w:trHeight w:val="29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rFonts w:ascii="Calibri" w:cs="Calibri" w:hAnsi="Calibri" w:eastAsia="Calibri"/>
                <w:b w:val="1"/>
                <w:bCs w:val="1"/>
                <w:caps w:val="0"/>
                <w:smallCaps w:val="0"/>
                <w:strike w:val="0"/>
                <w:dstrike w:val="0"/>
                <w:outline w:val="0"/>
                <w:color w:val="002060"/>
                <w:spacing w:val="0"/>
                <w:kern w:val="0"/>
                <w:position w:val="0"/>
                <w:sz w:val="22"/>
                <w:szCs w:val="22"/>
                <w:u w:val="none" w:color="002060"/>
                <w:vertAlign w:val="baseline"/>
                <w:rtl w:val="0"/>
                <w:lang w:val="en-US"/>
              </w:rPr>
              <w:t>Student Name:</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pPr>
            <w:r>
              <w:rPr>
                <w:rFonts w:ascii="Calibri" w:cs="Calibri" w:hAnsi="Calibri" w:eastAsia="Calibri"/>
                <w:caps w:val="0"/>
                <w:smallCaps w:val="0"/>
                <w:strike w:val="0"/>
                <w:dstrike w:val="0"/>
                <w:outline w:val="0"/>
                <w:color w:val="000000"/>
                <w:spacing w:val="0"/>
                <w:kern w:val="0"/>
                <w:position w:val="0"/>
                <w:sz w:val="24"/>
                <w:szCs w:val="24"/>
                <w:u w:val="none" w:color="000000"/>
                <w:vertAlign w:val="baseline"/>
                <w:rtl w:val="0"/>
                <w:lang w:val="en-US"/>
              </w:rPr>
              <w:t>Danah Al-Khatrash</w:t>
            </w:r>
          </w:p>
        </w:tc>
      </w:tr>
      <w:tr>
        <w:tblPrEx>
          <w:shd w:val="clear" w:color="auto" w:fill="auto"/>
        </w:tblPrEx>
        <w:trPr>
          <w:trHeight w:val="25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rFonts w:ascii="Calibri" w:cs="Calibri" w:hAnsi="Calibri" w:eastAsia="Calibri"/>
                <w:b w:val="1"/>
                <w:bCs w:val="1"/>
                <w:caps w:val="0"/>
                <w:smallCaps w:val="0"/>
                <w:strike w:val="0"/>
                <w:dstrike w:val="0"/>
                <w:outline w:val="0"/>
                <w:color w:val="002060"/>
                <w:spacing w:val="0"/>
                <w:kern w:val="0"/>
                <w:position w:val="0"/>
                <w:sz w:val="22"/>
                <w:szCs w:val="22"/>
                <w:u w:val="none" w:color="002060"/>
                <w:vertAlign w:val="baseline"/>
                <w:rtl w:val="0"/>
                <w:lang w:val="en-US"/>
              </w:rPr>
              <w:t>Student Number:</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pPr>
            <w:r>
              <w:rPr>
                <w:rFonts w:ascii="Trebuchet MS"/>
                <w:rtl w:val="0"/>
              </w:rPr>
              <w:t>1472</w:t>
            </w:r>
          </w:p>
        </w:tc>
      </w:tr>
      <w:tr>
        <w:tblPrEx>
          <w:shd w:val="clear" w:color="auto" w:fill="auto"/>
        </w:tblPrEx>
        <w:trPr>
          <w:trHeight w:val="29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rFonts w:ascii="Calibri" w:cs="Calibri" w:hAnsi="Calibri" w:eastAsia="Calibri"/>
                <w:b w:val="1"/>
                <w:bCs w:val="1"/>
                <w:caps w:val="0"/>
                <w:smallCaps w:val="0"/>
                <w:strike w:val="0"/>
                <w:dstrike w:val="0"/>
                <w:outline w:val="0"/>
                <w:color w:val="002060"/>
                <w:spacing w:val="0"/>
                <w:kern w:val="0"/>
                <w:position w:val="0"/>
                <w:sz w:val="22"/>
                <w:szCs w:val="22"/>
                <w:u w:val="none" w:color="002060"/>
                <w:vertAlign w:val="baseline"/>
                <w:rtl w:val="0"/>
                <w:lang w:val="en-US"/>
              </w:rPr>
              <w:t>Course:</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pPr>
            <w:r>
              <w:rPr>
                <w:rFonts w:ascii="Calibri" w:cs="Calibri" w:hAnsi="Calibri" w:eastAsia="Calibri"/>
                <w:caps w:val="0"/>
                <w:smallCaps w:val="0"/>
                <w:strike w:val="0"/>
                <w:dstrike w:val="0"/>
                <w:outline w:val="0"/>
                <w:color w:val="000000"/>
                <w:spacing w:val="0"/>
                <w:kern w:val="0"/>
                <w:position w:val="0"/>
                <w:sz w:val="24"/>
                <w:szCs w:val="24"/>
                <w:u w:val="none" w:color="000000"/>
                <w:vertAlign w:val="baseline"/>
                <w:rtl w:val="0"/>
                <w:lang w:val="en-US"/>
              </w:rPr>
              <w:t>Diploma in Child Psychology</w:t>
            </w:r>
          </w:p>
        </w:tc>
      </w:tr>
      <w:tr>
        <w:tblPrEx>
          <w:shd w:val="clear" w:color="auto" w:fill="auto"/>
        </w:tblPrEx>
        <w:trPr>
          <w:trHeight w:val="25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rFonts w:ascii="Calibri" w:cs="Calibri" w:hAnsi="Calibri" w:eastAsia="Calibri"/>
                <w:b w:val="1"/>
                <w:bCs w:val="1"/>
                <w:caps w:val="0"/>
                <w:smallCaps w:val="0"/>
                <w:strike w:val="0"/>
                <w:dstrike w:val="0"/>
                <w:outline w:val="0"/>
                <w:color w:val="002060"/>
                <w:spacing w:val="0"/>
                <w:kern w:val="0"/>
                <w:position w:val="0"/>
                <w:sz w:val="22"/>
                <w:szCs w:val="22"/>
                <w:u w:val="none" w:color="002060"/>
                <w:vertAlign w:val="baseline"/>
                <w:rtl w:val="0"/>
                <w:lang w:val="en-US"/>
              </w:rPr>
              <w:t>Assignment NO:</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rFonts w:ascii="Trebuchet MS"/>
                <w:rtl w:val="0"/>
                <w:lang w:val="en-US"/>
              </w:rPr>
              <w:t>4</w:t>
            </w:r>
          </w:p>
        </w:tc>
      </w:tr>
    </w:tbl>
    <w:p>
      <w:pPr>
        <w:pStyle w:val="Body"/>
        <w:spacing w:line="240" w:lineRule="auto"/>
        <w:rPr>
          <w:lang w:val="en-US"/>
        </w:rPr>
      </w:pPr>
    </w:p>
    <w:p>
      <w:pPr>
        <w:pStyle w:val="Body"/>
        <w:rPr>
          <w:rFonts w:ascii="Calibri" w:cs="Calibri" w:hAnsi="Calibri" w:eastAsia="Calibri"/>
          <w:b w:val="1"/>
          <w:bCs w:val="1"/>
          <w:lang w:val="en-US"/>
        </w:rPr>
      </w:pPr>
    </w:p>
    <w:p>
      <w:pPr>
        <w:pStyle w:val="Body"/>
        <w:rPr>
          <w:rFonts w:ascii="Calibri" w:cs="Calibri" w:hAnsi="Calibri" w:eastAsia="Calibri"/>
          <w:b w:val="1"/>
          <w:bCs w:val="1"/>
          <w:sz w:val="28"/>
          <w:szCs w:val="28"/>
          <w:lang w:val="en-US"/>
        </w:rPr>
      </w:pPr>
      <w:r>
        <w:rPr>
          <w:rFonts w:ascii="Calibri" w:cs="Calibri" w:hAnsi="Calibri" w:eastAsia="Calibri"/>
          <w:b w:val="1"/>
          <w:bCs w:val="1"/>
          <w:sz w:val="28"/>
          <w:szCs w:val="28"/>
          <w:rtl w:val="0"/>
          <w:lang w:val="en-US"/>
        </w:rPr>
        <w:t>Marking Criteria:</w:t>
      </w:r>
    </w:p>
    <w:p>
      <w:pPr>
        <w:pStyle w:val="Body"/>
        <w:rPr>
          <w:lang w:val="en-US"/>
        </w:rPr>
      </w:pPr>
      <w:r>
        <w:rPr>
          <w:rFonts w:ascii="Calibri" w:cs="Calibri" w:hAnsi="Calibri" w:eastAsia="Calibri"/>
          <w:b w:val="1"/>
          <w:bCs w:val="1"/>
          <w:rtl w:val="0"/>
          <w:lang w:val="en-US"/>
        </w:rPr>
        <w:t xml:space="preserve"> </w:t>
      </w:r>
      <w:r>
        <w:rPr>
          <w:rFonts w:ascii="Calibri" w:cs="Calibri" w:hAnsi="Calibri" w:eastAsia="Calibri"/>
          <w:rtl w:val="0"/>
          <w:lang w:val="en-US"/>
        </w:rPr>
        <w:t>We expect the learners to write minimum one well expressed point in three lines against each allocated mark. This means one needs to write 15 lines with 5 well expressed points to get high grades for a 5 marks question.</w:t>
      </w:r>
    </w:p>
    <w:p>
      <w:pPr>
        <w:pStyle w:val="Body"/>
        <w:rPr>
          <w:lang w:val="en-US"/>
        </w:rPr>
      </w:pPr>
      <w:r>
        <w:rPr>
          <w:rFonts w:ascii="Calibri" w:cs="Calibri" w:hAnsi="Calibri" w:eastAsia="Calibri"/>
          <w:rtl w:val="0"/>
          <w:lang w:val="en-US"/>
        </w:rPr>
        <w:t xml:space="preserve">For high grades use examples and illustrations where appropriate. </w:t>
      </w:r>
    </w:p>
    <w:tbl>
      <w:tblPr>
        <w:tblW w:w="9242"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9242"/>
      </w:tblGrid>
      <w:tr>
        <w:tblPrEx>
          <w:shd w:val="clear" w:color="auto" w:fill="auto"/>
        </w:tblPrEx>
        <w:trPr>
          <w:trHeight w:val="13800" w:hRule="atLeast"/>
        </w:trPr>
        <w:tc>
          <w:tcPr>
            <w:tcW w:type="dxa" w:w="924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List Paragraph"/>
              <w:spacing w:after="0" w:line="240" w:lineRule="auto"/>
              <w:ind w:left="0" w:firstLine="0"/>
              <w:jc w:val="both"/>
              <w:rPr>
                <w:rFonts w:ascii="Trebuchet MS Bold" w:cs="Trebuchet MS Bold" w:hAnsi="Trebuchet MS Bold" w:eastAsia="Trebuchet MS Bold"/>
              </w:rPr>
            </w:pPr>
            <w:r>
              <w:rPr>
                <w:rFonts w:ascii="Trebuchet MS Bold"/>
                <w:rtl w:val="0"/>
                <w:lang w:val="en-US"/>
              </w:rPr>
              <w:t>1.</w:t>
            </w:r>
            <w:r>
              <w:rPr>
                <w:rFonts w:ascii="Trebuchet MS Bold"/>
                <w:rtl w:val="0"/>
                <w:lang w:val="en-US"/>
              </w:rPr>
              <w:t xml:space="preserve"> Children grieve differently depending on their own characteristics and personality traits. Also, environmental factors such as what their parents or caretakers have modeled for them, either directly or indirectly, will have an impact on their grieving process. Another factor to consider is the child</w:t>
            </w:r>
            <w:r>
              <w:rPr>
                <w:rFonts w:hAnsi="Trebuchet MS Bold" w:hint="default"/>
                <w:rtl w:val="0"/>
                <w:lang w:val="en-US"/>
              </w:rPr>
              <w:t>’</w:t>
            </w:r>
            <w:r>
              <w:rPr>
                <w:rFonts w:ascii="Trebuchet MS Bold"/>
                <w:rtl w:val="0"/>
                <w:lang w:val="en-US"/>
              </w:rPr>
              <w:t>s age. Babies and toddlers do not comprehend the notion of death but they can sense a change in their mother</w:t>
            </w:r>
            <w:r>
              <w:rPr>
                <w:rFonts w:hAnsi="Trebuchet MS Bold" w:hint="default"/>
                <w:rtl w:val="0"/>
                <w:lang w:val="en-US"/>
              </w:rPr>
              <w:t>’</w:t>
            </w:r>
            <w:r>
              <w:rPr>
                <w:rFonts w:ascii="Trebuchet MS Bold"/>
                <w:rtl w:val="0"/>
                <w:lang w:val="en-US"/>
              </w:rPr>
              <w:t>s mood during the grieving process and they react to this change by crying. Although primary school children may not openly express their feelings, they still feel shock, confusion and sadness about loss. Teenagers might react to grief by being absorbed in negative thoughts and emotions. Sometimes the expression of these emotions might be physical by displaying aggressive behaviour. In addition to this behaviour, grief might be shown by fervent mood swings and depression. Some common feelings that all children might feel is denial, worry, guilt and blaming others.</w:t>
            </w:r>
          </w:p>
          <w:p>
            <w:pPr>
              <w:pStyle w:val="List Paragraph"/>
              <w:spacing w:after="0" w:line="240" w:lineRule="auto"/>
              <w:ind w:left="0" w:firstLine="0"/>
              <w:jc w:val="both"/>
              <w:rPr>
                <w:rFonts w:ascii="Trebuchet MS Bold" w:cs="Trebuchet MS Bold" w:hAnsi="Trebuchet MS Bold" w:eastAsia="Trebuchet MS Bold"/>
              </w:rPr>
            </w:pPr>
          </w:p>
          <w:p>
            <w:pPr>
              <w:pStyle w:val="List Paragraph"/>
              <w:spacing w:after="0" w:line="240" w:lineRule="auto"/>
              <w:ind w:left="0" w:firstLine="0"/>
              <w:jc w:val="both"/>
              <w:rPr>
                <w:rFonts w:ascii="Trebuchet MS Bold" w:cs="Trebuchet MS Bold" w:hAnsi="Trebuchet MS Bold" w:eastAsia="Trebuchet MS Bold"/>
              </w:rPr>
            </w:pPr>
            <w:r>
              <w:rPr>
                <w:rFonts w:ascii="Trebuchet MS Bold"/>
                <w:rtl w:val="0"/>
                <w:lang w:val="en-US"/>
              </w:rPr>
              <w:t>2.</w:t>
            </w:r>
            <w:r>
              <w:rPr>
                <w:rFonts w:ascii="Trebuchet MS Bold"/>
                <w:rtl w:val="0"/>
                <w:lang w:val="en-US"/>
              </w:rPr>
              <w:t xml:space="preserve"> According to a study conducted by Bowlby in 1981, people of notable significance to a child have a calming effect on them when they are worried or sad. Children feel safe and protected when they are around those individuals. Even though infants do not understand the concept of death, they respond to separations from loved ones. When their caregivers grieve and the process takes a toll on their actions, this difference usually upsets children. In early childhood, children understand that they are permanently separated from a deceased love one. However, due to their confusion, they might still expect them to come back on special occasions. A typical, healthy response from a child is an initial state of anxiety. For some children, this anxiety will be persistent. It might cause sleeping problems, clinginess and insecurity.</w:t>
            </w:r>
          </w:p>
          <w:p>
            <w:pPr>
              <w:pStyle w:val="List Paragraph"/>
              <w:spacing w:after="0" w:line="240" w:lineRule="auto"/>
              <w:ind w:left="0" w:firstLine="0"/>
              <w:jc w:val="both"/>
              <w:rPr>
                <w:rFonts w:ascii="Trebuchet MS Bold" w:cs="Trebuchet MS Bold" w:hAnsi="Trebuchet MS Bold" w:eastAsia="Trebuchet MS Bold"/>
              </w:rPr>
            </w:pPr>
          </w:p>
          <w:p>
            <w:pPr>
              <w:pStyle w:val="List Paragraph"/>
              <w:spacing w:after="0" w:line="240" w:lineRule="auto"/>
              <w:ind w:left="0" w:firstLine="0"/>
              <w:jc w:val="both"/>
              <w:rPr>
                <w:rFonts w:ascii="Trebuchet MS Bold" w:cs="Trebuchet MS Bold" w:hAnsi="Trebuchet MS Bold" w:eastAsia="Trebuchet MS Bold"/>
              </w:rPr>
            </w:pPr>
            <w:r>
              <w:rPr>
                <w:rFonts w:ascii="Trebuchet MS Bold"/>
                <w:rtl w:val="0"/>
                <w:lang w:val="en-US"/>
              </w:rPr>
              <w:t>3.</w:t>
            </w:r>
            <w:r>
              <w:rPr>
                <w:rFonts w:ascii="Trebuchet MS Bold"/>
                <w:rtl w:val="0"/>
                <w:lang w:val="en-US"/>
              </w:rPr>
              <w:t xml:space="preserve"> In early childhood, sudden death is dealt with by confusion and anxiety. The child tries to make sense of the death by listening to adults</w:t>
            </w:r>
            <w:r>
              <w:rPr>
                <w:rFonts w:hAnsi="Trebuchet MS Bold" w:hint="default"/>
                <w:rtl w:val="0"/>
                <w:lang w:val="en-US"/>
              </w:rPr>
              <w:t xml:space="preserve">’ </w:t>
            </w:r>
            <w:r>
              <w:rPr>
                <w:rFonts w:ascii="Trebuchet MS Bold"/>
                <w:rtl w:val="0"/>
                <w:lang w:val="en-US"/>
              </w:rPr>
              <w:t>conversations around him. Some children understand the state of permanent separation but might still expect their loved ones to return on birthdays or holidays. In middle childhood, they are able to make more sense of death. For example, they know that it is not reversible, has many causes and it will happen to everyone. Sudden death will cause children to have bad dreams, trouble sleeping and weak academic performance. Also, in the short-term, it might affect their immune system. Children will tend to mirror their parents</w:t>
            </w:r>
            <w:r>
              <w:rPr>
                <w:rFonts w:hAnsi="Trebuchet MS Bold" w:hint="default"/>
                <w:rtl w:val="0"/>
                <w:lang w:val="en-US"/>
              </w:rPr>
              <w:t xml:space="preserve">’ </w:t>
            </w:r>
            <w:r>
              <w:rPr>
                <w:rFonts w:ascii="Trebuchet MS Bold"/>
                <w:rtl w:val="0"/>
                <w:lang w:val="en-US"/>
              </w:rPr>
              <w:t>reaction to death; they will react to the situation the same way that their parents do. At this age, children will downplay their emotions for the benefit of their loved ones. In late childhood, they react to sudden death by asking questions and wanting to know details of the trauma. In addition to physical reactions such as loss of appetite, inability to focus and remember things, adolescents might mentally prepare for the next traumatic shock.</w:t>
            </w:r>
          </w:p>
          <w:p>
            <w:pPr>
              <w:pStyle w:val="List Paragraph"/>
              <w:spacing w:after="0" w:line="240" w:lineRule="auto"/>
              <w:ind w:left="0" w:firstLine="0"/>
              <w:jc w:val="both"/>
              <w:rPr>
                <w:rFonts w:ascii="Trebuchet MS Bold" w:cs="Trebuchet MS Bold" w:hAnsi="Trebuchet MS Bold" w:eastAsia="Trebuchet MS Bold"/>
              </w:rPr>
            </w:pPr>
          </w:p>
          <w:p>
            <w:pPr>
              <w:pStyle w:val="List Paragraph"/>
              <w:spacing w:after="0" w:line="240" w:lineRule="auto"/>
              <w:ind w:left="0" w:firstLine="0"/>
              <w:jc w:val="both"/>
              <w:rPr>
                <w:rFonts w:ascii="Trebuchet MS Bold" w:cs="Trebuchet MS Bold" w:hAnsi="Trebuchet MS Bold" w:eastAsia="Trebuchet MS Bold"/>
              </w:rPr>
            </w:pPr>
            <w:r>
              <w:rPr>
                <w:rFonts w:ascii="Trebuchet MS Bold"/>
                <w:rtl w:val="0"/>
                <w:lang w:val="en-US"/>
              </w:rPr>
              <w:t xml:space="preserve">4. </w:t>
            </w:r>
            <w:r>
              <w:rPr>
                <w:rFonts w:ascii="Trebuchet MS Bold"/>
                <w:rtl w:val="0"/>
                <w:lang w:val="en-US"/>
              </w:rPr>
              <w:t>Whilst sudden death has a grave impact on children, actually witnessing these deaths has a more complex impact on children. Infants will be left needing more protection from their caregivers. Preschoolers will wonder if their actions had something to do with the death and they will feel responsible. In middle childhood, the images of what they witnessed will continue to play in their heads. This will affect their attention and concentration which will then impact their school performances. Also, they will lose interest in activities that they used to enjoy. Now that they are old enough to make sense of the sadness they feel and how others affected by the death feel, they are not expected to discuss what worries and concerns them. Distressing memories might resurface when emotions are triggered by watching stories on the news about tragic occurrences around the world. In late childhood, they will start wondering if any pain was involved in the process. Also, they will start blaming the person who they think caused it.</w:t>
            </w:r>
          </w:p>
          <w:p>
            <w:pPr>
              <w:pStyle w:val="List Paragraph"/>
              <w:spacing w:after="0" w:line="240" w:lineRule="auto"/>
              <w:ind w:left="720" w:firstLine="0"/>
              <w:jc w:val="both"/>
              <w:rPr>
                <w:rFonts w:ascii="Trebuchet MS Bold" w:cs="Trebuchet MS Bold" w:hAnsi="Trebuchet MS Bold" w:eastAsia="Trebuchet MS Bold"/>
              </w:rPr>
            </w:pPr>
          </w:p>
          <w:p>
            <w:pPr>
              <w:pStyle w:val="List Paragraph"/>
              <w:spacing w:after="0" w:line="240" w:lineRule="auto"/>
              <w:ind w:left="720" w:firstLine="0"/>
              <w:jc w:val="both"/>
              <w:rPr>
                <w:rFonts w:ascii="Trebuchet MS Bold" w:cs="Trebuchet MS Bold" w:hAnsi="Trebuchet MS Bold" w:eastAsia="Trebuchet MS Bold"/>
              </w:rPr>
            </w:pPr>
          </w:p>
          <w:p>
            <w:pPr>
              <w:pStyle w:val="List Paragraph"/>
              <w:spacing w:after="0" w:line="240" w:lineRule="auto"/>
              <w:ind w:left="720" w:firstLine="0"/>
              <w:rPr>
                <w:rFonts w:ascii="Trebuchet MS Bold" w:cs="Trebuchet MS Bold" w:hAnsi="Trebuchet MS Bold" w:eastAsia="Trebuchet MS Bold"/>
              </w:rPr>
            </w:pPr>
          </w:p>
          <w:p>
            <w:pPr>
              <w:pStyle w:val="List Paragraph"/>
              <w:spacing w:after="0" w:line="240" w:lineRule="auto"/>
              <w:ind w:left="720" w:firstLine="0"/>
              <w:rPr>
                <w:rFonts w:ascii="Trebuchet MS Bold" w:cs="Trebuchet MS Bold" w:hAnsi="Trebuchet MS Bold" w:eastAsia="Trebuchet MS Bold"/>
              </w:rPr>
            </w:pPr>
          </w:p>
          <w:p>
            <w:pPr>
              <w:pStyle w:val="List Paragraph"/>
              <w:spacing w:after="0" w:line="240" w:lineRule="auto"/>
              <w:ind w:left="720" w:firstLine="0"/>
              <w:rPr>
                <w:rFonts w:ascii="Trebuchet MS Bold" w:cs="Trebuchet MS Bold" w:hAnsi="Trebuchet MS Bold" w:eastAsia="Trebuchet MS Bold"/>
              </w:rPr>
            </w:pPr>
          </w:p>
          <w:p>
            <w:pPr>
              <w:pStyle w:val="List Paragraph"/>
              <w:spacing w:after="0" w:line="240" w:lineRule="auto"/>
              <w:ind w:left="720" w:firstLine="0"/>
              <w:rPr>
                <w:rFonts w:ascii="Trebuchet MS Bold" w:cs="Trebuchet MS Bold" w:hAnsi="Trebuchet MS Bold" w:eastAsia="Trebuchet MS Bold"/>
              </w:rPr>
            </w:pPr>
          </w:p>
          <w:p>
            <w:pPr>
              <w:pStyle w:val="List Paragraph"/>
              <w:spacing w:after="0" w:line="240" w:lineRule="auto"/>
              <w:ind w:left="720" w:firstLine="0"/>
              <w:rPr>
                <w:rFonts w:ascii="Trebuchet MS Bold" w:cs="Trebuchet MS Bold" w:hAnsi="Trebuchet MS Bold" w:eastAsia="Trebuchet MS Bold"/>
              </w:rPr>
            </w:pPr>
          </w:p>
          <w:p>
            <w:pPr>
              <w:pStyle w:val="List Paragraph"/>
              <w:spacing w:after="0" w:line="240" w:lineRule="auto"/>
              <w:ind w:left="720" w:firstLine="0"/>
              <w:rPr>
                <w:rFonts w:ascii="Trebuchet MS Bold" w:cs="Trebuchet MS Bold" w:hAnsi="Trebuchet MS Bold" w:eastAsia="Trebuchet MS Bold"/>
              </w:rPr>
            </w:pPr>
          </w:p>
          <w:p>
            <w:pPr>
              <w:pStyle w:val="List Paragraph"/>
              <w:spacing w:after="0" w:line="240" w:lineRule="auto"/>
              <w:ind w:left="720" w:firstLine="0"/>
              <w:rPr>
                <w:rFonts w:ascii="Trebuchet MS Bold" w:cs="Trebuchet MS Bold" w:hAnsi="Trebuchet MS Bold" w:eastAsia="Trebuchet MS Bold"/>
              </w:rPr>
            </w:pPr>
          </w:p>
          <w:p>
            <w:pPr>
              <w:pStyle w:val="List Paragraph"/>
              <w:spacing w:after="0" w:line="240" w:lineRule="auto"/>
              <w:ind w:left="720" w:firstLine="0"/>
              <w:rPr>
                <w:rFonts w:ascii="Trebuchet MS Bold" w:cs="Trebuchet MS Bold" w:hAnsi="Trebuchet MS Bold" w:eastAsia="Trebuchet MS Bold"/>
              </w:rPr>
            </w:pPr>
          </w:p>
          <w:p>
            <w:pPr>
              <w:pStyle w:val="List Paragraph"/>
              <w:spacing w:after="0" w:line="240" w:lineRule="auto"/>
              <w:ind w:left="720" w:firstLine="0"/>
              <w:rPr>
                <w:rFonts w:ascii="Trebuchet MS Bold" w:cs="Trebuchet MS Bold" w:hAnsi="Trebuchet MS Bold" w:eastAsia="Trebuchet MS Bold"/>
              </w:rPr>
            </w:pPr>
          </w:p>
          <w:p>
            <w:pPr>
              <w:pStyle w:val="List Paragraph"/>
              <w:spacing w:after="0" w:line="240" w:lineRule="auto"/>
              <w:ind w:left="720" w:firstLine="0"/>
              <w:rPr>
                <w:rFonts w:ascii="Trebuchet MS Bold" w:cs="Trebuchet MS Bold" w:hAnsi="Trebuchet MS Bold" w:eastAsia="Trebuchet MS Bold"/>
              </w:rPr>
            </w:pPr>
          </w:p>
          <w:p>
            <w:pPr>
              <w:pStyle w:val="List Paragraph"/>
              <w:spacing w:after="0" w:line="240" w:lineRule="auto"/>
              <w:ind w:left="720" w:firstLine="0"/>
              <w:rPr>
                <w:rFonts w:ascii="Trebuchet MS Bold" w:cs="Trebuchet MS Bold" w:hAnsi="Trebuchet MS Bold" w:eastAsia="Trebuchet MS Bold"/>
              </w:rPr>
            </w:pPr>
          </w:p>
          <w:p>
            <w:pPr>
              <w:pStyle w:val="List Paragraph"/>
              <w:spacing w:after="0" w:line="240" w:lineRule="auto"/>
              <w:ind w:left="720" w:firstLine="0"/>
              <w:rPr>
                <w:rFonts w:ascii="Trebuchet MS Bold" w:cs="Trebuchet MS Bold" w:hAnsi="Trebuchet MS Bold" w:eastAsia="Trebuchet MS Bold"/>
              </w:rPr>
            </w:pPr>
          </w:p>
          <w:p>
            <w:pPr>
              <w:pStyle w:val="List Paragraph"/>
              <w:spacing w:after="0" w:line="240" w:lineRule="auto"/>
              <w:ind w:left="720" w:firstLine="0"/>
              <w:rPr>
                <w:rFonts w:ascii="Trebuchet MS Bold" w:cs="Trebuchet MS Bold" w:hAnsi="Trebuchet MS Bold" w:eastAsia="Trebuchet MS Bold"/>
              </w:rPr>
            </w:pPr>
          </w:p>
          <w:p>
            <w:pPr>
              <w:pStyle w:val="List Paragraph"/>
              <w:spacing w:after="0" w:line="240" w:lineRule="auto"/>
              <w:ind w:left="720" w:firstLine="0"/>
              <w:rPr>
                <w:rFonts w:ascii="Trebuchet MS Bold" w:cs="Trebuchet MS Bold" w:hAnsi="Trebuchet MS Bold" w:eastAsia="Trebuchet MS Bold"/>
              </w:rPr>
            </w:pPr>
          </w:p>
          <w:p>
            <w:pPr>
              <w:pStyle w:val="List Paragraph"/>
              <w:spacing w:after="0" w:line="240" w:lineRule="auto"/>
              <w:ind w:left="720" w:firstLine="0"/>
              <w:rPr>
                <w:rFonts w:ascii="Trebuchet MS Bold" w:cs="Trebuchet MS Bold" w:hAnsi="Trebuchet MS Bold" w:eastAsia="Trebuchet MS Bold"/>
              </w:rPr>
            </w:pPr>
          </w:p>
          <w:p>
            <w:pPr>
              <w:pStyle w:val="List Paragraph"/>
              <w:spacing w:after="0" w:line="240" w:lineRule="auto"/>
              <w:ind w:left="720" w:firstLine="0"/>
            </w:pPr>
            <w:r>
              <w:rPr>
                <w:rFonts w:ascii="Trebuchet MS Bold" w:cs="Trebuchet MS Bold" w:hAnsi="Trebuchet MS Bold" w:eastAsia="Trebuchet MS Bold"/>
                <w:lang w:val="en-US"/>
              </w:rPr>
            </w:r>
          </w:p>
        </w:tc>
      </w:tr>
      <w:tr>
        <w:tblPrEx>
          <w:shd w:val="clear" w:color="auto" w:fill="auto"/>
        </w:tblPrEx>
        <w:trPr>
          <w:trHeight w:val="12730" w:hRule="atLeast"/>
        </w:trPr>
        <w:tc>
          <w:tcPr>
            <w:tcW w:type="dxa" w:w="924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List Paragraph"/>
              <w:spacing w:after="0" w:line="240" w:lineRule="auto"/>
              <w:ind w:left="0" w:firstLine="0"/>
              <w:jc w:val="both"/>
              <w:rPr>
                <w:rFonts w:ascii="Trebuchet MS Bold" w:cs="Trebuchet MS Bold" w:hAnsi="Trebuchet MS Bold" w:eastAsia="Trebuchet MS Bold"/>
              </w:rPr>
            </w:pPr>
            <w:r>
              <w:rPr>
                <w:rFonts w:ascii="Trebuchet MS Bold"/>
                <w:rtl w:val="0"/>
                <w:lang w:val="en-US"/>
              </w:rPr>
              <w:t>5.</w:t>
            </w:r>
            <w:r>
              <w:rPr>
                <w:rFonts w:ascii="Trebuchet MS Bold"/>
                <w:rtl w:val="0"/>
                <w:lang w:val="en-US"/>
              </w:rPr>
              <w:t xml:space="preserve"> There are many effects of divorce on children. The impacts on children will depend  on several factors, such as age, the nature of the divorce and the way the parents communicate with each other. The children</w:t>
            </w:r>
            <w:r>
              <w:rPr>
                <w:rFonts w:hAnsi="Trebuchet MS Bold" w:hint="default"/>
                <w:rtl w:val="0"/>
                <w:lang w:val="en-US"/>
              </w:rPr>
              <w:t>’</w:t>
            </w:r>
            <w:r>
              <w:rPr>
                <w:rFonts w:ascii="Trebuchet MS Bold"/>
                <w:rtl w:val="0"/>
                <w:lang w:val="en-US"/>
              </w:rPr>
              <w:t>s age will dictate what they are able to understand about the divorce. Individual differences such as how they normally react to unwanted situations will also determine how they will respond to a divorce. Changes in appetite and mood swings are typical reactions towards a divorce. Sometimes children will feel that the divorce was their fault or they might blame one of their caregivers for causing the divorce. Vulnerability, fear and confusion will set in when they start wondering what will happen in the future. Children will start thinking about the possibility of changing homes, schools, cities or countries. They will start thinking of the impact that this will have on their friendships and relationships with other people and the arrangements of future celebrations and holidays. Teenagers might feel that they have to start helping out by taking care of their younger siblings or even financially by getting a part-time job. Divorce might lead to poor academic performance and relationship problems. The effects of divorce on children might carryon until adulthood. Some people have reported the inability to maintain a stable relationship as a result of their parents</w:t>
            </w:r>
            <w:r>
              <w:rPr>
                <w:rFonts w:hAnsi="Trebuchet MS Bold" w:hint="default"/>
                <w:rtl w:val="0"/>
                <w:lang w:val="en-US"/>
              </w:rPr>
              <w:t xml:space="preserve">’ </w:t>
            </w:r>
            <w:r>
              <w:rPr>
                <w:rFonts w:ascii="Trebuchet MS Bold"/>
                <w:rtl w:val="0"/>
                <w:lang w:val="en-US"/>
              </w:rPr>
              <w:t>separation.</w:t>
            </w:r>
          </w:p>
          <w:p>
            <w:pPr>
              <w:pStyle w:val="List Paragraph"/>
              <w:spacing w:after="0" w:line="240" w:lineRule="auto"/>
              <w:ind w:left="0" w:firstLine="0"/>
              <w:jc w:val="both"/>
              <w:rPr>
                <w:rFonts w:ascii="Trebuchet MS Bold" w:cs="Trebuchet MS Bold" w:hAnsi="Trebuchet MS Bold" w:eastAsia="Trebuchet MS Bold"/>
              </w:rPr>
            </w:pPr>
          </w:p>
          <w:p>
            <w:pPr>
              <w:pStyle w:val="List Paragraph"/>
              <w:spacing w:after="0" w:line="240" w:lineRule="auto"/>
              <w:ind w:left="0" w:firstLine="0"/>
              <w:jc w:val="both"/>
              <w:rPr>
                <w:rFonts w:ascii="Trebuchet MS Bold" w:cs="Trebuchet MS Bold" w:hAnsi="Trebuchet MS Bold" w:eastAsia="Trebuchet MS Bold"/>
              </w:rPr>
            </w:pPr>
            <w:r>
              <w:rPr>
                <w:rFonts w:ascii="Trebuchet MS Bold"/>
                <w:rtl w:val="0"/>
                <w:lang w:val="en-US"/>
              </w:rPr>
              <w:t xml:space="preserve">6. </w:t>
            </w:r>
            <w:r>
              <w:rPr>
                <w:rFonts w:ascii="Trebuchet MS Bold"/>
                <w:rtl w:val="0"/>
                <w:lang w:val="en-US"/>
              </w:rPr>
              <w:t>There are many effects of foster care on children. In statutory placements, children who have faced abuse or neglect from their parents are now placed in the care of professionally trained child-support employees. Even though, the children are now placed in a safe environment, this still has an impact on the parent-child relationship. Statutory placements should only be considered as a last resort. According to Bowlby, there are three stages of grieving after separating from a loved one. Initially, the child will go through a protest stage. They will cry, beg and try to reunite with their parents. Secondly, in the anxiety stage, the child will give up hope of a reunion. Lastly, the stage of detachment, a child might re-bond to a replacement parent. However, if this doesn</w:t>
            </w:r>
            <w:r>
              <w:rPr>
                <w:rFonts w:hAnsi="Trebuchet MS Bold" w:hint="default"/>
                <w:rtl w:val="0"/>
                <w:lang w:val="en-US"/>
              </w:rPr>
              <w:t>’</w:t>
            </w:r>
            <w:r>
              <w:rPr>
                <w:rFonts w:ascii="Trebuchet MS Bold"/>
                <w:rtl w:val="0"/>
                <w:lang w:val="en-US"/>
              </w:rPr>
              <w:t xml:space="preserve">t happen soon enough, the child will be in a state of constant detachment. </w:t>
            </w:r>
          </w:p>
          <w:p>
            <w:pPr>
              <w:pStyle w:val="List Paragraph"/>
              <w:spacing w:after="0" w:line="240" w:lineRule="auto"/>
              <w:ind w:left="0" w:firstLine="0"/>
              <w:jc w:val="both"/>
              <w:rPr>
                <w:rFonts w:ascii="Trebuchet MS Bold" w:cs="Trebuchet MS Bold" w:hAnsi="Trebuchet MS Bold" w:eastAsia="Trebuchet MS Bold"/>
              </w:rPr>
            </w:pPr>
          </w:p>
          <w:p>
            <w:pPr>
              <w:pStyle w:val="List Paragraph"/>
              <w:spacing w:after="0" w:line="240" w:lineRule="auto"/>
              <w:ind w:left="0" w:firstLine="0"/>
              <w:jc w:val="both"/>
              <w:rPr>
                <w:rFonts w:ascii="Trebuchet MS Bold" w:cs="Trebuchet MS Bold" w:hAnsi="Trebuchet MS Bold" w:eastAsia="Trebuchet MS Bold"/>
              </w:rPr>
            </w:pPr>
            <w:r>
              <w:rPr>
                <w:rFonts w:ascii="Trebuchet MS Bold"/>
                <w:rtl w:val="0"/>
                <w:lang w:val="en-US"/>
              </w:rPr>
              <w:t xml:space="preserve">Activity. </w:t>
            </w:r>
            <w:r>
              <w:rPr>
                <w:rFonts w:ascii="Trebuchet MS Bold"/>
                <w:rtl w:val="0"/>
                <w:lang w:val="en-US"/>
              </w:rPr>
              <w:t>In order for children to settle down after the bereavement process, several agencies and services will need to be involved. The inclusion of extended family members will still be required. In consideration of the children</w:t>
            </w:r>
            <w:r>
              <w:rPr>
                <w:rFonts w:hAnsi="Trebuchet MS Bold" w:hint="default"/>
                <w:rtl w:val="0"/>
                <w:lang w:val="en-US"/>
              </w:rPr>
              <w:t>’</w:t>
            </w:r>
            <w:r>
              <w:rPr>
                <w:rFonts w:ascii="Trebuchet MS Bold"/>
                <w:rtl w:val="0"/>
                <w:lang w:val="en-US"/>
              </w:rPr>
              <w:t>s beneficence, any person whom they have bonded with, who provides them with a sense of protection and security, will play an important role in making the child</w:t>
            </w:r>
            <w:r>
              <w:rPr>
                <w:rFonts w:hAnsi="Trebuchet MS Bold" w:hint="default"/>
                <w:rtl w:val="0"/>
                <w:lang w:val="en-US"/>
              </w:rPr>
              <w:t>’</w:t>
            </w:r>
            <w:r>
              <w:rPr>
                <w:rFonts w:ascii="Trebuchet MS Bold"/>
                <w:rtl w:val="0"/>
                <w:lang w:val="en-US"/>
              </w:rPr>
              <w:t>s environment emotionally stable. This stability has been proven to be crucial for children</w:t>
            </w:r>
            <w:r>
              <w:rPr>
                <w:rFonts w:hAnsi="Trebuchet MS Bold" w:hint="default"/>
                <w:rtl w:val="0"/>
                <w:lang w:val="en-US"/>
              </w:rPr>
              <w:t>’</w:t>
            </w:r>
            <w:r>
              <w:rPr>
                <w:rFonts w:ascii="Trebuchet MS Bold"/>
                <w:rtl w:val="0"/>
                <w:lang w:val="en-US"/>
              </w:rPr>
              <w:t>s future well-being. Regardless of who the children end up living with, there will always be a re-adjustment period. Just because the children might be living with other family members they know and love it does not mean that the transition will go smoothly. Family members may need to seek help from trained individuals. Psychiatrists, psychologists and social workers will be able to help children readjust to their new surroundings. By collaborating with child support companies, a multi-disciplinary approach will be established to reach specifically tailored treatment goals for the children.  If the children are placed with foster parents</w:t>
            </w:r>
            <w:r>
              <w:rPr>
                <w:rFonts w:ascii="Trebuchet MS Bold"/>
                <w:rtl w:val="0"/>
                <w:lang w:val="en-US"/>
              </w:rPr>
              <w:t xml:space="preserve">, </w:t>
            </w:r>
            <w:r>
              <w:rPr>
                <w:rFonts w:ascii="Trebuchet MS Bold"/>
                <w:rtl w:val="0"/>
                <w:lang w:val="en-US"/>
              </w:rPr>
              <w:t>the quality of the services provided is of upmost importance.</w:t>
            </w:r>
            <w:r>
              <w:rPr>
                <w:rFonts w:ascii="Trebuchet MS Bold"/>
                <w:rtl w:val="0"/>
                <w:lang w:val="en-US"/>
              </w:rPr>
              <w:t xml:space="preserve"> </w:t>
            </w:r>
            <w:r>
              <w:rPr>
                <w:rFonts w:ascii="Trebuchet MS Bold"/>
                <w:rtl w:val="0"/>
                <w:lang w:val="en-US"/>
              </w:rPr>
              <w:t>Parents in the foster care system are professionally trained individuals who are qualified to deal with the various stages of bereavement and a vast range of behaviours that a grieving child may exhibit. Support groups for foster parents will have a positive impact on their performances and the fulfillment of their duties. By listening to other parents</w:t>
            </w:r>
            <w:r>
              <w:rPr>
                <w:rFonts w:hAnsi="Trebuchet MS Bold" w:hint="default"/>
                <w:rtl w:val="0"/>
                <w:lang w:val="en-US"/>
              </w:rPr>
              <w:t xml:space="preserve">’ </w:t>
            </w:r>
            <w:r>
              <w:rPr>
                <w:rFonts w:ascii="Trebuchet MS Bold"/>
                <w:rtl w:val="0"/>
                <w:lang w:val="en-US"/>
              </w:rPr>
              <w:t>experiences, participants in the support group will be able to offer their insights. Hearing about similar struggles from other parents</w:t>
            </w:r>
            <w:r>
              <w:rPr>
                <w:rFonts w:hAnsi="Trebuchet MS Bold" w:hint="default"/>
                <w:rtl w:val="0"/>
                <w:lang w:val="en-US"/>
              </w:rPr>
              <w:t xml:space="preserve">’ </w:t>
            </w:r>
            <w:r>
              <w:rPr>
                <w:rFonts w:ascii="Trebuchet MS Bold"/>
                <w:rtl w:val="0"/>
                <w:lang w:val="en-US"/>
              </w:rPr>
              <w:t>will empower them. It will give them the sense that they are not alone and will give them the drive to keep doing their best.</w:t>
            </w:r>
          </w:p>
          <w:p>
            <w:pPr>
              <w:pStyle w:val="List Paragraph"/>
              <w:spacing w:after="0" w:line="240" w:lineRule="auto"/>
              <w:ind w:left="0" w:firstLine="0"/>
              <w:jc w:val="both"/>
            </w:pPr>
            <w:r>
              <w:rPr>
                <w:rFonts w:ascii="Trebuchet MS Bold" w:cs="Trebuchet MS Bold" w:hAnsi="Trebuchet MS Bold" w:eastAsia="Trebuchet MS Bold"/>
              </w:rPr>
            </w:r>
          </w:p>
        </w:tc>
      </w:tr>
    </w:tbl>
    <w:p>
      <w:pPr>
        <w:pStyle w:val="Body"/>
        <w:spacing w:line="240" w:lineRule="auto"/>
        <w:rPr>
          <w:lang w:val="en-US"/>
        </w:rPr>
      </w:pPr>
    </w:p>
    <w:p>
      <w:pPr>
        <w:pStyle w:val="Body"/>
        <w:spacing w:after="0" w:line="240" w:lineRule="auto"/>
        <w:rPr>
          <w:rFonts w:ascii="Calibri" w:cs="Calibri" w:hAnsi="Calibri" w:eastAsia="Calibri"/>
          <w:b w:val="1"/>
          <w:bCs w:val="1"/>
          <w:color w:val="002060"/>
          <w:sz w:val="28"/>
          <w:szCs w:val="28"/>
          <w:u w:color="002060"/>
          <w:lang w:val="en-US"/>
        </w:rPr>
      </w:pPr>
    </w:p>
    <w:p>
      <w:pPr>
        <w:pStyle w:val="Body"/>
        <w:spacing w:after="0" w:line="240" w:lineRule="auto"/>
        <w:rPr>
          <w:rFonts w:ascii="Calibri" w:cs="Calibri" w:hAnsi="Calibri" w:eastAsia="Calibri"/>
          <w:b w:val="1"/>
          <w:bCs w:val="1"/>
          <w:color w:val="002060"/>
          <w:sz w:val="28"/>
          <w:szCs w:val="28"/>
          <w:u w:color="002060"/>
          <w:lang w:val="en-US"/>
        </w:rPr>
      </w:pPr>
      <w:r>
        <w:rPr>
          <w:rFonts w:ascii="Calibri" w:cs="Calibri" w:hAnsi="Calibri" w:eastAsia="Calibri"/>
          <w:b w:val="1"/>
          <w:bCs w:val="1"/>
          <w:color w:val="002060"/>
          <w:sz w:val="28"/>
          <w:szCs w:val="28"/>
          <w:u w:color="002060"/>
          <w:rtl w:val="0"/>
          <w:lang w:val="en-US"/>
        </w:rPr>
        <w:t>Student Statement:</w:t>
      </w:r>
    </w:p>
    <w:p>
      <w:pPr>
        <w:pStyle w:val="Body"/>
        <w:spacing w:after="0" w:line="240" w:lineRule="auto"/>
        <w:rPr>
          <w:rFonts w:ascii="Calibri" w:cs="Calibri" w:hAnsi="Calibri" w:eastAsia="Calibri"/>
          <w:b w:val="1"/>
          <w:bCs w:val="1"/>
          <w:color w:val="001ae6"/>
          <w:u w:color="001ae6"/>
          <w:lang w:val="en-US"/>
        </w:rPr>
      </w:pPr>
    </w:p>
    <w:p>
      <w:pPr>
        <w:pStyle w:val="Body"/>
        <w:spacing w:after="0" w:line="240" w:lineRule="auto"/>
        <w:rPr>
          <w:color w:val="000000"/>
          <w:u w:color="000000"/>
          <w:lang w:val="en-US"/>
        </w:rPr>
      </w:pPr>
      <w:r>
        <w:rPr>
          <w:rFonts w:ascii="Trebuchet MS"/>
          <w:color w:val="000000"/>
          <w:u w:color="000000"/>
          <w:rtl w:val="0"/>
          <w:lang w:val="en-US"/>
        </w:rPr>
        <w:t>By submitting this assignment, I confirm that this is my own work.</w:t>
      </w:r>
    </w:p>
    <w:p>
      <w:pPr>
        <w:pStyle w:val="Body"/>
        <w:spacing w:after="0" w:line="240" w:lineRule="auto"/>
        <w:rPr>
          <w:color w:val="000000"/>
          <w:u w:color="000000"/>
          <w:lang w:val="en-US"/>
        </w:rPr>
      </w:pPr>
    </w:p>
    <w:p>
      <w:pPr>
        <w:pStyle w:val="Body"/>
        <w:spacing w:after="0" w:line="240" w:lineRule="auto"/>
        <w:rPr>
          <w:color w:val="000000"/>
          <w:u w:color="000000"/>
          <w:lang w:val="en-US"/>
        </w:rPr>
      </w:pPr>
    </w:p>
    <w:p>
      <w:pPr>
        <w:pStyle w:val="Body"/>
        <w:spacing w:after="0" w:line="240" w:lineRule="auto"/>
        <w:rPr>
          <w:color w:val="000000"/>
          <w:u w:color="000000"/>
          <w:lang w:val="en-US"/>
        </w:rPr>
      </w:pPr>
    </w:p>
    <w:tbl>
      <w:tblPr>
        <w:tblW w:w="9242"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2310"/>
        <w:gridCol w:w="4035"/>
        <w:gridCol w:w="1276"/>
        <w:gridCol w:w="1621"/>
      </w:tblGrid>
      <w:tr>
        <w:tblPrEx>
          <w:shd w:val="clear" w:color="auto" w:fill="auto"/>
        </w:tblPrEx>
        <w:trPr>
          <w:trHeight w:val="528" w:hRule="atLeast"/>
        </w:trPr>
        <w:tc>
          <w:tcPr>
            <w:tcW w:type="dxa" w:w="23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rFonts w:ascii="Calibri" w:cs="Calibri" w:hAnsi="Calibri" w:eastAsia="Calibri"/>
                <w:caps w:val="0"/>
                <w:smallCaps w:val="0"/>
                <w:strike w:val="0"/>
                <w:dstrike w:val="0"/>
                <w:outline w:val="0"/>
                <w:color w:val="000000"/>
                <w:spacing w:val="0"/>
                <w:kern w:val="0"/>
                <w:position w:val="0"/>
                <w:sz w:val="22"/>
                <w:szCs w:val="22"/>
                <w:u w:val="none" w:color="000000"/>
                <w:vertAlign w:val="baseline"/>
                <w:rtl w:val="0"/>
                <w:lang w:val="en-US"/>
              </w:rPr>
              <w:t>Student Signature</w:t>
            </w:r>
          </w:p>
        </w:tc>
        <w:tc>
          <w:tcPr>
            <w:tcW w:type="dxa" w:w="40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rFonts w:ascii="Calibri" w:cs="Calibri" w:hAnsi="Calibri" w:eastAsia="Calibri"/>
                <w:caps w:val="0"/>
                <w:smallCaps w:val="0"/>
                <w:strike w:val="0"/>
                <w:dstrike w:val="0"/>
                <w:outline w:val="0"/>
                <w:color w:val="000000"/>
                <w:spacing w:val="0"/>
                <w:kern w:val="0"/>
                <w:position w:val="0"/>
                <w:sz w:val="22"/>
                <w:szCs w:val="22"/>
                <w:u w:val="none" w:color="000000"/>
                <w:vertAlign w:val="baseline"/>
                <w:rtl w:val="0"/>
              </w:rPr>
              <w:drawing>
                <wp:inline distT="0" distB="0" distL="0" distR="0">
                  <wp:extent cx="1682159" cy="297712"/>
                  <wp:effectExtent l="0" t="0" r="0" b="0"/>
                  <wp:docPr id="1073741829" name="officeArt object" descr="Untitled.png"/>
                  <wp:cNvGraphicFramePr/>
                  <a:graphic xmlns:a="http://schemas.openxmlformats.org/drawingml/2006/main">
                    <a:graphicData uri="http://schemas.openxmlformats.org/drawingml/2006/picture">
                      <pic:pic xmlns:pic="http://schemas.openxmlformats.org/drawingml/2006/picture">
                        <pic:nvPicPr>
                          <pic:cNvPr id="1073741829" name="image2.png" descr="Untitled.png"/>
                          <pic:cNvPicPr/>
                        </pic:nvPicPr>
                        <pic:blipFill>
                          <a:blip r:embed="rId5">
                            <a:extLst/>
                          </a:blip>
                          <a:stretch>
                            <a:fillRect/>
                          </a:stretch>
                        </pic:blipFill>
                        <pic:spPr>
                          <a:xfrm>
                            <a:off x="0" y="0"/>
                            <a:ext cx="1682159" cy="297712"/>
                          </a:xfrm>
                          <a:prstGeom prst="rect">
                            <a:avLst/>
                          </a:prstGeom>
                          <a:ln w="12700" cap="flat">
                            <a:noFill/>
                            <a:miter lim="400000"/>
                          </a:ln>
                          <a:effectLst/>
                        </pic:spPr>
                      </pic:pic>
                    </a:graphicData>
                  </a:graphic>
                </wp:inline>
              </w:drawing>
            </w:r>
          </w:p>
        </w:tc>
        <w:tc>
          <w:tcPr>
            <w:tcW w:type="dxa" w:w="12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rFonts w:ascii="Calibri" w:cs="Calibri" w:hAnsi="Calibri" w:eastAsia="Calibri"/>
                <w:caps w:val="0"/>
                <w:smallCaps w:val="0"/>
                <w:strike w:val="0"/>
                <w:dstrike w:val="0"/>
                <w:outline w:val="0"/>
                <w:color w:val="000000"/>
                <w:spacing w:val="0"/>
                <w:kern w:val="0"/>
                <w:position w:val="0"/>
                <w:sz w:val="22"/>
                <w:szCs w:val="22"/>
                <w:u w:val="none" w:color="000000"/>
                <w:vertAlign w:val="baseline"/>
                <w:rtl w:val="0"/>
                <w:lang w:val="en-US"/>
              </w:rPr>
              <w:t>Date</w:t>
            </w:r>
          </w:p>
        </w:tc>
        <w:tc>
          <w:tcPr>
            <w:tcW w:type="dxa" w:w="1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rFonts w:ascii="Trebuchet MS"/>
                <w:rtl w:val="0"/>
                <w:lang w:val="en-US"/>
              </w:rPr>
              <w:t>22</w:t>
            </w:r>
            <w:r>
              <w:rPr>
                <w:rFonts w:ascii="Calibri" w:cs="Calibri" w:hAnsi="Calibri" w:eastAsia="Calibri"/>
                <w:caps w:val="0"/>
                <w:smallCaps w:val="0"/>
                <w:strike w:val="0"/>
                <w:dstrike w:val="0"/>
                <w:outline w:val="0"/>
                <w:color w:val="000000"/>
                <w:spacing w:val="0"/>
                <w:kern w:val="0"/>
                <w:position w:val="0"/>
                <w:sz w:val="22"/>
                <w:szCs w:val="22"/>
                <w:u w:val="none" w:color="000000"/>
                <w:vertAlign w:val="baseline"/>
                <w:rtl w:val="0"/>
                <w:lang w:val="en-US"/>
              </w:rPr>
              <w:t>-0</w:t>
            </w:r>
            <w:r>
              <w:rPr>
                <w:rFonts w:ascii="Calibri" w:cs="Calibri" w:hAnsi="Calibri" w:eastAsia="Calibri"/>
                <w:caps w:val="0"/>
                <w:smallCaps w:val="0"/>
                <w:strike w:val="0"/>
                <w:dstrike w:val="0"/>
                <w:outline w:val="0"/>
                <w:color w:val="000000"/>
                <w:spacing w:val="0"/>
                <w:kern w:val="0"/>
                <w:position w:val="0"/>
                <w:sz w:val="22"/>
                <w:szCs w:val="22"/>
                <w:u w:val="none" w:color="000000"/>
                <w:vertAlign w:val="baseline"/>
                <w:rtl w:val="0"/>
                <w:lang w:val="en-US"/>
              </w:rPr>
              <w:t>7</w:t>
            </w:r>
            <w:r>
              <w:rPr>
                <w:rFonts w:ascii="Calibri" w:cs="Calibri" w:hAnsi="Calibri" w:eastAsia="Calibri"/>
                <w:caps w:val="0"/>
                <w:smallCaps w:val="0"/>
                <w:strike w:val="0"/>
                <w:dstrike w:val="0"/>
                <w:outline w:val="0"/>
                <w:color w:val="000000"/>
                <w:spacing w:val="0"/>
                <w:kern w:val="0"/>
                <w:position w:val="0"/>
                <w:sz w:val="22"/>
                <w:szCs w:val="22"/>
                <w:u w:val="none" w:color="000000"/>
                <w:vertAlign w:val="baseline"/>
                <w:rtl w:val="0"/>
                <w:lang w:val="en-US"/>
              </w:rPr>
              <w:t>-201</w:t>
            </w:r>
            <w:r>
              <w:rPr>
                <w:rFonts w:ascii="Calibri" w:cs="Calibri" w:hAnsi="Calibri" w:eastAsia="Calibri"/>
                <w:caps w:val="0"/>
                <w:smallCaps w:val="0"/>
                <w:strike w:val="0"/>
                <w:dstrike w:val="0"/>
                <w:outline w:val="0"/>
                <w:color w:val="000000"/>
                <w:spacing w:val="0"/>
                <w:kern w:val="0"/>
                <w:position w:val="0"/>
                <w:sz w:val="22"/>
                <w:szCs w:val="22"/>
                <w:u w:val="none" w:color="000000"/>
                <w:vertAlign w:val="baseline"/>
                <w:rtl w:val="0"/>
                <w:lang w:val="en-US"/>
              </w:rPr>
              <w:t>6</w:t>
            </w:r>
          </w:p>
        </w:tc>
      </w:tr>
    </w:tbl>
    <w:p>
      <w:pPr>
        <w:pStyle w:val="Body"/>
        <w:spacing w:after="0" w:line="240" w:lineRule="auto"/>
        <w:rPr>
          <w:color w:val="000000"/>
          <w:u w:color="000000"/>
          <w:lang w:val="en-US"/>
        </w:rPr>
      </w:pPr>
    </w:p>
    <w:p>
      <w:pPr>
        <w:pStyle w:val="Body"/>
        <w:rPr>
          <w:color w:val="000000"/>
          <w:u w:color="000000"/>
          <w:lang w:val="en-US"/>
        </w:rPr>
      </w:pPr>
    </w:p>
    <w:p>
      <w:pPr>
        <w:pStyle w:val="Body"/>
        <w:rPr>
          <w:color w:val="000000"/>
          <w:u w:color="000000"/>
          <w:lang w:val="en-US"/>
        </w:rPr>
      </w:pPr>
    </w:p>
    <w:p>
      <w:pPr>
        <w:pStyle w:val="Body"/>
        <w:shd w:val="clear" w:color="auto" w:fill="d9d9d9"/>
        <w:rPr>
          <w:rFonts w:ascii="Calibri" w:cs="Calibri" w:hAnsi="Calibri" w:eastAsia="Calibri"/>
          <w:b w:val="1"/>
          <w:bCs w:val="1"/>
          <w:sz w:val="32"/>
          <w:szCs w:val="32"/>
          <w:lang w:val="en-US"/>
        </w:rPr>
      </w:pPr>
      <w:r>
        <w:rPr>
          <w:rFonts w:ascii="Calibri" w:cs="Calibri" w:hAnsi="Calibri" w:eastAsia="Calibri"/>
          <w:b w:val="1"/>
          <w:bCs w:val="1"/>
          <w:sz w:val="28"/>
          <w:szCs w:val="28"/>
          <w:rtl w:val="0"/>
          <w:lang w:val="en-US"/>
        </w:rPr>
        <w:t>For Tutor / Assessor Use Only</w:t>
      </w:r>
    </w:p>
    <w:tbl>
      <w:tblPr>
        <w:tblW w:w="9242"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4621"/>
        <w:gridCol w:w="4621"/>
      </w:tblGrid>
      <w:tr>
        <w:tblPrEx>
          <w:shd w:val="clear" w:color="auto" w:fill="auto"/>
        </w:tblPrEx>
        <w:trPr>
          <w:trHeight w:val="25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rFonts w:ascii="Calibri" w:cs="Calibri" w:hAnsi="Calibri" w:eastAsia="Calibri"/>
                <w:b w:val="1"/>
                <w:bCs w:val="1"/>
                <w:caps w:val="0"/>
                <w:smallCaps w:val="0"/>
                <w:strike w:val="0"/>
                <w:dstrike w:val="0"/>
                <w:outline w:val="0"/>
                <w:color w:val="002060"/>
                <w:spacing w:val="0"/>
                <w:kern w:val="0"/>
                <w:position w:val="0"/>
                <w:sz w:val="22"/>
                <w:szCs w:val="22"/>
                <w:u w:val="none" w:color="002060"/>
                <w:vertAlign w:val="baseline"/>
                <w:rtl w:val="0"/>
                <w:lang w:val="en-US"/>
              </w:rPr>
              <w:t>Total Marks</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25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rFonts w:ascii="Calibri" w:cs="Calibri" w:hAnsi="Calibri" w:eastAsia="Calibri"/>
                <w:b w:val="1"/>
                <w:bCs w:val="1"/>
                <w:caps w:val="0"/>
                <w:smallCaps w:val="0"/>
                <w:strike w:val="0"/>
                <w:dstrike w:val="0"/>
                <w:outline w:val="0"/>
                <w:color w:val="002060"/>
                <w:spacing w:val="0"/>
                <w:kern w:val="0"/>
                <w:position w:val="0"/>
                <w:sz w:val="22"/>
                <w:szCs w:val="22"/>
                <w:u w:val="none" w:color="002060"/>
                <w:vertAlign w:val="baseline"/>
                <w:rtl w:val="0"/>
                <w:lang w:val="en-US"/>
              </w:rPr>
              <w:t>Marks Obtained</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25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rFonts w:ascii="Calibri" w:cs="Calibri" w:hAnsi="Calibri" w:eastAsia="Calibri"/>
                <w:b w:val="1"/>
                <w:bCs w:val="1"/>
                <w:caps w:val="0"/>
                <w:smallCaps w:val="0"/>
                <w:strike w:val="0"/>
                <w:dstrike w:val="0"/>
                <w:outline w:val="0"/>
                <w:color w:val="002060"/>
                <w:spacing w:val="0"/>
                <w:kern w:val="0"/>
                <w:position w:val="0"/>
                <w:sz w:val="22"/>
                <w:szCs w:val="22"/>
                <w:u w:val="none" w:color="002060"/>
                <w:vertAlign w:val="baseline"/>
                <w:rtl w:val="0"/>
                <w:lang w:val="en-US"/>
              </w:rPr>
              <w:t>Percentage / Grade</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Body"/>
        <w:shd w:val="clear" w:color="auto" w:fill="d9d9d9"/>
        <w:spacing w:line="240" w:lineRule="auto"/>
        <w:rPr>
          <w:rFonts w:ascii="Calibri" w:cs="Calibri" w:hAnsi="Calibri" w:eastAsia="Calibri"/>
          <w:b w:val="1"/>
          <w:bCs w:val="1"/>
          <w:sz w:val="32"/>
          <w:szCs w:val="32"/>
          <w:lang w:val="en-US"/>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pPr>
      <w:r>
        <w:rPr>
          <w:sz w:val="24"/>
          <w:szCs w:val="24"/>
        </w:rPr>
      </w:r>
    </w:p>
    <w:sectPr>
      <w:headerReference w:type="default" r:id="rId6"/>
      <w:footerReference w:type="default" r:id="rId7"/>
      <w:pgSz w:w="11900" w:h="16840" w:orient="portrait"/>
      <w:pgMar w:top="1440" w:right="1440" w:bottom="1440" w:left="1440"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Calibri">
    <w:charset w:val="00"/>
    <w:family w:val="roman"/>
    <w:pitch w:val="default"/>
  </w:font>
  <w:font w:name="Trebuchet MS">
    <w:charset w:val="00"/>
    <w:family w:val="roman"/>
    <w:pitch w:val="default"/>
  </w:font>
  <w:font w:name="Trebuchet MS Bold">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settings.xml><?xml version="1.0" encoding="utf-8"?>
<w:settings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 w:val="‘“(〔[{〈《「『【⦅〘〖«〝︵︷︹︻︽︿﹁﹃﹇﹙﹛﹝｢"/>
  <w:noLineBreaksBefore w:lang="" w:val="’”)〕]}〉"/>
  <w:compat>
    <w:compatSetting w:name="compatibilityMode" w:uri="http://schemas.microsoft.com/office/word" w:val="15"/>
  </w:compat>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Arial Unicode MS"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Body">
    <w:name w:val="Body"/>
    <w:next w:val="Body"/>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200" w:line="276" w:lineRule="auto"/>
      <w:ind w:left="72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image" Target="media/image2.png"/><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s>

</file>

<file path=word/theme/_rels/theme1.xml.rels><?xml version="1.0" encoding="UTF-8" standalone="yes"?><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40000" dist="20000" dir="5400000">
              <a:srgbClr val="000000">
                <a:alpha val="38000"/>
              </a:srgbClr>
            </a:outerShdw>
          </a:effectLst>
        </a:effectStyle>
        <a:effectStyle>
          <a:effectLst>
            <a:outerShdw sx="100000" sy="100000" kx="0" ky="0" algn="b" rotWithShape="0" blurRad="40000" dist="23000" dir="5400000">
              <a:srgbClr val="000000">
                <a:alpha val="35000"/>
              </a:srgbClr>
            </a:outerShdw>
          </a:effectLst>
        </a:effectStyle>
        <a:effectStyle>
          <a:effectLst>
            <a:outerShdw sx="100000" sy="100000" kx="0" ky="0" algn="b" rotWithShape="0" blurRad="400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r:embed="rId1"/>
          <a:srcRect l="0" t="0" r="0" b="0"/>
          <a:tile tx="0" ty="0" sx="100000" sy="100000" flip="none" algn="tl"/>
        </a:blipFill>
        <a:ln w="12700" cap="flat">
          <a:noFill/>
          <a:miter lim="400000"/>
        </a:ln>
        <a:effectLst>
          <a:outerShdw sx="100000" sy="100000" kx="0" ky="0" algn="b" rotWithShape="0" blurRad="38100" dist="25400" dir="5400000">
            <a:srgbClr val="000000">
              <a:alpha val="50000"/>
            </a:srgbClr>
          </a:outerShdw>
        </a:effectLst>
      </a:spPr>
      <a:bodyPr rot="0" spcFirstLastPara="1" vertOverflow="overflow" horzOverflow="overflow" vert="horz" wrap="square" lIns="50800" tIns="50800" rIns="50800" bIns="50800" numCol="1" spcCol="38100" rtlCol="0" anchor="ctr" upright="0">
        <a:spAutoFit/>
      </a:bodyPr>
      <a:lstStyle>
        <a:defPPr marL="0" marR="0" indent="0" algn="ctr" defTabSz="457200" rtl="0" fontAlgn="auto" latinLnBrk="1"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outerShdw sx="100000" sy="100000" kx="0" ky="0" algn="b" rotWithShape="0" blurRad="25400" dist="23998" dir="270000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1" hangingPunct="0">
          <a:lnSpc>
            <a:spcPct val="115000"/>
          </a:lnSpc>
          <a:spcBef>
            <a:spcPts val="1000"/>
          </a:spcBef>
          <a:spcAft>
            <a:spcPts val="0"/>
          </a:spcAft>
          <a:buClrTx/>
          <a:buSzTx/>
          <a:buFontTx/>
          <a:buNone/>
          <a:tabLst/>
          <a:defRPr b="0" baseline="0" cap="none" i="0" spc="0" strike="noStrike" sz="1100" u="none" kumimoji="0" normalizeH="0">
            <a:ln>
              <a:noFill/>
            </a:ln>
            <a:solidFill>
              <a:srgbClr val="000000"/>
            </a:solidFill>
            <a:effectLst/>
            <a:uFill>
              <a:solidFill>
                <a:srgbClr val="000000"/>
              </a:solidFill>
            </a:uFill>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