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702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768">
            <w:pPr>
              <w:pStyle w:val="Default"/>
              <w:rPr>
                <w:rFonts w:asciiTheme="minorHAnsi" w:hAnsiTheme="minorHAnsi"/>
              </w:rPr>
            </w:pPr>
            <w:r>
              <w:rPr>
                <w:rFonts w:asciiTheme="minorHAnsi" w:hAnsiTheme="minorHAnsi"/>
              </w:rPr>
              <w:t>RAJAN GUPTE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2768">
            <w:pPr>
              <w:pStyle w:val="Default"/>
              <w:rPr>
                <w:rFonts w:asciiTheme="minorHAnsi" w:hAnsiTheme="minorHAnsi"/>
              </w:rPr>
            </w:pPr>
            <w:r>
              <w:rPr>
                <w:rFonts w:asciiTheme="minorHAnsi" w:hAnsiTheme="minorHAnsi"/>
              </w:rPr>
              <w:t>2305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76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768">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764D12" w:rsidP="00A851DA">
            <w:pPr>
              <w:rPr>
                <w:rFonts w:ascii="Arial" w:hAnsi="Arial" w:cs="Arial"/>
                <w:sz w:val="24"/>
                <w:szCs w:val="24"/>
              </w:rPr>
            </w:pPr>
            <w:r>
              <w:rPr>
                <w:rFonts w:ascii="Arial" w:hAnsi="Arial" w:cs="Arial"/>
                <w:sz w:val="24"/>
                <w:szCs w:val="24"/>
              </w:rPr>
              <w:t>1.</w:t>
            </w:r>
          </w:p>
          <w:p w:rsidR="00764D12" w:rsidRDefault="00764D12" w:rsidP="00A851DA">
            <w:pPr>
              <w:rPr>
                <w:rFonts w:ascii="Arial" w:hAnsi="Arial" w:cs="Arial"/>
                <w:sz w:val="24"/>
                <w:szCs w:val="24"/>
              </w:rPr>
            </w:pPr>
            <w:r>
              <w:rPr>
                <w:rFonts w:ascii="Arial" w:hAnsi="Arial" w:cs="Arial"/>
                <w:sz w:val="24"/>
                <w:szCs w:val="24"/>
              </w:rPr>
              <w:t>i. Best evidence does not refer to the most appropriate evidence to support a claim; it simply means that all evidence submitted must be original. All cases require best evidence to be submitted. In the event of original evidence being unavailable, investigators should clarify the reasons for its unavailability and prove the accuracy of the copy that is being submitted. Although there may be certain exceptions to this rule, it is generally considered inflexible.</w:t>
            </w:r>
          </w:p>
          <w:p w:rsidR="00764D12" w:rsidRDefault="00764D12" w:rsidP="00A851DA">
            <w:pPr>
              <w:rPr>
                <w:rFonts w:ascii="Arial" w:hAnsi="Arial" w:cs="Arial"/>
                <w:sz w:val="24"/>
                <w:szCs w:val="24"/>
              </w:rPr>
            </w:pPr>
          </w:p>
          <w:p w:rsidR="00764D12" w:rsidRDefault="00764D12" w:rsidP="00A851DA">
            <w:pPr>
              <w:rPr>
                <w:rFonts w:ascii="Arial" w:hAnsi="Arial" w:cs="Arial"/>
                <w:sz w:val="24"/>
                <w:szCs w:val="24"/>
              </w:rPr>
            </w:pPr>
            <w:r>
              <w:rPr>
                <w:rFonts w:ascii="Arial" w:hAnsi="Arial" w:cs="Arial"/>
                <w:sz w:val="24"/>
                <w:szCs w:val="24"/>
              </w:rPr>
              <w:t xml:space="preserve">ii. </w:t>
            </w:r>
            <w:r w:rsidR="00E06857">
              <w:rPr>
                <w:rFonts w:ascii="Arial" w:hAnsi="Arial" w:cs="Arial"/>
                <w:sz w:val="24"/>
                <w:szCs w:val="24"/>
              </w:rPr>
              <w:t>The ultimate value of the conclusions drawn from the investigation depend on the credibility of evidence; therefore, it is important that the evidence is gathered, preserved and stored in a proper manner. It is imperative to organize and collate evidence carefully in order to avoid the chaos ensuing from the sheer number of documents that a forensic accountant has to deal with.</w:t>
            </w:r>
          </w:p>
          <w:p w:rsidR="005A0F78" w:rsidRDefault="005A0F78" w:rsidP="00A851DA">
            <w:pPr>
              <w:rPr>
                <w:rFonts w:ascii="Arial" w:hAnsi="Arial" w:cs="Arial"/>
                <w:sz w:val="24"/>
                <w:szCs w:val="24"/>
              </w:rPr>
            </w:pPr>
          </w:p>
          <w:p w:rsidR="005A0F78" w:rsidRDefault="005A0F78" w:rsidP="00A851DA">
            <w:pPr>
              <w:rPr>
                <w:rFonts w:ascii="Arial" w:hAnsi="Arial" w:cs="Arial"/>
                <w:sz w:val="24"/>
                <w:szCs w:val="24"/>
              </w:rPr>
            </w:pPr>
            <w:r>
              <w:rPr>
                <w:rFonts w:ascii="Arial" w:hAnsi="Arial" w:cs="Arial"/>
                <w:sz w:val="24"/>
                <w:szCs w:val="24"/>
              </w:rPr>
              <w:t>iii. The devices that could help collecting evidence are personal computers, network servers, wireless and cordless phones, PDAs and Blackberry devices, answering machines, paging devices, caller ID devices, digital cameras, facsimile machines, printers, scanners, Id card printers, copiers, compact disc duplicators, smart cards or magnetic stripe cards, security systems, closed circuit television cameras, global positioning systems, electronic gaming systems, vehicle computer devices, storage media.</w:t>
            </w:r>
          </w:p>
          <w:p w:rsidR="005A0F78" w:rsidRDefault="005A0F78" w:rsidP="00A851DA">
            <w:pPr>
              <w:rPr>
                <w:rFonts w:ascii="Arial" w:hAnsi="Arial" w:cs="Arial"/>
                <w:sz w:val="24"/>
                <w:szCs w:val="24"/>
              </w:rPr>
            </w:pPr>
          </w:p>
          <w:p w:rsidR="005A0F78" w:rsidRDefault="005A0F78" w:rsidP="00A851DA">
            <w:pPr>
              <w:rPr>
                <w:rFonts w:ascii="Arial" w:hAnsi="Arial" w:cs="Arial"/>
                <w:sz w:val="24"/>
                <w:szCs w:val="24"/>
              </w:rPr>
            </w:pPr>
            <w:r>
              <w:rPr>
                <w:rFonts w:ascii="Arial" w:hAnsi="Arial" w:cs="Arial"/>
                <w:sz w:val="24"/>
                <w:szCs w:val="24"/>
              </w:rPr>
              <w:t xml:space="preserve">iv. </w:t>
            </w:r>
            <w:r w:rsidR="005E2B44">
              <w:rPr>
                <w:rFonts w:ascii="Arial" w:hAnsi="Arial" w:cs="Arial"/>
                <w:sz w:val="24"/>
                <w:szCs w:val="24"/>
              </w:rPr>
              <w:t xml:space="preserve">Certain aspects as mentioned hereinafter should be considered while planning for evidence gathering process such as reviewing the client’s policies and ensuring its compliance, analyzing the organizational hierarchy and knowing who reports to whom, reviewing the client’s back-up procedures, creating a written plan for the </w:t>
            </w:r>
            <w:r w:rsidR="005E2B44">
              <w:rPr>
                <w:rFonts w:ascii="Arial" w:hAnsi="Arial" w:cs="Arial"/>
                <w:sz w:val="24"/>
                <w:szCs w:val="24"/>
              </w:rPr>
              <w:lastRenderedPageBreak/>
              <w:t>collection of documents in order to give the investigation a clear direction and focus.</w:t>
            </w:r>
          </w:p>
          <w:p w:rsidR="005E2B44" w:rsidRDefault="005E2B44" w:rsidP="00A851DA">
            <w:pPr>
              <w:rPr>
                <w:rFonts w:ascii="Arial" w:hAnsi="Arial" w:cs="Arial"/>
                <w:sz w:val="24"/>
                <w:szCs w:val="24"/>
              </w:rPr>
            </w:pPr>
          </w:p>
          <w:p w:rsidR="00220D10" w:rsidRDefault="005E2B44" w:rsidP="00A851DA">
            <w:pPr>
              <w:rPr>
                <w:rFonts w:ascii="Arial" w:hAnsi="Arial" w:cs="Arial"/>
                <w:sz w:val="24"/>
                <w:szCs w:val="24"/>
              </w:rPr>
            </w:pPr>
            <w:r>
              <w:rPr>
                <w:rFonts w:ascii="Arial" w:hAnsi="Arial" w:cs="Arial"/>
                <w:sz w:val="24"/>
                <w:szCs w:val="24"/>
              </w:rPr>
              <w:t xml:space="preserve">v. </w:t>
            </w:r>
            <w:r w:rsidR="00EA2101">
              <w:rPr>
                <w:rFonts w:ascii="Arial" w:hAnsi="Arial" w:cs="Arial"/>
                <w:sz w:val="24"/>
                <w:szCs w:val="24"/>
              </w:rPr>
              <w:t>W</w:t>
            </w:r>
            <w:r w:rsidR="00EA2101" w:rsidRPr="00EA2101">
              <w:rPr>
                <w:rFonts w:ascii="Arial" w:hAnsi="Arial" w:cs="Arial"/>
                <w:sz w:val="24"/>
                <w:szCs w:val="24"/>
              </w:rPr>
              <w:t>orking papers</w:t>
            </w:r>
            <w:r w:rsidR="00EA2101" w:rsidRPr="00EA2101">
              <w:rPr>
                <w:sz w:val="24"/>
                <w:szCs w:val="24"/>
              </w:rPr>
              <w:t> </w:t>
            </w:r>
            <w:r w:rsidR="00EA2101" w:rsidRPr="00EA2101">
              <w:rPr>
                <w:rFonts w:ascii="Arial" w:hAnsi="Arial" w:cs="Arial"/>
                <w:sz w:val="24"/>
                <w:szCs w:val="24"/>
              </w:rPr>
              <w:t>are the documents which record all</w:t>
            </w:r>
            <w:r w:rsidR="00EA2101" w:rsidRPr="00EA2101">
              <w:rPr>
                <w:sz w:val="24"/>
                <w:szCs w:val="24"/>
              </w:rPr>
              <w:t> </w:t>
            </w:r>
            <w:hyperlink r:id="rId9" w:tooltip="Audit evidence" w:history="1">
              <w:r w:rsidR="00EA2101" w:rsidRPr="00EA2101">
                <w:rPr>
                  <w:rFonts w:ascii="Arial" w:hAnsi="Arial" w:cs="Arial"/>
                  <w:sz w:val="24"/>
                  <w:szCs w:val="24"/>
                </w:rPr>
                <w:t>evidence</w:t>
              </w:r>
            </w:hyperlink>
            <w:r w:rsidR="00EA2101" w:rsidRPr="00EA2101">
              <w:rPr>
                <w:rFonts w:ascii="Arial" w:hAnsi="Arial" w:cs="Arial"/>
                <w:sz w:val="24"/>
                <w:szCs w:val="24"/>
              </w:rPr>
              <w:t xml:space="preserve"> </w:t>
            </w:r>
            <w:r w:rsidR="00EA2101">
              <w:rPr>
                <w:rFonts w:ascii="Arial" w:hAnsi="Arial" w:cs="Arial"/>
                <w:sz w:val="24"/>
                <w:szCs w:val="24"/>
              </w:rPr>
              <w:t xml:space="preserve">during </w:t>
            </w:r>
            <w:hyperlink r:id="rId10" w:tooltip="Auditing" w:history="1">
              <w:r w:rsidR="00EA2101" w:rsidRPr="00EA2101">
                <w:rPr>
                  <w:rFonts w:ascii="Arial" w:hAnsi="Arial" w:cs="Arial"/>
                  <w:sz w:val="24"/>
                  <w:szCs w:val="24"/>
                </w:rPr>
                <w:t>auditing</w:t>
              </w:r>
            </w:hyperlink>
            <w:r w:rsidR="00EA2101">
              <w:rPr>
                <w:rFonts w:ascii="Arial" w:hAnsi="Arial" w:cs="Arial"/>
                <w:sz w:val="24"/>
                <w:szCs w:val="24"/>
              </w:rPr>
              <w:t xml:space="preserve"> and investigations. W</w:t>
            </w:r>
            <w:r w:rsidR="00EA2101" w:rsidRPr="00EA2101">
              <w:rPr>
                <w:rFonts w:ascii="Arial" w:hAnsi="Arial" w:cs="Arial"/>
                <w:sz w:val="24"/>
                <w:szCs w:val="24"/>
              </w:rPr>
              <w:t>orking pape</w:t>
            </w:r>
            <w:r w:rsidR="00EA2101">
              <w:rPr>
                <w:rFonts w:ascii="Arial" w:hAnsi="Arial" w:cs="Arial"/>
                <w:sz w:val="24"/>
                <w:szCs w:val="24"/>
              </w:rPr>
              <w:t>rs are used to support the</w:t>
            </w:r>
            <w:r w:rsidR="00EA2101" w:rsidRPr="00EA2101">
              <w:rPr>
                <w:rFonts w:ascii="Arial" w:hAnsi="Arial" w:cs="Arial"/>
                <w:sz w:val="24"/>
                <w:szCs w:val="24"/>
              </w:rPr>
              <w:t xml:space="preserve"> work done in order to provide assurance that the audit</w:t>
            </w:r>
            <w:r w:rsidR="00EA2101">
              <w:rPr>
                <w:rFonts w:ascii="Arial" w:hAnsi="Arial" w:cs="Arial"/>
                <w:sz w:val="24"/>
                <w:szCs w:val="24"/>
              </w:rPr>
              <w:t>/ investigation</w:t>
            </w:r>
            <w:r w:rsidR="00EA2101" w:rsidRPr="00EA2101">
              <w:rPr>
                <w:rFonts w:ascii="Arial" w:hAnsi="Arial" w:cs="Arial"/>
                <w:sz w:val="24"/>
                <w:szCs w:val="24"/>
              </w:rPr>
              <w:t xml:space="preserve"> was performed in accord</w:t>
            </w:r>
            <w:r w:rsidR="00EA2101">
              <w:rPr>
                <w:rFonts w:ascii="Arial" w:hAnsi="Arial" w:cs="Arial"/>
                <w:sz w:val="24"/>
                <w:szCs w:val="24"/>
              </w:rPr>
              <w:t xml:space="preserve">ance with the relevant </w:t>
            </w:r>
            <w:r w:rsidR="00EA2101" w:rsidRPr="00EA2101">
              <w:rPr>
                <w:rFonts w:ascii="Arial" w:hAnsi="Arial" w:cs="Arial"/>
                <w:sz w:val="24"/>
                <w:szCs w:val="24"/>
              </w:rPr>
              <w:t>standards.</w:t>
            </w:r>
            <w:r w:rsidR="00EA2101">
              <w:rPr>
                <w:rFonts w:ascii="Arial" w:hAnsi="Arial" w:cs="Arial"/>
                <w:sz w:val="24"/>
                <w:szCs w:val="24"/>
              </w:rPr>
              <w:t xml:space="preserve"> They show that the</w:t>
            </w:r>
            <w:r w:rsidR="003F2649">
              <w:rPr>
                <w:rFonts w:ascii="Arial" w:hAnsi="Arial" w:cs="Arial"/>
                <w:sz w:val="24"/>
                <w:szCs w:val="24"/>
              </w:rPr>
              <w:t xml:space="preserve"> investigation was properly planned and carried out under adequate supervision and review to ensure that the evidence is sufficient and appropriate to support the overall opinion.</w:t>
            </w:r>
            <w:r w:rsidR="00C42129">
              <w:rPr>
                <w:rFonts w:ascii="Arial" w:hAnsi="Arial" w:cs="Arial"/>
                <w:sz w:val="24"/>
                <w:szCs w:val="24"/>
              </w:rPr>
              <w:t xml:space="preserve"> They contain accounting records and other documents, public record searches, electronic computer files, photographs (including digital), documentation specifying the chain of custody, interview notes and recordings, third party information, court pleadings and deposition transcripts.</w:t>
            </w:r>
          </w:p>
          <w:p w:rsidR="00220D10" w:rsidRDefault="00220D10" w:rsidP="00A851DA">
            <w:pPr>
              <w:rPr>
                <w:rFonts w:ascii="Arial" w:hAnsi="Arial" w:cs="Arial"/>
                <w:sz w:val="24"/>
                <w:szCs w:val="24"/>
              </w:rPr>
            </w:pPr>
          </w:p>
          <w:p w:rsidR="00CF44F5" w:rsidRDefault="00220D10" w:rsidP="00A851DA">
            <w:pPr>
              <w:rPr>
                <w:rFonts w:ascii="Arial" w:hAnsi="Arial" w:cs="Arial"/>
                <w:sz w:val="24"/>
                <w:szCs w:val="24"/>
              </w:rPr>
            </w:pPr>
            <w:r>
              <w:rPr>
                <w:rFonts w:ascii="Arial" w:hAnsi="Arial" w:cs="Arial"/>
                <w:sz w:val="24"/>
                <w:szCs w:val="24"/>
              </w:rPr>
              <w:t xml:space="preserve">vii. </w:t>
            </w:r>
            <w:r w:rsidR="005D63FC">
              <w:rPr>
                <w:rFonts w:ascii="Arial" w:hAnsi="Arial" w:cs="Arial"/>
                <w:sz w:val="24"/>
                <w:szCs w:val="24"/>
              </w:rPr>
              <w:t>The critical steps in gathering evidence are document retention gathering, planning consideration and creating a chain custody. In the first case, considering forensic accounting investigations’ heavy reliance on documentary proof, document retention and preservation are tasks of utmost importance. Secondly, it is usually important to meet up with clients, depending on the nature of the investigation, in order to discuss the type of evidence that may be required and to locate the evidence relating to the time period under scrutiny. Lastly, the chain of custody serves as a proof that the evidence has been properly preserved from alteration and damage from the time when it was collected to its presentation.</w:t>
            </w:r>
          </w:p>
          <w:p w:rsidR="00CF44F5" w:rsidRDefault="00CF44F5" w:rsidP="00A851DA">
            <w:pPr>
              <w:rPr>
                <w:rFonts w:ascii="Arial" w:hAnsi="Arial" w:cs="Arial"/>
                <w:sz w:val="24"/>
                <w:szCs w:val="24"/>
              </w:rPr>
            </w:pPr>
          </w:p>
          <w:p w:rsidR="00CC2FB3" w:rsidRDefault="00CF44F5" w:rsidP="00A851DA">
            <w:pPr>
              <w:rPr>
                <w:rFonts w:ascii="Arial" w:hAnsi="Arial" w:cs="Arial"/>
                <w:sz w:val="24"/>
                <w:szCs w:val="24"/>
              </w:rPr>
            </w:pPr>
            <w:r>
              <w:rPr>
                <w:rFonts w:ascii="Arial" w:hAnsi="Arial" w:cs="Arial"/>
                <w:sz w:val="24"/>
                <w:szCs w:val="24"/>
              </w:rPr>
              <w:t xml:space="preserve">vii. The types of documents collected during evidence gathering are </w:t>
            </w:r>
            <w:r w:rsidR="00AB1929">
              <w:rPr>
                <w:rFonts w:ascii="Arial" w:hAnsi="Arial" w:cs="Arial"/>
                <w:sz w:val="24"/>
                <w:szCs w:val="24"/>
              </w:rPr>
              <w:t xml:space="preserve">written and </w:t>
            </w:r>
            <w:r>
              <w:rPr>
                <w:rFonts w:ascii="Arial" w:hAnsi="Arial" w:cs="Arial"/>
                <w:sz w:val="24"/>
                <w:szCs w:val="24"/>
              </w:rPr>
              <w:t>signed statements</w:t>
            </w:r>
            <w:r w:rsidR="00AB1929">
              <w:rPr>
                <w:rFonts w:ascii="Arial" w:hAnsi="Arial" w:cs="Arial"/>
                <w:sz w:val="24"/>
                <w:szCs w:val="24"/>
              </w:rPr>
              <w:t xml:space="preserve"> by both i.e. the witnesses as well as the complainants, transactional paperwork like documents or paper trails left by transactions such as invoices, vouchers, original records, etc., intranet sources such as chat facilities and weblogs which may serve as a source of valuable information, emails are a very common source of communication in an organization from which the investigators may benefit when looking out for evidence.</w:t>
            </w:r>
          </w:p>
          <w:p w:rsidR="006977C9" w:rsidRDefault="006977C9" w:rsidP="00A851DA">
            <w:pPr>
              <w:rPr>
                <w:rFonts w:ascii="Arial" w:hAnsi="Arial" w:cs="Arial"/>
                <w:sz w:val="24"/>
                <w:szCs w:val="24"/>
              </w:rPr>
            </w:pPr>
          </w:p>
          <w:p w:rsidR="006977C9" w:rsidRDefault="006977C9" w:rsidP="00A851DA">
            <w:pPr>
              <w:rPr>
                <w:rFonts w:ascii="Arial" w:hAnsi="Arial" w:cs="Arial"/>
                <w:sz w:val="24"/>
                <w:szCs w:val="24"/>
              </w:rPr>
            </w:pPr>
            <w:r>
              <w:rPr>
                <w:rFonts w:ascii="Arial" w:hAnsi="Arial" w:cs="Arial"/>
                <w:sz w:val="24"/>
                <w:szCs w:val="24"/>
              </w:rPr>
              <w:t xml:space="preserve">2. Evidence determines whether an allegation is proved or disproved. Evidence should be admissible in the court of law as it proves or supports a fact. Proof is different from evidence because evidence results in </w:t>
            </w:r>
            <w:r w:rsidR="00BA07D1">
              <w:rPr>
                <w:rFonts w:ascii="Arial" w:hAnsi="Arial" w:cs="Arial"/>
                <w:sz w:val="24"/>
                <w:szCs w:val="24"/>
              </w:rPr>
              <w:t xml:space="preserve">the </w:t>
            </w:r>
            <w:r>
              <w:rPr>
                <w:rFonts w:ascii="Arial" w:hAnsi="Arial" w:cs="Arial"/>
                <w:sz w:val="24"/>
                <w:szCs w:val="24"/>
              </w:rPr>
              <w:t>emergence of proof.</w:t>
            </w:r>
            <w:r w:rsidR="00BA07D1">
              <w:rPr>
                <w:rFonts w:ascii="Arial" w:hAnsi="Arial" w:cs="Arial"/>
                <w:sz w:val="24"/>
                <w:szCs w:val="24"/>
              </w:rPr>
              <w:t xml:space="preserve"> The various types of evidence are as follows:</w:t>
            </w:r>
          </w:p>
          <w:p w:rsidR="00BA07D1" w:rsidRDefault="00BA07D1" w:rsidP="00BA07D1">
            <w:pPr>
              <w:pStyle w:val="ListParagraph"/>
              <w:numPr>
                <w:ilvl w:val="0"/>
                <w:numId w:val="2"/>
              </w:numPr>
              <w:rPr>
                <w:rFonts w:ascii="Arial" w:hAnsi="Arial" w:cs="Arial"/>
                <w:sz w:val="24"/>
                <w:szCs w:val="24"/>
              </w:rPr>
            </w:pPr>
            <w:r>
              <w:rPr>
                <w:rFonts w:ascii="Arial" w:hAnsi="Arial" w:cs="Arial"/>
                <w:sz w:val="24"/>
                <w:szCs w:val="24"/>
              </w:rPr>
              <w:t>Direct evidence is evidence that proves a fact without making any inferences or presumptions. In short, those who have direct knowledge (i.e. they have heard it, seen it, or were directly involved in it) of the fact swear of its existence. This may take the form of confessions obtained in the court of law or during the course of investigation.</w:t>
            </w:r>
          </w:p>
          <w:p w:rsidR="00BA07D1" w:rsidRDefault="00BA07D1" w:rsidP="00BA07D1">
            <w:pPr>
              <w:pStyle w:val="ListParagraph"/>
              <w:numPr>
                <w:ilvl w:val="0"/>
                <w:numId w:val="2"/>
              </w:numPr>
              <w:rPr>
                <w:rFonts w:ascii="Arial" w:hAnsi="Arial" w:cs="Arial"/>
                <w:sz w:val="24"/>
                <w:szCs w:val="24"/>
              </w:rPr>
            </w:pPr>
            <w:r>
              <w:rPr>
                <w:rFonts w:ascii="Arial" w:hAnsi="Arial" w:cs="Arial"/>
                <w:sz w:val="24"/>
                <w:szCs w:val="24"/>
              </w:rPr>
              <w:t xml:space="preserve">Circumstantial evidence is evidence that proves a fact through inferences or presumptions. It means having to prove several supporting facts and then analyzing them in relation to one another in order to prove that the ultimate fact in question exists. Circumstantial evidence is admissible in the court of law. Proving the suspect’s willful intent can be categorized as circumstantial evidence. This kind of evidence is normally used for crimes involving malice, motive, intent, etc. or more simply put, to prove something that exists in the mind of the perpetrator. It is usually considered as direct </w:t>
            </w:r>
            <w:r>
              <w:rPr>
                <w:rFonts w:ascii="Arial" w:hAnsi="Arial" w:cs="Arial"/>
                <w:sz w:val="24"/>
                <w:szCs w:val="24"/>
              </w:rPr>
              <w:lastRenderedPageBreak/>
              <w:t>evidence and its significance may sometimes may even outweigh that of conflicting direct evidence.</w:t>
            </w:r>
          </w:p>
          <w:p w:rsidR="00BA07D1" w:rsidRDefault="00BA07D1" w:rsidP="00BA07D1">
            <w:pPr>
              <w:pStyle w:val="ListParagraph"/>
              <w:numPr>
                <w:ilvl w:val="0"/>
                <w:numId w:val="2"/>
              </w:numPr>
              <w:rPr>
                <w:rFonts w:ascii="Arial" w:hAnsi="Arial" w:cs="Arial"/>
                <w:sz w:val="24"/>
                <w:szCs w:val="24"/>
              </w:rPr>
            </w:pPr>
            <w:r>
              <w:rPr>
                <w:rFonts w:ascii="Arial" w:hAnsi="Arial" w:cs="Arial"/>
                <w:sz w:val="24"/>
                <w:szCs w:val="24"/>
              </w:rPr>
              <w:t>Oral evidence involves witness accounts and presentation during submission of records, official documents, contracts, deeds, letters, memoranda, private diaries, maps, photographs, diagrams, and any other official or private writing.</w:t>
            </w:r>
          </w:p>
          <w:p w:rsidR="00BA07D1" w:rsidRDefault="00BA07D1" w:rsidP="00BA07D1">
            <w:pPr>
              <w:pStyle w:val="ListParagraph"/>
              <w:numPr>
                <w:ilvl w:val="0"/>
                <w:numId w:val="2"/>
              </w:numPr>
              <w:rPr>
                <w:rFonts w:ascii="Arial" w:hAnsi="Arial" w:cs="Arial"/>
                <w:sz w:val="24"/>
                <w:szCs w:val="24"/>
              </w:rPr>
            </w:pPr>
            <w:r>
              <w:rPr>
                <w:rFonts w:ascii="Arial" w:hAnsi="Arial" w:cs="Arial"/>
                <w:sz w:val="24"/>
                <w:szCs w:val="24"/>
              </w:rPr>
              <w:t>Real or physical evidence consists of tangible objects or properties. It may include a knife, a pistol or any other weapon. It must be relevant to the case and admissible in the court of law.</w:t>
            </w:r>
          </w:p>
          <w:p w:rsidR="00BA07D1" w:rsidRDefault="00BA07D1" w:rsidP="00BA07D1">
            <w:pPr>
              <w:rPr>
                <w:rFonts w:ascii="Arial" w:hAnsi="Arial" w:cs="Arial"/>
                <w:sz w:val="24"/>
                <w:szCs w:val="24"/>
              </w:rPr>
            </w:pPr>
          </w:p>
          <w:p w:rsidR="00CC2FB3" w:rsidRPr="007E5F72" w:rsidRDefault="00BA07D1" w:rsidP="00A851DA">
            <w:pPr>
              <w:rPr>
                <w:rFonts w:ascii="Arial" w:hAnsi="Arial" w:cs="Arial"/>
                <w:sz w:val="24"/>
                <w:szCs w:val="24"/>
              </w:rPr>
            </w:pPr>
            <w:r>
              <w:rPr>
                <w:rFonts w:ascii="Arial" w:hAnsi="Arial" w:cs="Arial"/>
                <w:sz w:val="24"/>
                <w:szCs w:val="24"/>
              </w:rPr>
              <w:t xml:space="preserve">3. The type of evidence is what differentiates financial crimes from non-financial crimes. In cases of murder or burglary, for example, evidence usually comprises fingerprints, weapons, and other physical or real objects. Sometimes, documentary proofs and photographs are also considered important evidence but these are relatively rare in non-financial crimes. Financial crimes, on other hand, are highly document based. Investigators are usually faced with volumes of documents, receipts, papers, etc. What is considered an usually high volume of evidence for non-financial crimes is a very common volume for financial crimes. </w:t>
            </w:r>
            <w:r w:rsidR="007E5F72">
              <w:rPr>
                <w:rFonts w:ascii="Arial" w:hAnsi="Arial" w:cs="Arial"/>
                <w:sz w:val="24"/>
                <w:szCs w:val="24"/>
              </w:rPr>
              <w:t>Evidence gathering by forensic accountants is a time and effort consuming task, but it provides vital support to any investigation.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F72" w:rsidP="00A851DA">
            <w:pPr>
              <w:rPr>
                <w:rFonts w:cs="Bliss-Regular"/>
                <w:color w:val="000000"/>
              </w:rPr>
            </w:pPr>
            <w:r>
              <w:rPr>
                <w:rFonts w:cs="Bliss-Regular"/>
                <w:color w:val="000000"/>
              </w:rPr>
              <w:t>RAJAN GUPTE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5F72" w:rsidP="00A851DA">
            <w:pPr>
              <w:rPr>
                <w:rFonts w:cs="Bliss-Regular"/>
                <w:color w:val="000000"/>
              </w:rPr>
            </w:pPr>
            <w:r>
              <w:rPr>
                <w:rFonts w:cs="Bliss-Regular"/>
                <w:color w:val="000000"/>
              </w:rPr>
              <w:t>25/08/2016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D59" w:rsidRDefault="002F4D59" w:rsidP="00CB4D0A">
      <w:pPr>
        <w:spacing w:after="0" w:line="240" w:lineRule="auto"/>
      </w:pPr>
      <w:r>
        <w:separator/>
      </w:r>
    </w:p>
  </w:endnote>
  <w:endnote w:type="continuationSeparator" w:id="0">
    <w:p w:rsidR="002F4D59" w:rsidRDefault="002F4D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D59" w:rsidRDefault="002F4D59" w:rsidP="00CB4D0A">
      <w:pPr>
        <w:spacing w:after="0" w:line="240" w:lineRule="auto"/>
      </w:pPr>
      <w:r>
        <w:separator/>
      </w:r>
    </w:p>
  </w:footnote>
  <w:footnote w:type="continuationSeparator" w:id="0">
    <w:p w:rsidR="002F4D59" w:rsidRDefault="002F4D5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3B17"/>
    <w:multiLevelType w:val="hybridMultilevel"/>
    <w:tmpl w:val="2F4E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2768"/>
    <w:rsid w:val="001F0481"/>
    <w:rsid w:val="00200C92"/>
    <w:rsid w:val="0020451E"/>
    <w:rsid w:val="00206B9D"/>
    <w:rsid w:val="00220D10"/>
    <w:rsid w:val="0023259C"/>
    <w:rsid w:val="002B0BD7"/>
    <w:rsid w:val="002B573D"/>
    <w:rsid w:val="002C5CB2"/>
    <w:rsid w:val="002F4D59"/>
    <w:rsid w:val="002F779F"/>
    <w:rsid w:val="00371885"/>
    <w:rsid w:val="00373717"/>
    <w:rsid w:val="003E2B87"/>
    <w:rsid w:val="003F2649"/>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A0F78"/>
    <w:rsid w:val="005B31E4"/>
    <w:rsid w:val="005D63FC"/>
    <w:rsid w:val="005E2B44"/>
    <w:rsid w:val="006034F6"/>
    <w:rsid w:val="00607874"/>
    <w:rsid w:val="00607E77"/>
    <w:rsid w:val="00617BB3"/>
    <w:rsid w:val="00645CDD"/>
    <w:rsid w:val="006823A7"/>
    <w:rsid w:val="00687EE8"/>
    <w:rsid w:val="006977C9"/>
    <w:rsid w:val="0070347F"/>
    <w:rsid w:val="0070678E"/>
    <w:rsid w:val="00764D12"/>
    <w:rsid w:val="007E5F72"/>
    <w:rsid w:val="00831C11"/>
    <w:rsid w:val="008A60B4"/>
    <w:rsid w:val="008B3C31"/>
    <w:rsid w:val="008B64FE"/>
    <w:rsid w:val="00935BF7"/>
    <w:rsid w:val="0095442C"/>
    <w:rsid w:val="00983942"/>
    <w:rsid w:val="009C37E0"/>
    <w:rsid w:val="009E41F4"/>
    <w:rsid w:val="00A14B66"/>
    <w:rsid w:val="00A4000D"/>
    <w:rsid w:val="00A65CF7"/>
    <w:rsid w:val="00A81AB4"/>
    <w:rsid w:val="00A851DA"/>
    <w:rsid w:val="00AB1929"/>
    <w:rsid w:val="00AC7D5B"/>
    <w:rsid w:val="00AE1481"/>
    <w:rsid w:val="00B0415E"/>
    <w:rsid w:val="00B04678"/>
    <w:rsid w:val="00BA07D1"/>
    <w:rsid w:val="00BC46DF"/>
    <w:rsid w:val="00C03577"/>
    <w:rsid w:val="00C42129"/>
    <w:rsid w:val="00C53029"/>
    <w:rsid w:val="00C65FEA"/>
    <w:rsid w:val="00CA0AC2"/>
    <w:rsid w:val="00CB4D0A"/>
    <w:rsid w:val="00CC2FB3"/>
    <w:rsid w:val="00CC575A"/>
    <w:rsid w:val="00CF123B"/>
    <w:rsid w:val="00CF44F5"/>
    <w:rsid w:val="00D039AC"/>
    <w:rsid w:val="00D427DE"/>
    <w:rsid w:val="00D5587D"/>
    <w:rsid w:val="00D707CC"/>
    <w:rsid w:val="00D821FE"/>
    <w:rsid w:val="00DB0793"/>
    <w:rsid w:val="00E00821"/>
    <w:rsid w:val="00E04DB4"/>
    <w:rsid w:val="00E06857"/>
    <w:rsid w:val="00E30679"/>
    <w:rsid w:val="00E4597D"/>
    <w:rsid w:val="00E54832"/>
    <w:rsid w:val="00E56A90"/>
    <w:rsid w:val="00E641CC"/>
    <w:rsid w:val="00E8248C"/>
    <w:rsid w:val="00EA210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B2AC3"/>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A2101"/>
  </w:style>
  <w:style w:type="character" w:styleId="Hyperlink">
    <w:name w:val="Hyperlink"/>
    <w:basedOn w:val="DefaultParagraphFont"/>
    <w:uiPriority w:val="99"/>
    <w:semiHidden/>
    <w:unhideWhenUsed/>
    <w:rsid w:val="00EA2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n.wikipedia.org/wiki/Auditing" TargetMode="External"/><Relationship Id="rId4" Type="http://schemas.openxmlformats.org/officeDocument/2006/relationships/settings" Target="settings.xml"/><Relationship Id="rId9" Type="http://schemas.openxmlformats.org/officeDocument/2006/relationships/hyperlink" Target="https://en.wikipedia.org/wiki/Audit_evi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5FA5E-1703-43E2-994A-C913D735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4</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12</cp:revision>
  <dcterms:created xsi:type="dcterms:W3CDTF">2016-07-12T11:42:00Z</dcterms:created>
  <dcterms:modified xsi:type="dcterms:W3CDTF">2016-08-25T11:43:00Z</dcterms:modified>
</cp:coreProperties>
</file>