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FF6572">
            <w:pPr>
              <w:rPr>
                <w:rFonts w:ascii="Arial" w:hAnsi="Arial" w:cs="Arial"/>
              </w:rPr>
            </w:pPr>
            <w:r>
              <w:rPr>
                <w:rFonts w:ascii="Arial" w:hAnsi="Arial" w:cs="Arial"/>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D5E7E" w:rsidRPr="001A6B71" w:rsidRDefault="006D5E7E" w:rsidP="006D5E7E">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GIVE BRIEF ANSWERS FOR THE FOLLOWINGS:</w:t>
            </w: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WHAT DOES THE TERM ‘BEST EVIDENCE’ MEAN?</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 xml:space="preserve">The best evidence rule does not refer to the most appropriate evidence to support a claim, but to a legal principle that by its nature does not suggest the availability of a better evidence such as the original of a document or a witness who has direct knowledge of the event. In certain circumstances the court will accept the next best evidence, i.e secondary evidence, provided that the Prosecution can convince the court that every effort was made to produce the originals such as Photostat of very old cheques when the originals had been destroyed by the banks or extract of birth certificate whilst its original shall never leave the Civil Status Office. </w:t>
            </w:r>
          </w:p>
          <w:p w:rsidR="006D5E7E" w:rsidRPr="00676773" w:rsidRDefault="006D5E7E" w:rsidP="006D5E7E">
            <w:pPr>
              <w:spacing w:line="360" w:lineRule="auto"/>
              <w:ind w:left="1080"/>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WHY IS IT IMPORTANT TO KEEP THE COLLECTED EVIDENCE IN A WELL-ORGANISED MANNER?</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 xml:space="preserve">The process of collecting evidence such as documentation in financial crimes shall be effected systematically, i.e. it is imperative to secure it in its original state and properly labelled. Then follows the stage of </w:t>
            </w:r>
            <w:r>
              <w:rPr>
                <w:rFonts w:ascii="Arial" w:hAnsi="Arial" w:cs="Arial"/>
                <w:sz w:val="24"/>
                <w:szCs w:val="24"/>
              </w:rPr>
              <w:lastRenderedPageBreak/>
              <w:t>preservation. Normally exhibits are placed in a compound or safe under lock in an organised manner with only specially authorised and limited access to avoid unnecessary tampering. During the course of the investigation, it will ease up the job of the investigator for the analysis of the documents and prepare a scrupulous investigation plan so that witnesses or suspects may be confronted with those evidence in an orderly and chronology manner. These processes are all necessary to retrace the chain of continuity and provide evidence to the court of an unbroken series of contacts as to who had opportunity to touch the said exhibit and ultimately provide proof to the court of its integrity.</w:t>
            </w:r>
          </w:p>
          <w:p w:rsidR="006D5E7E" w:rsidRPr="00676773" w:rsidRDefault="006D5E7E" w:rsidP="006D5E7E">
            <w:pPr>
              <w:spacing w:line="360" w:lineRule="auto"/>
              <w:ind w:left="1080"/>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LIST THE DEVICES WHICH COULD HELP WHEN COLLECTING EVIDENCE.</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Some devices which could help when collecting evidence are:</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Personal computers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Network servers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Compact disc duplicators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Smart cards/magnetic stripe cards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Security systems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Storage media</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Digital cameras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Caller id devices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Answering machine</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PDA’s and Blackberry devices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Paging devices</w:t>
            </w:r>
          </w:p>
          <w:p w:rsidR="006D5E7E" w:rsidRDefault="006D5E7E" w:rsidP="006D5E7E">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Wifi transmitter</w:t>
            </w:r>
          </w:p>
          <w:p w:rsidR="006D5E7E" w:rsidRPr="00FA2C44" w:rsidRDefault="006D5E7E" w:rsidP="006D5E7E">
            <w:pPr>
              <w:spacing w:line="360" w:lineRule="auto"/>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WHICH POINTS SHOULD BE CONSIDERED WHEN PLANNING FOR THE EVIDENCE GATHERING PROCESS?</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The investigating team must carefully consider what they have been asked to achieve and plan their work accordingly. The objectives of the investigation will include:</w:t>
            </w:r>
          </w:p>
          <w:p w:rsidR="006D5E7E" w:rsidRDefault="006D5E7E" w:rsidP="006D5E7E">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lastRenderedPageBreak/>
              <w:t>Identifying the type of fraud that has been operating, how long it has been operating for, and how the fraud has been concealed.</w:t>
            </w:r>
          </w:p>
          <w:p w:rsidR="006D5E7E" w:rsidRDefault="006D5E7E" w:rsidP="006D5E7E">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Identifying the fraudster(s) involved.</w:t>
            </w:r>
          </w:p>
          <w:p w:rsidR="006D5E7E" w:rsidRDefault="006D5E7E" w:rsidP="006D5E7E">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Quantifying the financial loss suffered by the client.</w:t>
            </w:r>
          </w:p>
          <w:p w:rsidR="006D5E7E" w:rsidRDefault="006D5E7E" w:rsidP="006D5E7E">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Gathering evidence to be used in court proceedings.</w:t>
            </w:r>
          </w:p>
          <w:p w:rsidR="006D5E7E" w:rsidRDefault="006D5E7E" w:rsidP="006D5E7E">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Providing advice to prevent the reoccurrence of the fraud.</w:t>
            </w:r>
          </w:p>
          <w:p w:rsidR="006D5E7E" w:rsidRPr="001931A7" w:rsidRDefault="006D5E7E" w:rsidP="006D5E7E">
            <w:pPr>
              <w:spacing w:line="360" w:lineRule="auto"/>
              <w:ind w:left="1440"/>
              <w:jc w:val="both"/>
              <w:rPr>
                <w:rFonts w:ascii="Arial" w:hAnsi="Arial" w:cs="Arial"/>
                <w:sz w:val="24"/>
                <w:szCs w:val="24"/>
              </w:rPr>
            </w:pPr>
            <w:r>
              <w:rPr>
                <w:rFonts w:ascii="Arial" w:hAnsi="Arial" w:cs="Arial"/>
                <w:sz w:val="24"/>
                <w:szCs w:val="24"/>
              </w:rPr>
              <w:t>The investigator should also consider the best way to gather evidence, the use of computer assisted audit techniques, for example, is very common in fraud investigations.</w:t>
            </w:r>
          </w:p>
          <w:p w:rsidR="006D5E7E" w:rsidRPr="00FA2C44" w:rsidRDefault="006D5E7E" w:rsidP="006D5E7E">
            <w:pPr>
              <w:spacing w:line="360" w:lineRule="auto"/>
              <w:ind w:left="1080"/>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WHAT ARE THE ‘WORKING PAPERS’? WHICH TYPE OF INFORMATION DO THEY CONTAIN?</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Working papers are summaries and analyses of factual material produced by a forensic accountant. The kind of material and documents included in the working papers differs from one investigation to another, depending on the nature of the investigation. The following is a list of typical documents that comprise working papers:</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Accounting records and other documents; general ledgers, sub-ledgers, financial management reports, reconciliations, journal entries, accounting journals, or any other accounting record or document.</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Public record searches; may include newspaper articles, hobbies and interests, investments, philanthropic work, online chat room discussions, etc..</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Electronic computer files; mails, computer files, any data stored in handheld digital recorders, etc.</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Photographs or digital photos preferably with a date/time stamp</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Documentation specifying chain of custody.</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Interview notes and audio recording; taken during interviews conducted with witnesses, suspects and other personnel.</w:t>
            </w:r>
          </w:p>
          <w:p w:rsidR="006D5E7E"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lastRenderedPageBreak/>
              <w:t>Third-party information; management letters, bank statements, cancelled cheques, bank advice or any other banking document, records related to non-audit services.</w:t>
            </w:r>
          </w:p>
          <w:p w:rsidR="006D5E7E" w:rsidRPr="001E14DA" w:rsidRDefault="006D5E7E" w:rsidP="006D5E7E">
            <w:pPr>
              <w:pStyle w:val="ListParagraph"/>
              <w:numPr>
                <w:ilvl w:val="0"/>
                <w:numId w:val="39"/>
              </w:numPr>
              <w:spacing w:after="160" w:line="360" w:lineRule="auto"/>
              <w:jc w:val="both"/>
              <w:rPr>
                <w:rFonts w:ascii="Arial" w:hAnsi="Arial" w:cs="Arial"/>
                <w:sz w:val="24"/>
                <w:szCs w:val="24"/>
              </w:rPr>
            </w:pPr>
            <w:r>
              <w:rPr>
                <w:rFonts w:ascii="Arial" w:hAnsi="Arial" w:cs="Arial"/>
                <w:sz w:val="24"/>
                <w:szCs w:val="24"/>
              </w:rPr>
              <w:t>Court pleadings and deposition transcripts</w:t>
            </w:r>
          </w:p>
          <w:p w:rsidR="006D5E7E" w:rsidRPr="00312215" w:rsidRDefault="006D5E7E" w:rsidP="006D5E7E">
            <w:pPr>
              <w:spacing w:line="360" w:lineRule="auto"/>
              <w:ind w:left="1080"/>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OUTLINE THE MAIN STEPS INVOLVED IN THE EVIDENCE GATHERING PROCESS.</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Forensic accounting investigations are based on gathering, documenting and retaining evidence. They create documents during the course of the investigation in addition to the documentary evidence that already exists in the form of transactions, receipts, etc. There are critical steps in gathering evidence, which are:</w:t>
            </w:r>
          </w:p>
          <w:p w:rsidR="006D5E7E" w:rsidRDefault="006D5E7E" w:rsidP="006D5E7E">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t>Document retention considerations. Many points must be borne in mind and it is advisable to hire a counsel to discuss the complications. It is better to establish some basic points at the beginning of the investigation. For example, which documents should be retained as evidence and for how long? Counsel should be consulted to ensure that the firm’s policies as well as accounting regulations and laws are being conformed with. There are certain circumstance, however, that require all documents and electronic files to be retained. For example subpoenas may require all information to be present.</w:t>
            </w:r>
          </w:p>
          <w:p w:rsidR="006D5E7E" w:rsidRDefault="006D5E7E" w:rsidP="006D5E7E">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t>Planning considerations. It is important to discuss the type of evidence that may be required and to locate the evidence relating to the time period under scrutiny. 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 It will also help in minimising the confusion created by perplexing terminology.</w:t>
            </w:r>
          </w:p>
          <w:p w:rsidR="006D5E7E" w:rsidRPr="007B4700" w:rsidRDefault="006D5E7E" w:rsidP="006D5E7E">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lastRenderedPageBreak/>
              <w:t>Creating a chain of custody. 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w:t>
            </w:r>
          </w:p>
          <w:p w:rsidR="006D5E7E" w:rsidRPr="001E14DA" w:rsidRDefault="006D5E7E" w:rsidP="006D5E7E">
            <w:pPr>
              <w:spacing w:line="360" w:lineRule="auto"/>
              <w:ind w:left="1080"/>
              <w:jc w:val="both"/>
              <w:rPr>
                <w:rFonts w:ascii="Arial" w:hAnsi="Arial" w:cs="Arial"/>
                <w:sz w:val="24"/>
                <w:szCs w:val="24"/>
              </w:rPr>
            </w:pPr>
          </w:p>
          <w:p w:rsidR="006D5E7E" w:rsidRDefault="006D5E7E" w:rsidP="006D5E7E">
            <w:pPr>
              <w:pStyle w:val="ListParagraph"/>
              <w:numPr>
                <w:ilvl w:val="0"/>
                <w:numId w:val="36"/>
              </w:numPr>
              <w:spacing w:after="160" w:line="360" w:lineRule="auto"/>
              <w:jc w:val="both"/>
              <w:rPr>
                <w:rFonts w:ascii="Arial" w:hAnsi="Arial" w:cs="Arial"/>
                <w:sz w:val="24"/>
                <w:szCs w:val="24"/>
              </w:rPr>
            </w:pPr>
            <w:r>
              <w:rPr>
                <w:rFonts w:ascii="Arial" w:hAnsi="Arial" w:cs="Arial"/>
                <w:sz w:val="24"/>
                <w:szCs w:val="24"/>
              </w:rPr>
              <w:t>WHICH TYPES OF DOCUMENTS ARE COLLECTED IN THE EVIDENCE GATHERING PROCESS AND WHAT COULD BE THE POSSIBLE SOURCES FOR THESE?</w:t>
            </w:r>
          </w:p>
          <w:p w:rsidR="006D5E7E" w:rsidRDefault="006D5E7E" w:rsidP="006D5E7E">
            <w:pPr>
              <w:spacing w:line="360" w:lineRule="auto"/>
              <w:ind w:left="1080"/>
              <w:jc w:val="both"/>
              <w:rPr>
                <w:rFonts w:ascii="Arial" w:hAnsi="Arial" w:cs="Arial"/>
                <w:sz w:val="24"/>
                <w:szCs w:val="24"/>
              </w:rPr>
            </w:pPr>
            <w:r>
              <w:rPr>
                <w:rFonts w:ascii="Arial" w:hAnsi="Arial" w:cs="Arial"/>
                <w:sz w:val="24"/>
                <w:szCs w:val="24"/>
              </w:rPr>
              <w:t>An investigator should be well aware of the precautionary measures and protocol required for handling evidence. Types of documents to expect are:</w:t>
            </w:r>
          </w:p>
          <w:p w:rsidR="006D5E7E" w:rsidRDefault="006D5E7E" w:rsidP="006D5E7E">
            <w:pPr>
              <w:pStyle w:val="ListParagraph"/>
              <w:numPr>
                <w:ilvl w:val="0"/>
                <w:numId w:val="41"/>
              </w:numPr>
              <w:spacing w:after="160" w:line="360" w:lineRule="auto"/>
              <w:jc w:val="both"/>
              <w:rPr>
                <w:rFonts w:ascii="Arial" w:hAnsi="Arial" w:cs="Arial"/>
                <w:sz w:val="24"/>
                <w:szCs w:val="24"/>
              </w:rPr>
            </w:pPr>
            <w:r>
              <w:rPr>
                <w:rFonts w:ascii="Arial" w:hAnsi="Arial" w:cs="Arial"/>
                <w:sz w:val="24"/>
                <w:szCs w:val="24"/>
              </w:rPr>
              <w:t>Signed statements. Obtaining written and signed statements from witnesses as well as the complainants, which may provide a summary or an outline of what might be expected at their trial testimony.</w:t>
            </w:r>
          </w:p>
          <w:p w:rsidR="006D5E7E" w:rsidRDefault="006D5E7E" w:rsidP="006D5E7E">
            <w:pPr>
              <w:pStyle w:val="ListParagraph"/>
              <w:numPr>
                <w:ilvl w:val="0"/>
                <w:numId w:val="41"/>
              </w:numPr>
              <w:spacing w:after="160" w:line="360" w:lineRule="auto"/>
              <w:jc w:val="both"/>
              <w:rPr>
                <w:rFonts w:ascii="Arial" w:hAnsi="Arial" w:cs="Arial"/>
                <w:sz w:val="24"/>
                <w:szCs w:val="24"/>
              </w:rPr>
            </w:pPr>
            <w:r>
              <w:rPr>
                <w:rFonts w:ascii="Arial" w:hAnsi="Arial" w:cs="Arial"/>
                <w:sz w:val="24"/>
                <w:szCs w:val="24"/>
              </w:rPr>
              <w:t>Transactional paperwork. Investigators must always be on the lookout for any documents or paper trails left by transactions such as invoices, vouchers, original records, etc. that may indicate the flow of money.</w:t>
            </w:r>
          </w:p>
          <w:p w:rsidR="006D5E7E" w:rsidRDefault="006D5E7E" w:rsidP="006D5E7E">
            <w:pPr>
              <w:pStyle w:val="ListParagraph"/>
              <w:numPr>
                <w:ilvl w:val="0"/>
                <w:numId w:val="41"/>
              </w:numPr>
              <w:spacing w:after="160" w:line="360" w:lineRule="auto"/>
              <w:jc w:val="both"/>
              <w:rPr>
                <w:rFonts w:ascii="Arial" w:hAnsi="Arial" w:cs="Arial"/>
                <w:sz w:val="24"/>
                <w:szCs w:val="24"/>
              </w:rPr>
            </w:pPr>
            <w:r>
              <w:rPr>
                <w:rFonts w:ascii="Arial" w:hAnsi="Arial" w:cs="Arial"/>
                <w:sz w:val="24"/>
                <w:szCs w:val="24"/>
              </w:rPr>
              <w:t>Intranet sources. Intranet not only increase productivity but also serves as a source of valuable information. Investigators need to examine chat facilities and weblogs where suspects and witnesses are most likely to spot unofficial communication of value to the investigation.</w:t>
            </w:r>
          </w:p>
          <w:p w:rsidR="006D5E7E" w:rsidRDefault="006D5E7E" w:rsidP="006D5E7E">
            <w:pPr>
              <w:pStyle w:val="ListParagraph"/>
              <w:numPr>
                <w:ilvl w:val="0"/>
                <w:numId w:val="41"/>
              </w:numPr>
              <w:spacing w:after="160" w:line="360" w:lineRule="auto"/>
              <w:jc w:val="both"/>
              <w:rPr>
                <w:rFonts w:ascii="Arial" w:hAnsi="Arial" w:cs="Arial"/>
                <w:sz w:val="24"/>
                <w:szCs w:val="24"/>
              </w:rPr>
            </w:pPr>
            <w:r>
              <w:rPr>
                <w:rFonts w:ascii="Arial" w:hAnsi="Arial" w:cs="Arial"/>
                <w:sz w:val="24"/>
                <w:szCs w:val="24"/>
              </w:rPr>
              <w:t>E-mails. Not everyone is careful about what is sent in an email and to whom. Most messages are saved on the corporate server for a long time, which is helpful for investigators seeking to examine messages sent through e-mails.</w:t>
            </w:r>
          </w:p>
          <w:p w:rsidR="006D5E7E" w:rsidRDefault="006D5E7E" w:rsidP="006D5E7E">
            <w:pPr>
              <w:spacing w:line="360" w:lineRule="auto"/>
              <w:ind w:left="1440"/>
              <w:jc w:val="both"/>
              <w:rPr>
                <w:rFonts w:ascii="Arial" w:hAnsi="Arial" w:cs="Arial"/>
                <w:sz w:val="24"/>
                <w:szCs w:val="24"/>
              </w:rPr>
            </w:pPr>
            <w:r>
              <w:rPr>
                <w:rFonts w:ascii="Arial" w:hAnsi="Arial" w:cs="Arial"/>
                <w:sz w:val="24"/>
                <w:szCs w:val="24"/>
              </w:rPr>
              <w:t>Documentary evidence may be present in multiple locations, which can be divided into three categories:</w:t>
            </w:r>
          </w:p>
          <w:p w:rsidR="006D5E7E" w:rsidRDefault="006D5E7E" w:rsidP="006D5E7E">
            <w:pPr>
              <w:pStyle w:val="ListParagraph"/>
              <w:numPr>
                <w:ilvl w:val="0"/>
                <w:numId w:val="42"/>
              </w:numPr>
              <w:spacing w:after="160" w:line="360" w:lineRule="auto"/>
              <w:jc w:val="both"/>
              <w:rPr>
                <w:rFonts w:ascii="Arial" w:hAnsi="Arial" w:cs="Arial"/>
                <w:sz w:val="24"/>
                <w:szCs w:val="24"/>
              </w:rPr>
            </w:pPr>
            <w:r>
              <w:rPr>
                <w:rFonts w:ascii="Arial" w:hAnsi="Arial" w:cs="Arial"/>
                <w:sz w:val="24"/>
                <w:szCs w:val="24"/>
              </w:rPr>
              <w:lastRenderedPageBreak/>
              <w:t>The victim of the financial crime is the first place where investigators should look.</w:t>
            </w:r>
          </w:p>
          <w:p w:rsidR="006D5E7E" w:rsidRDefault="006D5E7E" w:rsidP="006D5E7E">
            <w:pPr>
              <w:pStyle w:val="ListParagraph"/>
              <w:numPr>
                <w:ilvl w:val="0"/>
                <w:numId w:val="42"/>
              </w:numPr>
              <w:spacing w:after="160" w:line="360" w:lineRule="auto"/>
              <w:jc w:val="both"/>
              <w:rPr>
                <w:rFonts w:ascii="Arial" w:hAnsi="Arial" w:cs="Arial"/>
                <w:sz w:val="24"/>
                <w:szCs w:val="24"/>
              </w:rPr>
            </w:pPr>
            <w:r>
              <w:rPr>
                <w:rFonts w:ascii="Arial" w:hAnsi="Arial" w:cs="Arial"/>
                <w:sz w:val="24"/>
                <w:szCs w:val="24"/>
              </w:rPr>
              <w:t>Third parties  who may have access to or possess documentary evidence</w:t>
            </w:r>
          </w:p>
          <w:p w:rsidR="006D5E7E" w:rsidRDefault="006D5E7E" w:rsidP="006D5E7E">
            <w:pPr>
              <w:pStyle w:val="ListParagraph"/>
              <w:numPr>
                <w:ilvl w:val="0"/>
                <w:numId w:val="42"/>
              </w:numPr>
              <w:spacing w:after="160" w:line="360" w:lineRule="auto"/>
              <w:jc w:val="both"/>
              <w:rPr>
                <w:rFonts w:ascii="Arial" w:hAnsi="Arial" w:cs="Arial"/>
                <w:sz w:val="24"/>
                <w:szCs w:val="24"/>
              </w:rPr>
            </w:pPr>
            <w:r>
              <w:rPr>
                <w:rFonts w:ascii="Arial" w:hAnsi="Arial" w:cs="Arial"/>
                <w:sz w:val="24"/>
                <w:szCs w:val="24"/>
              </w:rPr>
              <w:t>Look for evidence possessed by the suspect.</w:t>
            </w:r>
          </w:p>
          <w:p w:rsidR="006D5E7E" w:rsidRPr="002442FC" w:rsidRDefault="006D5E7E" w:rsidP="006D5E7E">
            <w:pPr>
              <w:spacing w:line="360" w:lineRule="auto"/>
              <w:ind w:left="1800"/>
              <w:jc w:val="both"/>
              <w:rPr>
                <w:rFonts w:ascii="Arial" w:hAnsi="Arial" w:cs="Arial"/>
                <w:sz w:val="24"/>
                <w:szCs w:val="24"/>
              </w:rPr>
            </w:pPr>
          </w:p>
          <w:p w:rsidR="006D5E7E" w:rsidRDefault="006D5E7E" w:rsidP="006D5E7E">
            <w:pPr>
              <w:spacing w:line="360" w:lineRule="auto"/>
              <w:jc w:val="both"/>
              <w:rPr>
                <w:rFonts w:ascii="Arial" w:hAnsi="Arial" w:cs="Arial"/>
                <w:sz w:val="24"/>
                <w:szCs w:val="24"/>
              </w:rPr>
            </w:pPr>
          </w:p>
          <w:p w:rsidR="006D5E7E" w:rsidRDefault="006D5E7E" w:rsidP="006D5E7E">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EVIDENCE IS REQUIRED TO SUPPORT ANY INVESTIGATION OF FINANCIAL CRIME. DISCUSS VARIOUS TYPES OF EVIDENCE USED IN FINANCIAL CRIME INVESTIGATIONS.</w:t>
            </w:r>
          </w:p>
          <w:p w:rsidR="006D5E7E" w:rsidRDefault="006D5E7E" w:rsidP="006D5E7E">
            <w:pPr>
              <w:spacing w:line="360" w:lineRule="auto"/>
              <w:ind w:left="360"/>
              <w:jc w:val="both"/>
              <w:rPr>
                <w:rFonts w:ascii="Arial" w:hAnsi="Arial" w:cs="Arial"/>
                <w:sz w:val="24"/>
                <w:szCs w:val="24"/>
              </w:rPr>
            </w:pPr>
            <w:r>
              <w:rPr>
                <w:rFonts w:ascii="Arial" w:hAnsi="Arial" w:cs="Arial"/>
                <w:sz w:val="24"/>
                <w:szCs w:val="24"/>
              </w:rPr>
              <w:t>There are hard and fast rules regarding the kind of documents that should be retained as evidence. The primary types of evidence in corruption and fraud cases are:</w:t>
            </w:r>
          </w:p>
          <w:p w:rsidR="006D5E7E" w:rsidRDefault="006D5E7E" w:rsidP="006D5E7E">
            <w:pPr>
              <w:pStyle w:val="ListParagraph"/>
              <w:numPr>
                <w:ilvl w:val="0"/>
                <w:numId w:val="43"/>
              </w:numPr>
              <w:spacing w:after="160" w:line="360" w:lineRule="auto"/>
              <w:jc w:val="both"/>
              <w:rPr>
                <w:rFonts w:ascii="Arial" w:hAnsi="Arial" w:cs="Arial"/>
                <w:sz w:val="24"/>
                <w:szCs w:val="24"/>
              </w:rPr>
            </w:pPr>
            <w:r>
              <w:rPr>
                <w:rFonts w:ascii="Arial" w:hAnsi="Arial" w:cs="Arial"/>
                <w:sz w:val="24"/>
                <w:szCs w:val="24"/>
              </w:rPr>
              <w:t>Witness statements. The investigator should always ensure that the witness’s statement is based on his or her direct, personal knowledge, and if not, should try to identify and interview the person with such knowledge. The investigator should lay a proper foundation for the questions to ensure that a witness is describing matters to which he or she has direct, personal knowledge.</w:t>
            </w:r>
          </w:p>
          <w:p w:rsidR="006D5E7E" w:rsidRDefault="006D5E7E" w:rsidP="006D5E7E">
            <w:pPr>
              <w:pStyle w:val="ListParagraph"/>
              <w:numPr>
                <w:ilvl w:val="0"/>
                <w:numId w:val="43"/>
              </w:numPr>
              <w:spacing w:after="160" w:line="360" w:lineRule="auto"/>
              <w:jc w:val="both"/>
              <w:rPr>
                <w:rFonts w:ascii="Arial" w:hAnsi="Arial" w:cs="Arial"/>
                <w:sz w:val="24"/>
                <w:szCs w:val="24"/>
              </w:rPr>
            </w:pPr>
            <w:r>
              <w:rPr>
                <w:rFonts w:ascii="Arial" w:hAnsi="Arial" w:cs="Arial"/>
                <w:sz w:val="24"/>
                <w:szCs w:val="24"/>
              </w:rPr>
              <w:t>Documents and data. Documentary evidence is usually considered to be more reliable and persuasive that witness statements, but, as with direct and circumstantial evidence, a combination of the two, with one corroborating the other, is usually the most powerful. To be persuasive, and admissible in court, documentary evidence must be relevant, contain admissible direct or circumstantial evidence of the facts in issue, and be authenticated.</w:t>
            </w:r>
          </w:p>
          <w:p w:rsidR="006D5E7E" w:rsidRDefault="006D5E7E" w:rsidP="006D5E7E">
            <w:pPr>
              <w:pStyle w:val="ListParagraph"/>
              <w:numPr>
                <w:ilvl w:val="0"/>
                <w:numId w:val="43"/>
              </w:numPr>
              <w:spacing w:after="160" w:line="360" w:lineRule="auto"/>
              <w:jc w:val="both"/>
              <w:rPr>
                <w:rFonts w:ascii="Arial" w:hAnsi="Arial" w:cs="Arial"/>
                <w:sz w:val="24"/>
                <w:szCs w:val="24"/>
              </w:rPr>
            </w:pPr>
            <w:r>
              <w:rPr>
                <w:rFonts w:ascii="Arial" w:hAnsi="Arial" w:cs="Arial"/>
                <w:sz w:val="24"/>
                <w:szCs w:val="24"/>
              </w:rPr>
              <w:t xml:space="preserve">“Real” evidence. Also known as physical evidence, such as sample construction materials from a job site, should be authenticated by identifying when and where they were obtained and creating a chain of custody for the materials to ensure that they can be matched to the source. Test results should be authenticated by the person who </w:t>
            </w:r>
            <w:r>
              <w:rPr>
                <w:rFonts w:ascii="Arial" w:hAnsi="Arial" w:cs="Arial"/>
                <w:sz w:val="24"/>
                <w:szCs w:val="24"/>
              </w:rPr>
              <w:lastRenderedPageBreak/>
              <w:t>conducted them as having been done fairly and objectively, according to the appropriate standards.</w:t>
            </w:r>
          </w:p>
          <w:p w:rsidR="006D5E7E" w:rsidRPr="005242FB" w:rsidRDefault="006D5E7E" w:rsidP="006D5E7E">
            <w:pPr>
              <w:pStyle w:val="ListParagraph"/>
              <w:numPr>
                <w:ilvl w:val="0"/>
                <w:numId w:val="43"/>
              </w:numPr>
              <w:spacing w:after="160" w:line="360" w:lineRule="auto"/>
              <w:jc w:val="both"/>
              <w:rPr>
                <w:rFonts w:ascii="Arial" w:hAnsi="Arial" w:cs="Arial"/>
                <w:sz w:val="24"/>
                <w:szCs w:val="24"/>
              </w:rPr>
            </w:pPr>
            <w:r>
              <w:rPr>
                <w:rFonts w:ascii="Arial" w:hAnsi="Arial" w:cs="Arial"/>
                <w:sz w:val="24"/>
                <w:szCs w:val="24"/>
              </w:rPr>
              <w:t>Demonstrative evidence such as photos, charts and graphs. Demonstrative evidence should be an accurate and fair depiction of the subject matter, and not unfairly emphasise one aspect over another, create a misleading impression or delete relevant information.</w:t>
            </w:r>
          </w:p>
          <w:p w:rsidR="006D5E7E" w:rsidRPr="001A6B71" w:rsidRDefault="006D5E7E" w:rsidP="006D5E7E">
            <w:pPr>
              <w:spacing w:line="360" w:lineRule="auto"/>
              <w:ind w:left="360"/>
              <w:jc w:val="both"/>
              <w:rPr>
                <w:rFonts w:ascii="Arial" w:hAnsi="Arial" w:cs="Arial"/>
                <w:sz w:val="24"/>
                <w:szCs w:val="24"/>
              </w:rPr>
            </w:pPr>
          </w:p>
          <w:p w:rsidR="006D5E7E" w:rsidRDefault="006D5E7E" w:rsidP="006D5E7E">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EVIDENCE GATHERED IN FINANCIAL CRIME CASES IS DIFFERENT FROM THE ONE GATHERED IN NON-FINANCIAL CRIME CASES. WHAT IS THE BASIC DIFFERENCE IN THE COMPOSITION OF THESE TWO TYPES OF EVIDENCE?</w:t>
            </w:r>
          </w:p>
          <w:p w:rsidR="006D5E7E" w:rsidRDefault="006D5E7E" w:rsidP="006D5E7E">
            <w:pPr>
              <w:spacing w:line="360" w:lineRule="auto"/>
              <w:ind w:left="720"/>
              <w:jc w:val="both"/>
              <w:rPr>
                <w:rFonts w:ascii="Arial" w:hAnsi="Arial" w:cs="Arial"/>
                <w:sz w:val="24"/>
                <w:szCs w:val="24"/>
              </w:rPr>
            </w:pPr>
            <w:r>
              <w:rPr>
                <w:rFonts w:ascii="Arial" w:hAnsi="Arial" w:cs="Arial"/>
                <w:sz w:val="24"/>
                <w:szCs w:val="24"/>
              </w:rPr>
              <w:t>Manifestly both financial and non-financial crimes requires a series of evidences such as direct, circumstantial, oral, testimonial, real, expert and documentary but they basically differ in their composition. To be explicit, take for example a non-financial such as sexual offences, the investigator will initially interview the victims and any potential witnesses to such aggression so there will be a mixture of direct and circumstantial evidences. Additionally the investigator will extremely rely on real evidence such as collection of swaps on both the victim and suspects and the examination of spot of AND, hair or if ever any items that might have been used to commit the offence. The specificity of non-financial crimes are that rarely the evidence be common but rather unique. On the other side financial crimes comprise mostly of documentary evidence as hundreds or even thousands of documents will be secured. However unlike non-financial crimes, it will constitute of common evidences. For example a case of fraud by employees, the preliminary step will be for the investigator to identify what sort of evidence to gather, precisely the type of documents to secure and how those documents when associated to each other will lead to the constitution of the elements of the offence or part thereof.</w:t>
            </w:r>
          </w:p>
          <w:p w:rsidR="006D5E7E" w:rsidRDefault="006D5E7E" w:rsidP="006D5E7E">
            <w:pPr>
              <w:spacing w:line="360" w:lineRule="auto"/>
              <w:ind w:left="720"/>
              <w:jc w:val="both"/>
              <w:rPr>
                <w:rFonts w:ascii="Arial" w:hAnsi="Arial" w:cs="Arial"/>
                <w:sz w:val="24"/>
                <w:szCs w:val="24"/>
              </w:rPr>
            </w:pPr>
            <w:r>
              <w:rPr>
                <w:rFonts w:ascii="Arial" w:hAnsi="Arial" w:cs="Arial"/>
                <w:sz w:val="24"/>
                <w:szCs w:val="24"/>
              </w:rPr>
              <w:t xml:space="preserve">Numerous invoices, returns, banking statements and cheques will have to be searched and secured even mobile phones and computers for imaging purposes. Once done, individual analysis of each document will have to be </w:t>
            </w:r>
            <w:r>
              <w:rPr>
                <w:rFonts w:ascii="Arial" w:hAnsi="Arial" w:cs="Arial"/>
                <w:sz w:val="24"/>
                <w:szCs w:val="24"/>
              </w:rPr>
              <w:lastRenderedPageBreak/>
              <w:t>effected so as to reconcile all the documents to fit in the mechanism of the fraud. On most occasion, the pattern of the fraud is quasi identical. Such exercise will be of utmost importance so as to enable the investigator to elaborate a well-oriented investigative plan. Moreover net worth analysis will have to be effected on the fraudster and his family, this entails analysis of bundles of documents such as bank statements among others.</w:t>
            </w:r>
          </w:p>
          <w:p w:rsidR="006D5E7E" w:rsidRPr="008C11EF" w:rsidRDefault="006D5E7E" w:rsidP="006D5E7E">
            <w:pPr>
              <w:spacing w:line="360" w:lineRule="auto"/>
              <w:ind w:left="720"/>
              <w:jc w:val="both"/>
              <w:rPr>
                <w:rFonts w:ascii="Arial" w:hAnsi="Arial" w:cs="Arial"/>
                <w:sz w:val="24"/>
                <w:szCs w:val="24"/>
              </w:rPr>
            </w:pPr>
            <w:r>
              <w:rPr>
                <w:rFonts w:ascii="Arial" w:hAnsi="Arial" w:cs="Arial"/>
                <w:sz w:val="24"/>
                <w:szCs w:val="24"/>
              </w:rPr>
              <w:t>Finally the money trail ensues. Such exercise is done to trace out the fraud committed through the fraud either locally or even if international via mutual legal assistance. Once money or any type of property is identified, freezing order will ensue pending trial. It is a fact that financial crime investigations usually result in superior volumes of evidence and more complicated theories of evidence that non-financial crime due to the complex technicalities of the component of the evidence which shall be worked out to buttress the elements constituting the offence.</w:t>
            </w:r>
          </w:p>
          <w:p w:rsidR="00CC2FB3" w:rsidRDefault="00CC2FB3" w:rsidP="00665114">
            <w:pPr>
              <w:spacing w:line="360" w:lineRule="auto"/>
              <w:jc w:val="both"/>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5114" w:rsidP="00665114">
            <w:pPr>
              <w:rPr>
                <w:rFonts w:cs="Bliss-Regular"/>
                <w:color w:val="000000"/>
              </w:rPr>
            </w:pPr>
            <w:r>
              <w:rPr>
                <w:rFonts w:cs="Bliss-Regular"/>
                <w:color w:val="000000"/>
              </w:rPr>
              <w:t>05</w:t>
            </w:r>
            <w:r w:rsidR="002674EB">
              <w:rPr>
                <w:rFonts w:cs="Bliss-Regular"/>
                <w:color w:val="000000"/>
              </w:rPr>
              <w:t>/</w:t>
            </w:r>
            <w:r w:rsidR="00B739D6">
              <w:rPr>
                <w:rFonts w:cs="Bliss-Regular"/>
                <w:color w:val="000000"/>
              </w:rPr>
              <w:t>0</w:t>
            </w:r>
            <w:r>
              <w:rPr>
                <w:rFonts w:cs="Bliss-Regular"/>
                <w:color w:val="000000"/>
              </w:rPr>
              <w:t>8</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06C" w:rsidRDefault="0073006C" w:rsidP="00CB4D0A">
      <w:pPr>
        <w:spacing w:after="0" w:line="240" w:lineRule="auto"/>
      </w:pPr>
      <w:r>
        <w:separator/>
      </w:r>
    </w:p>
  </w:endnote>
  <w:endnote w:type="continuationSeparator" w:id="0">
    <w:p w:rsidR="0073006C" w:rsidRDefault="007300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06C" w:rsidRDefault="0073006C" w:rsidP="00CB4D0A">
      <w:pPr>
        <w:spacing w:after="0" w:line="240" w:lineRule="auto"/>
      </w:pPr>
      <w:r>
        <w:separator/>
      </w:r>
    </w:p>
  </w:footnote>
  <w:footnote w:type="continuationSeparator" w:id="0">
    <w:p w:rsidR="0073006C" w:rsidRDefault="007300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43569"/>
    <w:multiLevelType w:val="hybridMultilevel"/>
    <w:tmpl w:val="5FF23DC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081466"/>
    <w:multiLevelType w:val="hybridMultilevel"/>
    <w:tmpl w:val="96BE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674E7"/>
    <w:multiLevelType w:val="hybridMultilevel"/>
    <w:tmpl w:val="4C0608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DE152F"/>
    <w:multiLevelType w:val="hybridMultilevel"/>
    <w:tmpl w:val="A43E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D2EA9"/>
    <w:multiLevelType w:val="hybridMultilevel"/>
    <w:tmpl w:val="A7F627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B997499"/>
    <w:multiLevelType w:val="hybridMultilevel"/>
    <w:tmpl w:val="D56C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C3D17"/>
    <w:multiLevelType w:val="hybridMultilevel"/>
    <w:tmpl w:val="69AC5F90"/>
    <w:lvl w:ilvl="0" w:tplc="3574F7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FA4843"/>
    <w:multiLevelType w:val="hybridMultilevel"/>
    <w:tmpl w:val="E4E48E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394293F"/>
    <w:multiLevelType w:val="hybridMultilevel"/>
    <w:tmpl w:val="3400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0" w15:restartNumberingAfterBreak="0">
    <w:nsid w:val="29B82376"/>
    <w:multiLevelType w:val="hybridMultilevel"/>
    <w:tmpl w:val="21947DC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AB75CCF"/>
    <w:multiLevelType w:val="hybridMultilevel"/>
    <w:tmpl w:val="8F44A8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B760C9F"/>
    <w:multiLevelType w:val="hybridMultilevel"/>
    <w:tmpl w:val="50E6E88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85B3B"/>
    <w:multiLevelType w:val="hybridMultilevel"/>
    <w:tmpl w:val="615C756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399D0286"/>
    <w:multiLevelType w:val="hybridMultilevel"/>
    <w:tmpl w:val="FD4864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B5D1AF3"/>
    <w:multiLevelType w:val="hybridMultilevel"/>
    <w:tmpl w:val="C07E4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3E0E05"/>
    <w:multiLevelType w:val="hybridMultilevel"/>
    <w:tmpl w:val="2702B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C020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2B6E66"/>
    <w:multiLevelType w:val="hybridMultilevel"/>
    <w:tmpl w:val="13060B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CE4488"/>
    <w:multiLevelType w:val="hybridMultilevel"/>
    <w:tmpl w:val="1552680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DB30B86"/>
    <w:multiLevelType w:val="hybridMultilevel"/>
    <w:tmpl w:val="65D66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4A440B"/>
    <w:multiLevelType w:val="hybridMultilevel"/>
    <w:tmpl w:val="3E629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DC63E4"/>
    <w:multiLevelType w:val="hybridMultilevel"/>
    <w:tmpl w:val="B33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B1350E"/>
    <w:multiLevelType w:val="hybridMultilevel"/>
    <w:tmpl w:val="26FE6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8571AC"/>
    <w:multiLevelType w:val="hybridMultilevel"/>
    <w:tmpl w:val="5762B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2F708C"/>
    <w:multiLevelType w:val="hybridMultilevel"/>
    <w:tmpl w:val="151A0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7A52ED1"/>
    <w:multiLevelType w:val="hybridMultilevel"/>
    <w:tmpl w:val="139CA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DA1779"/>
    <w:multiLevelType w:val="hybridMultilevel"/>
    <w:tmpl w:val="D7E4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D2A61"/>
    <w:multiLevelType w:val="hybridMultilevel"/>
    <w:tmpl w:val="31C0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E653F8"/>
    <w:multiLevelType w:val="hybridMultilevel"/>
    <w:tmpl w:val="34564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93450"/>
    <w:multiLevelType w:val="hybridMultilevel"/>
    <w:tmpl w:val="24CE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D01751"/>
    <w:multiLevelType w:val="hybridMultilevel"/>
    <w:tmpl w:val="7EFC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4D784B"/>
    <w:multiLevelType w:val="hybridMultilevel"/>
    <w:tmpl w:val="64DE213A"/>
    <w:lvl w:ilvl="0" w:tplc="5C10262A">
      <w:start w:val="2"/>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1E168A"/>
    <w:multiLevelType w:val="hybridMultilevel"/>
    <w:tmpl w:val="A360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FE356D"/>
    <w:multiLevelType w:val="hybridMultilevel"/>
    <w:tmpl w:val="B26EB7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856227"/>
    <w:multiLevelType w:val="multilevel"/>
    <w:tmpl w:val="72405F4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2AB6B78"/>
    <w:multiLevelType w:val="hybridMultilevel"/>
    <w:tmpl w:val="664CF1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89F2BDF"/>
    <w:multiLevelType w:val="hybridMultilevel"/>
    <w:tmpl w:val="64CC8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A5413E"/>
    <w:multiLevelType w:val="hybridMultilevel"/>
    <w:tmpl w:val="5DA62D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BAD00C4"/>
    <w:multiLevelType w:val="hybridMultilevel"/>
    <w:tmpl w:val="3842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A33E20"/>
    <w:multiLevelType w:val="hybridMultilevel"/>
    <w:tmpl w:val="2884B1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2"/>
  </w:num>
  <w:num w:numId="2">
    <w:abstractNumId w:val="9"/>
  </w:num>
  <w:num w:numId="3">
    <w:abstractNumId w:val="23"/>
  </w:num>
  <w:num w:numId="4">
    <w:abstractNumId w:val="37"/>
  </w:num>
  <w:num w:numId="5">
    <w:abstractNumId w:val="28"/>
  </w:num>
  <w:num w:numId="6">
    <w:abstractNumId w:val="12"/>
  </w:num>
  <w:num w:numId="7">
    <w:abstractNumId w:val="25"/>
  </w:num>
  <w:num w:numId="8">
    <w:abstractNumId w:val="5"/>
  </w:num>
  <w:num w:numId="9">
    <w:abstractNumId w:val="33"/>
  </w:num>
  <w:num w:numId="10">
    <w:abstractNumId w:val="3"/>
  </w:num>
  <w:num w:numId="11">
    <w:abstractNumId w:val="8"/>
  </w:num>
  <w:num w:numId="12">
    <w:abstractNumId w:val="36"/>
  </w:num>
  <w:num w:numId="13">
    <w:abstractNumId w:val="35"/>
  </w:num>
  <w:num w:numId="14">
    <w:abstractNumId w:val="1"/>
  </w:num>
  <w:num w:numId="15">
    <w:abstractNumId w:val="24"/>
  </w:num>
  <w:num w:numId="16">
    <w:abstractNumId w:val="30"/>
  </w:num>
  <w:num w:numId="17">
    <w:abstractNumId w:val="31"/>
  </w:num>
  <w:num w:numId="18">
    <w:abstractNumId w:val="41"/>
  </w:num>
  <w:num w:numId="19">
    <w:abstractNumId w:val="17"/>
  </w:num>
  <w:num w:numId="20">
    <w:abstractNumId w:val="19"/>
  </w:num>
  <w:num w:numId="21">
    <w:abstractNumId w:val="34"/>
  </w:num>
  <w:num w:numId="22">
    <w:abstractNumId w:val="29"/>
  </w:num>
  <w:num w:numId="23">
    <w:abstractNumId w:val="6"/>
  </w:num>
  <w:num w:numId="24">
    <w:abstractNumId w:val="16"/>
  </w:num>
  <w:num w:numId="25">
    <w:abstractNumId w:val="39"/>
  </w:num>
  <w:num w:numId="26">
    <w:abstractNumId w:val="32"/>
  </w:num>
  <w:num w:numId="27">
    <w:abstractNumId w:val="20"/>
  </w:num>
  <w:num w:numId="28">
    <w:abstractNumId w:val="26"/>
  </w:num>
  <w:num w:numId="29">
    <w:abstractNumId w:val="0"/>
  </w:num>
  <w:num w:numId="30">
    <w:abstractNumId w:val="4"/>
  </w:num>
  <w:num w:numId="31">
    <w:abstractNumId w:val="18"/>
  </w:num>
  <w:num w:numId="32">
    <w:abstractNumId w:val="11"/>
  </w:num>
  <w:num w:numId="33">
    <w:abstractNumId w:val="40"/>
  </w:num>
  <w:num w:numId="34">
    <w:abstractNumId w:val="21"/>
  </w:num>
  <w:num w:numId="35">
    <w:abstractNumId w:val="15"/>
  </w:num>
  <w:num w:numId="36">
    <w:abstractNumId w:val="10"/>
  </w:num>
  <w:num w:numId="37">
    <w:abstractNumId w:val="42"/>
  </w:num>
  <w:num w:numId="38">
    <w:abstractNumId w:val="2"/>
  </w:num>
  <w:num w:numId="39">
    <w:abstractNumId w:val="14"/>
  </w:num>
  <w:num w:numId="40">
    <w:abstractNumId w:val="7"/>
  </w:num>
  <w:num w:numId="41">
    <w:abstractNumId w:val="38"/>
  </w:num>
  <w:num w:numId="42">
    <w:abstractNumId w:val="13"/>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CDD"/>
    <w:rsid w:val="00035CDD"/>
    <w:rsid w:val="00040083"/>
    <w:rsid w:val="00043BCD"/>
    <w:rsid w:val="00055992"/>
    <w:rsid w:val="000820E8"/>
    <w:rsid w:val="001175EE"/>
    <w:rsid w:val="00157CF6"/>
    <w:rsid w:val="00182416"/>
    <w:rsid w:val="00187EB4"/>
    <w:rsid w:val="001F0481"/>
    <w:rsid w:val="00200C92"/>
    <w:rsid w:val="0020451E"/>
    <w:rsid w:val="00206B9D"/>
    <w:rsid w:val="0023259C"/>
    <w:rsid w:val="002674EB"/>
    <w:rsid w:val="002B0BD7"/>
    <w:rsid w:val="002B573D"/>
    <w:rsid w:val="002C5CB2"/>
    <w:rsid w:val="002F779F"/>
    <w:rsid w:val="00371885"/>
    <w:rsid w:val="003E2B87"/>
    <w:rsid w:val="00402786"/>
    <w:rsid w:val="00405895"/>
    <w:rsid w:val="004058DF"/>
    <w:rsid w:val="00443E6F"/>
    <w:rsid w:val="0048169B"/>
    <w:rsid w:val="00486F1A"/>
    <w:rsid w:val="00490CB9"/>
    <w:rsid w:val="004A2CE2"/>
    <w:rsid w:val="004C5D01"/>
    <w:rsid w:val="004D23D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5114"/>
    <w:rsid w:val="006823A7"/>
    <w:rsid w:val="00684B38"/>
    <w:rsid w:val="00687EE8"/>
    <w:rsid w:val="006D5E7E"/>
    <w:rsid w:val="0070347F"/>
    <w:rsid w:val="0070678E"/>
    <w:rsid w:val="0073006C"/>
    <w:rsid w:val="007659F1"/>
    <w:rsid w:val="008028E1"/>
    <w:rsid w:val="00805F26"/>
    <w:rsid w:val="00831C11"/>
    <w:rsid w:val="00831F5C"/>
    <w:rsid w:val="008A60B4"/>
    <w:rsid w:val="008B3C31"/>
    <w:rsid w:val="008B64FE"/>
    <w:rsid w:val="008D7B9B"/>
    <w:rsid w:val="00935BF7"/>
    <w:rsid w:val="0095442C"/>
    <w:rsid w:val="00983942"/>
    <w:rsid w:val="009B71AF"/>
    <w:rsid w:val="009C37E0"/>
    <w:rsid w:val="009E41F4"/>
    <w:rsid w:val="00A05943"/>
    <w:rsid w:val="00A14B66"/>
    <w:rsid w:val="00A65CF7"/>
    <w:rsid w:val="00A81AB4"/>
    <w:rsid w:val="00A83C63"/>
    <w:rsid w:val="00A851DA"/>
    <w:rsid w:val="00AC7D5B"/>
    <w:rsid w:val="00AE1481"/>
    <w:rsid w:val="00B0415E"/>
    <w:rsid w:val="00B04678"/>
    <w:rsid w:val="00B44CC7"/>
    <w:rsid w:val="00B67F85"/>
    <w:rsid w:val="00B739D6"/>
    <w:rsid w:val="00B9075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EC2C36"/>
    <w:rsid w:val="00F377FA"/>
    <w:rsid w:val="00F96EB3"/>
    <w:rsid w:val="00FA321B"/>
    <w:rsid w:val="00FE45E2"/>
    <w:rsid w:val="00FF6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01C46-5C72-436E-9FAA-C5370D371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1907</Words>
  <Characters>10875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4</cp:revision>
  <dcterms:created xsi:type="dcterms:W3CDTF">2016-08-05T01:50:00Z</dcterms:created>
  <dcterms:modified xsi:type="dcterms:W3CDTF">2016-08-05T01:51:00Z</dcterms:modified>
</cp:coreProperties>
</file>