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860E0" w:rsidP="00A851DA">
      <w:pPr>
        <w:rPr>
          <w:lang w:val="en-US"/>
        </w:rPr>
      </w:pPr>
      <w:r>
        <w:rPr>
          <w:noProof/>
          <w:lang w:val="en-AU" w:eastAsia="en-A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60E0">
            <w:pPr>
              <w:pStyle w:val="Default"/>
              <w:rPr>
                <w:rFonts w:asciiTheme="minorHAnsi" w:hAnsiTheme="minorHAnsi"/>
              </w:rPr>
            </w:pPr>
            <w:r>
              <w:rPr>
                <w:rFonts w:asciiTheme="minorHAnsi" w:hAnsiTheme="minorHAnsi"/>
              </w:rPr>
              <w:t>Jacinta SHANAHAN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860E0">
            <w:pPr>
              <w:pStyle w:val="Default"/>
              <w:rPr>
                <w:rFonts w:asciiTheme="minorHAnsi" w:hAnsiTheme="minorHAnsi"/>
              </w:rPr>
            </w:pPr>
            <w:r>
              <w:rPr>
                <w:rFonts w:asciiTheme="minorHAnsi" w:hAnsiTheme="minorHAnsi"/>
              </w:rPr>
              <w:t>27091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60E0">
            <w:pPr>
              <w:pStyle w:val="Default"/>
              <w:rPr>
                <w:rFonts w:asciiTheme="minorHAnsi" w:hAnsiTheme="minorHAnsi"/>
              </w:rPr>
            </w:pPr>
            <w:r>
              <w:rPr>
                <w:rFonts w:asciiTheme="minorHAnsi" w:hAnsiTheme="minorHAnsi"/>
              </w:rPr>
              <w:t>Diploma of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60E0">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9860E0" w:rsidRPr="00DF76CE" w:rsidRDefault="009860E0" w:rsidP="009860E0">
            <w:pPr>
              <w:rPr>
                <w:b/>
              </w:rPr>
            </w:pPr>
            <w:r w:rsidRPr="00DF76CE">
              <w:rPr>
                <w:b/>
              </w:rPr>
              <w:t xml:space="preserve">Give short answers for the following questions: </w:t>
            </w:r>
          </w:p>
          <w:p w:rsidR="009860E0" w:rsidRDefault="009860E0" w:rsidP="009860E0">
            <w:pPr>
              <w:pStyle w:val="ListParagraph"/>
              <w:numPr>
                <w:ilvl w:val="0"/>
                <w:numId w:val="2"/>
              </w:numPr>
              <w:spacing w:after="160" w:line="259" w:lineRule="auto"/>
            </w:pPr>
            <w:r>
              <w:t>What are non-financial sources for evidence?</w:t>
            </w:r>
          </w:p>
          <w:p w:rsidR="009860E0" w:rsidRDefault="009860E0" w:rsidP="009860E0">
            <w:r>
              <w:t xml:space="preserve">Non-financial sources are not able to be located in financial statements. This include information obtained in interview, greater understanding from written analysis such as handwriting and word choice and the physiological signs displayed by the fraudster. </w:t>
            </w:r>
          </w:p>
          <w:p w:rsidR="009860E0" w:rsidRDefault="009860E0" w:rsidP="009860E0">
            <w:pPr>
              <w:pStyle w:val="ListParagraph"/>
              <w:numPr>
                <w:ilvl w:val="0"/>
                <w:numId w:val="2"/>
              </w:numPr>
              <w:spacing w:after="160" w:line="259" w:lineRule="auto"/>
            </w:pPr>
            <w:r>
              <w:t>What is the importance of body language in the interviewing procedure?</w:t>
            </w:r>
          </w:p>
          <w:p w:rsidR="009860E0" w:rsidRDefault="009860E0" w:rsidP="009860E0">
            <w:r>
              <w:t xml:space="preserve">The body language is a physiological sign of the fraudster. Under the stress of an interview the fraudster will reveal nonverbal gestures such as facial or limb movements that may reveal. The placement of feet may review that people want to leave the room. They may also move their face and eyes while talking with one movement’s associates with being deceptive. For example an interviewee who looks down while talking may be indicating their guilt. </w:t>
            </w:r>
          </w:p>
          <w:p w:rsidR="009860E0" w:rsidRDefault="009860E0" w:rsidP="009860E0">
            <w:pPr>
              <w:pStyle w:val="ListParagraph"/>
              <w:numPr>
                <w:ilvl w:val="0"/>
                <w:numId w:val="2"/>
              </w:numPr>
              <w:spacing w:after="160" w:line="259" w:lineRule="auto"/>
            </w:pPr>
            <w:r>
              <w:t>How is the SCAN Analysis used as an investigative technique?</w:t>
            </w:r>
          </w:p>
          <w:p w:rsidR="009860E0" w:rsidRDefault="009860E0" w:rsidP="009860E0">
            <w:r>
              <w:t xml:space="preserve"> SCAN is a review of written documents that aims to identify deception. It relies on the principle that most people do not tell blatant lies, but are more likely to hide certain details or downplay their involvement. However the information that they are trying to withhold is often highlighted by their language choices such as regularly saying that they have forgotten a specific detail. The scan analysis will identify that this is likely to be deception, if they have good recall of other things.  (PVL, 2019)</w:t>
            </w:r>
          </w:p>
          <w:p w:rsidR="009860E0" w:rsidRDefault="009860E0" w:rsidP="009860E0">
            <w:pPr>
              <w:pStyle w:val="ListParagraph"/>
              <w:numPr>
                <w:ilvl w:val="0"/>
                <w:numId w:val="2"/>
              </w:numPr>
              <w:spacing w:after="160" w:line="259" w:lineRule="auto"/>
            </w:pPr>
            <w:r>
              <w:t xml:space="preserve">What are visual assessing cues?  How do eyes of the victim help the interviewer? </w:t>
            </w:r>
          </w:p>
          <w:p w:rsidR="009860E0" w:rsidRDefault="009860E0" w:rsidP="009860E0">
            <w:r>
              <w:t xml:space="preserve">Visually Assessing Clues is the reading of eye movements that help ascertain if a statement is true or deceptive. When people are accessing different parts of their mind their eyes will move in set patterns eg looking to the right and down relates to people recalling feelings which is compared to eyes looking to the left and up where people are recalling past images.  The amount someone blinks can indicate if they are stressed or not.  However, these eye patterns related to people who </w:t>
            </w:r>
            <w:r>
              <w:lastRenderedPageBreak/>
              <w:t xml:space="preserve">are right handed, so interviewers need to ensure that they are not ascribing traits to a left handed person in the interview. </w:t>
            </w:r>
          </w:p>
          <w:p w:rsidR="009860E0" w:rsidRDefault="009860E0" w:rsidP="009860E0">
            <w:pPr>
              <w:pStyle w:val="ListParagraph"/>
              <w:numPr>
                <w:ilvl w:val="0"/>
                <w:numId w:val="2"/>
              </w:numPr>
              <w:spacing w:after="160" w:line="259" w:lineRule="auto"/>
            </w:pPr>
            <w:r>
              <w:t>In addition to body language, there are other cues which help to identify lies.’ What are these?</w:t>
            </w:r>
          </w:p>
          <w:p w:rsidR="009860E0" w:rsidRDefault="009860E0" w:rsidP="009860E0">
            <w:r>
              <w:t xml:space="preserve">Some other cues may be the person’s demeanour. For example if they are agitate and sweating or if they have a very dry mouth this may indicate they are suffering under the stress of deception at that time. </w:t>
            </w:r>
          </w:p>
          <w:p w:rsidR="009860E0" w:rsidRDefault="009860E0" w:rsidP="009860E0"/>
          <w:p w:rsidR="009860E0" w:rsidRPr="00FE1603" w:rsidRDefault="009860E0" w:rsidP="009860E0">
            <w:pPr>
              <w:rPr>
                <w:b/>
              </w:rPr>
            </w:pPr>
            <w:r w:rsidRPr="00FE1603">
              <w:rPr>
                <w:b/>
              </w:rPr>
              <w:t>‘Asking questions in an audit is different from asking questions in fraud investigations.’ Discuss this.</w:t>
            </w:r>
          </w:p>
          <w:p w:rsidR="009860E0" w:rsidRDefault="009860E0" w:rsidP="009860E0">
            <w:r>
              <w:t xml:space="preserve">The questions raised in an audit are to work out what is happening, are correct procedures in the office being followed, do the books reflect what is occurring. It is exploratory. It is not aiming to secure a confession. </w:t>
            </w:r>
          </w:p>
          <w:p w:rsidR="009860E0" w:rsidRDefault="009860E0" w:rsidP="009860E0">
            <w:r>
              <w:t>In a fraud investigation, it will come after the audit has occurred and the audit has identified fraudulent behav</w:t>
            </w:r>
            <w:bookmarkStart w:id="0" w:name="_GoBack"/>
            <w:bookmarkEnd w:id="0"/>
            <w:r>
              <w:t xml:space="preserve">iour and it may have identified a suspect. The fraud investigation is developed to secure a conviction or confession. To ensure the best chance of an outcome it needs to follow set guidelines and best practices so that the information can be used in court if needed. The interview will have set points they want to cover and they allow the interviewee to talk and provide as much information as they want to provide as well as asking clarifying questions. This will mean that any inconsistencies located in the investigation can be checked and will lead the interviewee towards becoming the suspect, unless the interview provides information that rules them out. Ultimately the best outcome would be that the interviewee provides a written confession at the end of the interview. </w:t>
            </w:r>
          </w:p>
          <w:p w:rsidR="009860E0" w:rsidRDefault="009860E0" w:rsidP="009860E0"/>
          <w:p w:rsidR="009860E0" w:rsidRPr="00B26CD5" w:rsidRDefault="009860E0" w:rsidP="009860E0">
            <w:pPr>
              <w:rPr>
                <w:b/>
              </w:rPr>
            </w:pPr>
            <w:r w:rsidRPr="00B26CD5">
              <w:rPr>
                <w:b/>
              </w:rPr>
              <w:t>Discuss the Interviewing procedure for a financially sophisticated victim.</w:t>
            </w:r>
          </w:p>
          <w:p w:rsidR="009860E0" w:rsidRDefault="009860E0" w:rsidP="009860E0">
            <w:r>
              <w:t xml:space="preserve">When interviewing a financially sophisticated victim it is necessary to perform diligent preplanning and research based on the fact that there might be complex financial process, structures or language that need to be understood to make sense of the fraud.  For example a fraud in a small school canteen will be straight forward, however a fraud in a multinational accounting firm that consists of multiple legal entities located in various jurisdictions that has profits sent to offshore accounts or into reduced tax paying subsidiaries involves the interviewer having to have sophisticated understanding of the business.  </w:t>
            </w:r>
          </w:p>
          <w:p w:rsidR="009860E0" w:rsidRDefault="009860E0" w:rsidP="009860E0">
            <w:r>
              <w:t xml:space="preserve">Interviewers will also need to ensure that the practices and turnover of a financially sophisticated victim are in line with similar business types by doing open source research, or in Australia, by comparing with the Australian Tax Office guides. </w:t>
            </w:r>
          </w:p>
          <w:p w:rsidR="009860E0" w:rsidRDefault="009860E0" w:rsidP="009860E0">
            <w:r>
              <w:t>Visually present your data so that it is easy for both the interviewer to understand. The interviewer can also ask the interviewee to correct any misconceptions that the interviewee has wrong, which in turn might show continued deceptive behaviour on behalf of the fraudster.  (Silversone &amp; Sheetz 2011)</w:t>
            </w:r>
          </w:p>
          <w:p w:rsidR="009860E0" w:rsidRDefault="009860E0" w:rsidP="009860E0"/>
          <w:p w:rsidR="009860E0" w:rsidRPr="00C67ED3" w:rsidRDefault="009860E0" w:rsidP="009860E0">
            <w:pPr>
              <w:rPr>
                <w:b/>
              </w:rPr>
            </w:pPr>
            <w:r w:rsidRPr="00C67ED3">
              <w:rPr>
                <w:b/>
              </w:rPr>
              <w:t>REFERENCES</w:t>
            </w:r>
            <w:r w:rsidRPr="00C67ED3">
              <w:rPr>
                <w:b/>
              </w:rPr>
              <w:br/>
            </w:r>
          </w:p>
          <w:p w:rsidR="009860E0" w:rsidRDefault="009860E0" w:rsidP="009860E0">
            <w:pPr>
              <w:rPr>
                <w:rFonts w:cstheme="minorHAnsi"/>
              </w:rPr>
            </w:pPr>
            <w:r w:rsidRPr="00C67ED3">
              <w:rPr>
                <w:rFonts w:cstheme="minorHAnsi"/>
              </w:rPr>
              <w:t xml:space="preserve">PVL, 2019. </w:t>
            </w:r>
            <w:r w:rsidRPr="00C67ED3">
              <w:rPr>
                <w:rFonts w:cstheme="minorHAnsi"/>
                <w:i/>
              </w:rPr>
              <w:t xml:space="preserve">Scientific Content Analysis (SCAN) </w:t>
            </w:r>
            <w:hyperlink r:id="rId9" w:history="1">
              <w:r w:rsidRPr="000D7282">
                <w:rPr>
                  <w:rStyle w:val="Hyperlink"/>
                  <w:rFonts w:cstheme="minorHAnsi"/>
                </w:rPr>
                <w:t>http://www.verify.co.nz/scan.php accessed 25/10/19</w:t>
              </w:r>
            </w:hyperlink>
          </w:p>
          <w:p w:rsidR="009860E0" w:rsidRPr="00C67ED3" w:rsidRDefault="009860E0" w:rsidP="009860E0">
            <w:pPr>
              <w:rPr>
                <w:rFonts w:cstheme="minorHAnsi"/>
              </w:rPr>
            </w:pPr>
            <w:r>
              <w:rPr>
                <w:rFonts w:cstheme="minorHAnsi"/>
              </w:rPr>
              <w:t xml:space="preserve">Silverstone, H. &amp; Sheetz, M (2011) </w:t>
            </w:r>
            <w:r w:rsidRPr="00B26CD5">
              <w:rPr>
                <w:rFonts w:cstheme="minorHAnsi"/>
                <w:i/>
              </w:rPr>
              <w:t>Forensic Accounting and Fraud Investigation for Non-Experts.</w:t>
            </w:r>
            <w:r>
              <w:rPr>
                <w:rFonts w:cstheme="minorHAnsi"/>
              </w:rPr>
              <w:t xml:space="preserve"> </w:t>
            </w:r>
          </w:p>
          <w:p w:rsidR="009860E0" w:rsidRDefault="009860E0" w:rsidP="009860E0"/>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D45EF4"/>
    <w:multiLevelType w:val="hybridMultilevel"/>
    <w:tmpl w:val="ED0EEE12"/>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860E0"/>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45722739"/>
  <w15:docId w15:val="{52ECB8F5-D8B1-41A3-8E30-37522493A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860E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verify.co.nz/scan.php%20accessed%2025/10/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7EE073-3D3C-40D2-AC8B-301E5C083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884</Words>
  <Characters>5042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Jacinta SHANAHAN</cp:lastModifiedBy>
  <cp:revision>1</cp:revision>
  <dcterms:created xsi:type="dcterms:W3CDTF">2015-01-26T12:24:00Z</dcterms:created>
  <dcterms:modified xsi:type="dcterms:W3CDTF">2019-10-25T07:49:00Z</dcterms:modified>
</cp:coreProperties>
</file>