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28F5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ABCFC72" wp14:editId="1F2D75D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60A989" w14:textId="77777777" w:rsidR="00607874" w:rsidRDefault="005A3C76" w:rsidP="00A851DA">
      <w:pPr>
        <w:rPr>
          <w:lang w:val="en-US"/>
        </w:rPr>
      </w:pPr>
      <w:r>
        <w:rPr>
          <w:noProof/>
          <w:lang w:val="en-US"/>
        </w:rPr>
        <mc:AlternateContent>
          <mc:Choice Requires="wps">
            <w:drawing>
              <wp:anchor distT="0" distB="0" distL="114300" distR="114300" simplePos="0" relativeHeight="251660288" behindDoc="0" locked="0" layoutInCell="1" allowOverlap="1" wp14:anchorId="2E0F4799" wp14:editId="1B3A87C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A7E44" w14:textId="77777777" w:rsidR="00E87A31" w:rsidRDefault="00E87A31" w:rsidP="00405895">
                            <w:pPr>
                              <w:jc w:val="center"/>
                              <w:rPr>
                                <w:b/>
                                <w:bCs/>
                                <w:color w:val="002060"/>
                                <w:sz w:val="44"/>
                                <w:szCs w:val="40"/>
                              </w:rPr>
                            </w:pPr>
                            <w:r>
                              <w:rPr>
                                <w:sz w:val="24"/>
                              </w:rPr>
                              <w:t xml:space="preserve">   </w:t>
                            </w:r>
                            <w:r>
                              <w:rPr>
                                <w:b/>
                                <w:bCs/>
                                <w:color w:val="002060"/>
                                <w:sz w:val="44"/>
                                <w:szCs w:val="40"/>
                              </w:rPr>
                              <w:t>Assignment Cover Sheet</w:t>
                            </w:r>
                          </w:p>
                          <w:p w14:paraId="72DAA5E8" w14:textId="77777777" w:rsidR="00E87A31" w:rsidRDefault="00E87A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64A7E44" w14:textId="77777777" w:rsidR="00E87A31" w:rsidRDefault="00E87A31" w:rsidP="00405895">
                      <w:pPr>
                        <w:jc w:val="center"/>
                        <w:rPr>
                          <w:b/>
                          <w:bCs/>
                          <w:color w:val="002060"/>
                          <w:sz w:val="44"/>
                          <w:szCs w:val="40"/>
                        </w:rPr>
                      </w:pPr>
                      <w:r>
                        <w:rPr>
                          <w:sz w:val="24"/>
                        </w:rPr>
                        <w:t xml:space="preserve">   </w:t>
                      </w:r>
                      <w:r>
                        <w:rPr>
                          <w:b/>
                          <w:bCs/>
                          <w:color w:val="002060"/>
                          <w:sz w:val="44"/>
                          <w:szCs w:val="40"/>
                        </w:rPr>
                        <w:t>Assignment Cover Sheet</w:t>
                      </w:r>
                    </w:p>
                    <w:p w14:paraId="72DAA5E8" w14:textId="77777777" w:rsidR="00E87A31" w:rsidRDefault="00E87A31"/>
                  </w:txbxContent>
                </v:textbox>
              </v:shape>
            </w:pict>
          </mc:Fallback>
        </mc:AlternateContent>
      </w:r>
    </w:p>
    <w:p w14:paraId="2B54AC76" w14:textId="77777777" w:rsidR="00607874" w:rsidRDefault="00607874" w:rsidP="00A851DA">
      <w:pPr>
        <w:rPr>
          <w:lang w:val="en-US"/>
        </w:rPr>
      </w:pPr>
    </w:p>
    <w:p w14:paraId="6A68ED7A" w14:textId="77777777" w:rsidR="00607874" w:rsidRDefault="00607874" w:rsidP="00A851DA">
      <w:pPr>
        <w:rPr>
          <w:lang w:val="en-US"/>
        </w:rPr>
      </w:pPr>
    </w:p>
    <w:p w14:paraId="566B4D8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3512D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89A5E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AD9C47" w14:textId="40C058ED" w:rsidR="00A851DA" w:rsidRPr="00B0415E" w:rsidRDefault="000F51A5">
            <w:pPr>
              <w:pStyle w:val="Default"/>
              <w:rPr>
                <w:rFonts w:asciiTheme="minorHAnsi" w:hAnsiTheme="minorHAnsi"/>
              </w:rPr>
            </w:pPr>
            <w:r>
              <w:rPr>
                <w:rFonts w:asciiTheme="minorHAnsi" w:hAnsiTheme="minorHAnsi"/>
              </w:rPr>
              <w:t>Arvind BABAJEE</w:t>
            </w:r>
          </w:p>
        </w:tc>
      </w:tr>
      <w:tr w:rsidR="00A851DA" w:rsidRPr="00B0415E" w14:paraId="761EA5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40F75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35CB1D2" w14:textId="2E2059C2" w:rsidR="00A851DA" w:rsidRPr="00B0415E" w:rsidRDefault="000F51A5">
            <w:pPr>
              <w:pStyle w:val="Default"/>
              <w:rPr>
                <w:rFonts w:asciiTheme="minorHAnsi" w:hAnsiTheme="minorHAnsi"/>
              </w:rPr>
            </w:pPr>
            <w:r>
              <w:rPr>
                <w:rFonts w:asciiTheme="minorHAnsi" w:hAnsiTheme="minorHAnsi"/>
              </w:rPr>
              <w:t>8902</w:t>
            </w:r>
          </w:p>
        </w:tc>
      </w:tr>
      <w:tr w:rsidR="00A851DA" w:rsidRPr="00B0415E" w14:paraId="60EE10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2BB8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A16D62" w14:textId="5358EF74" w:rsidR="00A851DA" w:rsidRPr="00B0415E" w:rsidRDefault="000F51A5">
            <w:pPr>
              <w:pStyle w:val="Default"/>
              <w:rPr>
                <w:rFonts w:asciiTheme="minorHAnsi" w:hAnsiTheme="minorHAnsi"/>
              </w:rPr>
            </w:pPr>
            <w:r>
              <w:rPr>
                <w:rFonts w:asciiTheme="minorHAnsi" w:hAnsiTheme="minorHAnsi"/>
              </w:rPr>
              <w:t>Diploma in Forensic Accounting – Unit 9</w:t>
            </w:r>
          </w:p>
        </w:tc>
      </w:tr>
      <w:tr w:rsidR="00A851DA" w:rsidRPr="00B0415E" w14:paraId="6738EF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02D96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59FC83" w14:textId="5DA0B48F" w:rsidR="00A851DA" w:rsidRPr="00B0415E" w:rsidRDefault="000F51A5">
            <w:r>
              <w:t>09</w:t>
            </w:r>
          </w:p>
        </w:tc>
      </w:tr>
    </w:tbl>
    <w:p w14:paraId="0E528181" w14:textId="77777777" w:rsidR="00CC2FB3" w:rsidRDefault="00CC2FB3" w:rsidP="00A851DA">
      <w:pPr>
        <w:rPr>
          <w:b/>
          <w:lang w:val="en-US"/>
        </w:rPr>
      </w:pPr>
    </w:p>
    <w:p w14:paraId="0E3EE2CB" w14:textId="77777777" w:rsidR="00443E6F" w:rsidRDefault="00527C11" w:rsidP="00A851DA">
      <w:pPr>
        <w:rPr>
          <w:b/>
          <w:sz w:val="28"/>
          <w:lang w:val="en-US"/>
        </w:rPr>
      </w:pPr>
      <w:r w:rsidRPr="00443E6F">
        <w:rPr>
          <w:b/>
          <w:sz w:val="28"/>
          <w:lang w:val="en-US"/>
        </w:rPr>
        <w:t>Marking Criteria:</w:t>
      </w:r>
    </w:p>
    <w:p w14:paraId="1D8F50A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E16C8E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39FD00D" w14:textId="77777777" w:rsidTr="00CC2FB3">
        <w:tc>
          <w:tcPr>
            <w:tcW w:w="9242" w:type="dxa"/>
          </w:tcPr>
          <w:p w14:paraId="6B260767" w14:textId="0E0D17EE"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1716BF">
              <w:rPr>
                <w:rFonts w:ascii="Arial" w:hAnsi="Arial" w:cs="Arial"/>
                <w:sz w:val="24"/>
                <w:szCs w:val="24"/>
              </w:rPr>
              <w:t xml:space="preserve"> (</w:t>
            </w:r>
            <w:r w:rsidR="002F779F">
              <w:rPr>
                <w:rFonts w:ascii="Arial" w:hAnsi="Arial" w:cs="Arial"/>
                <w:sz w:val="24"/>
                <w:szCs w:val="24"/>
              </w:rPr>
              <w:t>in word format</w:t>
            </w:r>
            <w:proofErr w:type="gramStart"/>
            <w:r w:rsidR="002F779F">
              <w:rPr>
                <w:rFonts w:ascii="Arial" w:hAnsi="Arial" w:cs="Arial"/>
                <w:sz w:val="24"/>
                <w:szCs w:val="24"/>
              </w:rPr>
              <w:t xml:space="preserve">) </w:t>
            </w:r>
            <w:r w:rsidRPr="00CC2FB3">
              <w:rPr>
                <w:rFonts w:ascii="Arial" w:hAnsi="Arial" w:cs="Arial"/>
                <w:sz w:val="24"/>
                <w:szCs w:val="24"/>
              </w:rPr>
              <w:t xml:space="preserve"> here</w:t>
            </w:r>
            <w:proofErr w:type="gramEnd"/>
            <w:r w:rsidRPr="00CC2FB3">
              <w:rPr>
                <w:rFonts w:ascii="Arial" w:hAnsi="Arial" w:cs="Arial"/>
                <w:sz w:val="24"/>
                <w:szCs w:val="24"/>
              </w:rPr>
              <w:t>:</w:t>
            </w:r>
          </w:p>
          <w:p w14:paraId="2CF6F12E" w14:textId="77777777" w:rsidR="00A74E89" w:rsidRDefault="00A74E89" w:rsidP="00A851DA">
            <w:pPr>
              <w:rPr>
                <w:i/>
                <w:iCs/>
              </w:rPr>
            </w:pPr>
            <w:r>
              <w:rPr>
                <w:i/>
                <w:iCs/>
              </w:rPr>
              <w:t xml:space="preserve">  </w:t>
            </w:r>
          </w:p>
          <w:p w14:paraId="4BC2785C" w14:textId="77777777" w:rsidR="00CC2FB3" w:rsidRDefault="00CC2FB3" w:rsidP="00A851DA">
            <w:pPr>
              <w:rPr>
                <w:b/>
              </w:rPr>
            </w:pPr>
          </w:p>
          <w:p w14:paraId="3BF9B076" w14:textId="74F38298" w:rsidR="006B7AD6" w:rsidRPr="006B7AD6" w:rsidRDefault="006B7AD6" w:rsidP="00A851DA">
            <w:pPr>
              <w:rPr>
                <w:b/>
                <w:u w:val="single"/>
              </w:rPr>
            </w:pPr>
            <w:r w:rsidRPr="006B7AD6">
              <w:rPr>
                <w:b/>
                <w:u w:val="single"/>
              </w:rPr>
              <w:t>Question: 1</w:t>
            </w:r>
          </w:p>
          <w:p w14:paraId="7E90490B" w14:textId="77777777" w:rsidR="00CC2FB3" w:rsidRDefault="00CC2FB3" w:rsidP="00A851DA">
            <w:pPr>
              <w:rPr>
                <w:b/>
              </w:rPr>
            </w:pPr>
          </w:p>
          <w:p w14:paraId="1FF6C75E" w14:textId="2C2CA84F" w:rsidR="004873D4" w:rsidRDefault="00FC0F70" w:rsidP="004873D4">
            <w:proofErr w:type="spellStart"/>
            <w:r>
              <w:rPr>
                <w:b/>
              </w:rPr>
              <w:t>i</w:t>
            </w:r>
            <w:proofErr w:type="spellEnd"/>
            <w:r>
              <w:rPr>
                <w:b/>
              </w:rPr>
              <w:t>.</w:t>
            </w:r>
            <w:proofErr w:type="gramStart"/>
            <w:r>
              <w:rPr>
                <w:b/>
              </w:rPr>
              <w:t xml:space="preserve">) </w:t>
            </w:r>
            <w:r w:rsidR="004873D4">
              <w:t xml:space="preserve"> </w:t>
            </w:r>
            <w:r w:rsidR="004873D4" w:rsidRPr="004873D4">
              <w:t>Risk</w:t>
            </w:r>
            <w:proofErr w:type="gramEnd"/>
            <w:r w:rsidR="004873D4" w:rsidRPr="004873D4">
              <w:t xml:space="preserve"> assessment factors can be considered on different levels such as entity, </w:t>
            </w:r>
            <w:proofErr w:type="spellStart"/>
            <w:r w:rsidR="004873D4" w:rsidRPr="004873D4">
              <w:t>behavioural</w:t>
            </w:r>
            <w:proofErr w:type="spellEnd"/>
            <w:r w:rsidR="004873D4" w:rsidRPr="004873D4">
              <w:t xml:space="preserve">, products and services, geography, divisions, accounting and business processes, controls, computerized systems, etc. Usually, factors are initially considered at the entity level because fraud, embezzlement or theft can only be successful with the combination of executive and employee personalities, working environment, organizational culture and internal controls. After the process is initiated, different perspectives, such as the ability of management to incorporate risk management practices, should also be examined. </w:t>
            </w:r>
          </w:p>
          <w:p w14:paraId="5FF9A100" w14:textId="77777777" w:rsidR="004873D4" w:rsidRPr="004873D4" w:rsidRDefault="004873D4" w:rsidP="004873D4"/>
          <w:p w14:paraId="594B3165" w14:textId="77777777" w:rsidR="004873D4" w:rsidRPr="00966943" w:rsidRDefault="004873D4" w:rsidP="004873D4">
            <w:pPr>
              <w:rPr>
                <w:b/>
                <w:i/>
                <w:u w:val="single"/>
              </w:rPr>
            </w:pPr>
            <w:r w:rsidRPr="00966943">
              <w:rPr>
                <w:b/>
                <w:i/>
                <w:u w:val="single"/>
              </w:rPr>
              <w:t xml:space="preserve">Corporate Environment Factors </w:t>
            </w:r>
          </w:p>
          <w:p w14:paraId="1C5946E7" w14:textId="77777777" w:rsidR="004873D4" w:rsidRPr="004873D4" w:rsidRDefault="004873D4" w:rsidP="004873D4">
            <w:r w:rsidRPr="004873D4">
              <w:t xml:space="preserve">According to the Association of Certified Fraud Examiners (ACFE) 2008 Report to the Nation (RTTN), when its members were surveyed regarding resolved frauds, it was revealed that 959 cases had been reported. One of the statistics concerned the industries represented in these cases. Some industries and organizations are more vulnerable to theft, fraud and embezzlement than others. While ACFE statistical results show the industries that need to hire Certified Fraud Examiners (CFE), they may also indicate different industries’ susceptibility to fraud. A factor to consider while conducting risk assessment is whether the entities working in industries that have a higher susceptibility to fraud are at a greater risk of fraud as well. </w:t>
            </w:r>
          </w:p>
          <w:p w14:paraId="34B2DE23" w14:textId="77777777" w:rsidR="004873D4" w:rsidRPr="004873D4" w:rsidRDefault="004873D4" w:rsidP="004873D4"/>
          <w:p w14:paraId="2067E116" w14:textId="34B638C7" w:rsidR="004873D4" w:rsidRDefault="004873D4" w:rsidP="004873D4">
            <w:r w:rsidRPr="004873D4">
              <w:t xml:space="preserve">Economy is another factor to consider during risk assessment. People steal in good times, and in bad times they steal even more! In a 2008-2009 survey ACFE asked 507 CFEs to report fraud that had occurred since the beginning of the economic crisis. According to this survey, more than half of the CFEs reported that fraud had increased during the economic downturn. </w:t>
            </w:r>
          </w:p>
          <w:p w14:paraId="7DDA843D" w14:textId="77777777" w:rsidR="004873D4" w:rsidRDefault="004873D4" w:rsidP="004873D4"/>
          <w:p w14:paraId="0B2D5E05" w14:textId="77777777" w:rsidR="004873D4" w:rsidRPr="004873D4" w:rsidRDefault="004873D4" w:rsidP="004873D4">
            <w:pPr>
              <w:rPr>
                <w:b/>
                <w:i/>
                <w:u w:val="single"/>
              </w:rPr>
            </w:pPr>
            <w:r w:rsidRPr="004873D4">
              <w:rPr>
                <w:b/>
                <w:i/>
                <w:u w:val="single"/>
              </w:rPr>
              <w:lastRenderedPageBreak/>
              <w:t xml:space="preserve">Internal Factors </w:t>
            </w:r>
          </w:p>
          <w:p w14:paraId="667C8BBA" w14:textId="77777777" w:rsidR="004873D4" w:rsidRPr="004873D4" w:rsidRDefault="004873D4" w:rsidP="004873D4">
            <w:r w:rsidRPr="004873D4">
              <w:t xml:space="preserve">Internal factors that contribute to the increased probability of fraud and embezzlement are lack of monitoring activities and inadequate controls such as: </w:t>
            </w:r>
          </w:p>
          <w:p w14:paraId="5C949E33" w14:textId="159AAF3E" w:rsidR="004873D4" w:rsidRPr="004873D4" w:rsidRDefault="004873D4" w:rsidP="004873D4">
            <w:pPr>
              <w:numPr>
                <w:ilvl w:val="0"/>
                <w:numId w:val="2"/>
              </w:numPr>
            </w:pPr>
            <w:r w:rsidRPr="004873D4">
              <w:t>Absence of a culture that encourages honesty.  </w:t>
            </w:r>
          </w:p>
          <w:p w14:paraId="4C85E3C4" w14:textId="6F8448C2" w:rsidR="004873D4" w:rsidRPr="004873D4" w:rsidRDefault="004873D4" w:rsidP="004873D4">
            <w:pPr>
              <w:numPr>
                <w:ilvl w:val="0"/>
                <w:numId w:val="2"/>
              </w:numPr>
            </w:pPr>
            <w:r w:rsidRPr="004873D4">
              <w:t>Inability to set and communicate performance standards and standards for personal conduct.  </w:t>
            </w:r>
          </w:p>
          <w:p w14:paraId="477FBCDB" w14:textId="247CA0DC" w:rsidR="004873D4" w:rsidRPr="004873D4" w:rsidRDefault="004873D4" w:rsidP="004873D4">
            <w:pPr>
              <w:numPr>
                <w:ilvl w:val="0"/>
                <w:numId w:val="2"/>
              </w:numPr>
            </w:pPr>
            <w:r w:rsidRPr="004873D4">
              <w:t>Inadequate legal, ethical, fraud detection and security-related training.  </w:t>
            </w:r>
          </w:p>
          <w:p w14:paraId="0A7CF18F" w14:textId="4FA93931" w:rsidR="004873D4" w:rsidRPr="004873D4" w:rsidRDefault="004873D4" w:rsidP="004873D4">
            <w:pPr>
              <w:numPr>
                <w:ilvl w:val="0"/>
                <w:numId w:val="2"/>
              </w:numPr>
            </w:pPr>
            <w:r w:rsidRPr="004873D4">
              <w:t>Absence of company policy regarding sanctions for financial crime and breach of security.  </w:t>
            </w:r>
          </w:p>
          <w:p w14:paraId="764B9FD0" w14:textId="74EA39C5" w:rsidR="004873D4" w:rsidRPr="004873D4" w:rsidRDefault="004873D4" w:rsidP="004873D4">
            <w:pPr>
              <w:numPr>
                <w:ilvl w:val="0"/>
                <w:numId w:val="2"/>
              </w:numPr>
            </w:pPr>
            <w:r w:rsidRPr="004873D4">
              <w:t xml:space="preserve">Failure to provide counsel or take action against unsatisfactory levels of performance or  questionable personal </w:t>
            </w:r>
            <w:proofErr w:type="spellStart"/>
            <w:r w:rsidRPr="004873D4">
              <w:t>behaviour</w:t>
            </w:r>
            <w:proofErr w:type="spellEnd"/>
            <w:r w:rsidRPr="004873D4">
              <w:t xml:space="preserve"> that violates organizational principles.  </w:t>
            </w:r>
          </w:p>
          <w:p w14:paraId="4E3ED67D" w14:textId="075694E7" w:rsidR="004873D4" w:rsidRPr="004873D4" w:rsidRDefault="004873D4" w:rsidP="004873D4">
            <w:pPr>
              <w:numPr>
                <w:ilvl w:val="0"/>
                <w:numId w:val="2"/>
              </w:numPr>
            </w:pPr>
            <w:r w:rsidRPr="004873D4">
              <w:t>Lack of clarity in job roles, accountability, duties and responsibilities.  </w:t>
            </w:r>
          </w:p>
          <w:p w14:paraId="2F37E1AE" w14:textId="1B0F3B2F" w:rsidR="004873D4" w:rsidRDefault="004873D4" w:rsidP="004873D4">
            <w:pPr>
              <w:numPr>
                <w:ilvl w:val="0"/>
                <w:numId w:val="2"/>
              </w:numPr>
            </w:pPr>
            <w:r w:rsidRPr="004873D4">
              <w:t>Irregular audits, inspections and follow-throughs to monitor compliance with organizational  goals, policies, procedures, priorities and government regulations due to which there is a general lack of accountability in key positions.  </w:t>
            </w:r>
          </w:p>
          <w:p w14:paraId="3C551254" w14:textId="77777777" w:rsidR="004873D4" w:rsidRDefault="004873D4" w:rsidP="004873D4"/>
          <w:p w14:paraId="26ACEB85" w14:textId="7F50F75E" w:rsidR="004873D4" w:rsidRDefault="004873D4" w:rsidP="00966943">
            <w:pPr>
              <w:widowControl w:val="0"/>
              <w:tabs>
                <w:tab w:val="left" w:pos="220"/>
                <w:tab w:val="left" w:pos="720"/>
              </w:tabs>
              <w:autoSpaceDE w:val="0"/>
              <w:autoSpaceDN w:val="0"/>
              <w:adjustRightInd w:val="0"/>
              <w:spacing w:after="240"/>
              <w:rPr>
                <w:rFonts w:cs="Times"/>
              </w:rPr>
            </w:pPr>
            <w:r w:rsidRPr="004873D4">
              <w:rPr>
                <w:rFonts w:cs="Times"/>
                <w:b/>
                <w:i/>
                <w:u w:val="single"/>
              </w:rPr>
              <w:t xml:space="preserve">Fraud </w:t>
            </w:r>
            <w:proofErr w:type="gramStart"/>
            <w:r w:rsidRPr="004873D4">
              <w:rPr>
                <w:rFonts w:cs="Times"/>
                <w:b/>
                <w:i/>
              </w:rPr>
              <w:t>Factors</w:t>
            </w:r>
            <w:r>
              <w:rPr>
                <w:rFonts w:cs="Times"/>
              </w:rPr>
              <w:t xml:space="preserve"> :</w:t>
            </w:r>
            <w:proofErr w:type="gramEnd"/>
            <w:r>
              <w:rPr>
                <w:rFonts w:cs="Times"/>
              </w:rPr>
              <w:t xml:space="preserve"> </w:t>
            </w:r>
            <w:r w:rsidRPr="004873D4">
              <w:rPr>
                <w:rFonts w:cs="Calibri"/>
              </w:rPr>
              <w:t xml:space="preserve">Risk assessment should also consider fraud schemes that have the probability of occurring while guiding the anti-fraud program. For example, in financial statement fraud, executives have a higher probability of being involved, and in asset misappropriation and corruption a trusted employee is more likely to be involved. Corruption cases may also involve outsiders who collude with fraudsters working for the entity. It is important during risk assessment to take these individuals into account and take countermeasures to detect fraud. </w:t>
            </w:r>
            <w:r w:rsidRPr="004873D4">
              <w:rPr>
                <w:rFonts w:cs="Times"/>
              </w:rPr>
              <w:t> </w:t>
            </w:r>
          </w:p>
          <w:p w14:paraId="7F617898" w14:textId="04D7094B" w:rsidR="00966943" w:rsidRDefault="00966943" w:rsidP="00966943">
            <w:pPr>
              <w:rPr>
                <w:b/>
              </w:rPr>
            </w:pPr>
            <w:r>
              <w:rPr>
                <w:i/>
                <w:iCs/>
              </w:rPr>
              <w:t xml:space="preserve">                                                                                               (BOLC -Unit 9 </w:t>
            </w:r>
            <w:r w:rsidRPr="00D37DE6">
              <w:rPr>
                <w:i/>
                <w:iCs/>
              </w:rPr>
              <w:t xml:space="preserve">– </w:t>
            </w:r>
            <w:r>
              <w:rPr>
                <w:i/>
                <w:iCs/>
              </w:rPr>
              <w:t>Fraud Risk Assessment</w:t>
            </w:r>
            <w:proofErr w:type="gramStart"/>
            <w:r>
              <w:rPr>
                <w:i/>
                <w:iCs/>
              </w:rPr>
              <w:t xml:space="preserve">,  </w:t>
            </w:r>
            <w:proofErr w:type="spellStart"/>
            <w:r>
              <w:rPr>
                <w:i/>
                <w:iCs/>
              </w:rPr>
              <w:t>Pg</w:t>
            </w:r>
            <w:proofErr w:type="spellEnd"/>
            <w:proofErr w:type="gramEnd"/>
            <w:r>
              <w:rPr>
                <w:i/>
                <w:iCs/>
              </w:rPr>
              <w:t xml:space="preserve"> 3-5</w:t>
            </w:r>
            <w:r w:rsidRPr="00D37DE6">
              <w:rPr>
                <w:i/>
                <w:iCs/>
              </w:rPr>
              <w:t>)</w:t>
            </w:r>
          </w:p>
          <w:p w14:paraId="2E425AA6" w14:textId="638EB66B" w:rsidR="00E63A35" w:rsidRDefault="00E63A35" w:rsidP="00E63A35">
            <w:pPr>
              <w:rPr>
                <w:rFonts w:cs="Times"/>
              </w:rPr>
            </w:pPr>
          </w:p>
          <w:p w14:paraId="74F90787" w14:textId="77777777" w:rsidR="00E63A35" w:rsidRPr="00E63A35" w:rsidRDefault="00E63A35" w:rsidP="00E63A35">
            <w:pPr>
              <w:rPr>
                <w:b/>
                <w:u w:val="single"/>
                <w:lang w:val="en-GB"/>
              </w:rPr>
            </w:pPr>
          </w:p>
          <w:p w14:paraId="429C55E4" w14:textId="77777777" w:rsidR="00E63A35" w:rsidRPr="00E63A35" w:rsidRDefault="00E63A35" w:rsidP="00E63A35">
            <w:pPr>
              <w:rPr>
                <w:b/>
                <w:lang w:val="en-GB"/>
              </w:rPr>
            </w:pPr>
          </w:p>
          <w:p w14:paraId="43DDA346" w14:textId="77777777" w:rsidR="00E63A35" w:rsidRDefault="00E63A35" w:rsidP="00E63A35">
            <w:pPr>
              <w:rPr>
                <w:lang w:val="en-GB"/>
              </w:rPr>
            </w:pPr>
            <w:r w:rsidRPr="00E63A35">
              <w:rPr>
                <w:b/>
                <w:lang w:val="en-GB"/>
              </w:rPr>
              <w:t>i</w:t>
            </w:r>
            <w:r>
              <w:rPr>
                <w:b/>
                <w:lang w:val="en-GB"/>
              </w:rPr>
              <w:t>i</w:t>
            </w:r>
            <w:r w:rsidRPr="00E63A35">
              <w:rPr>
                <w:b/>
                <w:lang w:val="en-GB"/>
              </w:rPr>
              <w:t>.</w:t>
            </w:r>
            <w:proofErr w:type="gramStart"/>
            <w:r w:rsidRPr="00E63A35">
              <w:rPr>
                <w:b/>
                <w:lang w:val="en-GB"/>
              </w:rPr>
              <w:t xml:space="preserve">)  </w:t>
            </w:r>
            <w:r>
              <w:rPr>
                <w:lang w:val="en-GB"/>
              </w:rPr>
              <w:t>The</w:t>
            </w:r>
            <w:proofErr w:type="gramEnd"/>
            <w:r>
              <w:rPr>
                <w:lang w:val="en-GB"/>
              </w:rPr>
              <w:t xml:space="preserve"> main concepts of risk assessment are:</w:t>
            </w:r>
          </w:p>
          <w:p w14:paraId="72087107" w14:textId="77777777" w:rsidR="00E63A35" w:rsidRDefault="00E63A35" w:rsidP="00E63A35">
            <w:pPr>
              <w:rPr>
                <w:lang w:val="en-GB"/>
              </w:rPr>
            </w:pPr>
          </w:p>
          <w:p w14:paraId="68B475D2" w14:textId="48E50A76" w:rsidR="004873D4" w:rsidRPr="00E63A35" w:rsidRDefault="00E63A35" w:rsidP="00E63A35">
            <w:pPr>
              <w:rPr>
                <w:b/>
                <w:i/>
                <w:u w:val="single"/>
                <w:lang w:val="en-GB"/>
              </w:rPr>
            </w:pPr>
            <w:r w:rsidRPr="00E63A35">
              <w:rPr>
                <w:b/>
                <w:i/>
                <w:u w:val="single"/>
                <w:lang w:val="en-GB"/>
              </w:rPr>
              <w:t xml:space="preserve">Leader(s) </w:t>
            </w:r>
          </w:p>
          <w:p w14:paraId="27D815C9" w14:textId="77777777" w:rsidR="00E63A35" w:rsidRPr="00E63A35" w:rsidRDefault="00E63A35" w:rsidP="00E63A35">
            <w:pPr>
              <w:widowControl w:val="0"/>
              <w:tabs>
                <w:tab w:val="left" w:pos="220"/>
                <w:tab w:val="left" w:pos="720"/>
              </w:tabs>
              <w:autoSpaceDE w:val="0"/>
              <w:autoSpaceDN w:val="0"/>
              <w:adjustRightInd w:val="0"/>
              <w:spacing w:after="240"/>
              <w:rPr>
                <w:rFonts w:cs="Times"/>
              </w:rPr>
            </w:pPr>
            <w:r w:rsidRPr="00E63A35">
              <w:rPr>
                <w:rFonts w:cs="Calibri"/>
              </w:rPr>
              <w:t xml:space="preserve">The risk assessment process needs a suitable person or team. Persons with sufficient independence and the ability to carry out effective risk management are required for organizational management. These kinds of people can be found among the organization’s internal audit personnel. It is vital to have someone with experience of performing effective risk assessment who has the support of the organization’s board of directors and its audit committee. </w:t>
            </w:r>
            <w:r w:rsidRPr="00E63A35">
              <w:rPr>
                <w:rFonts w:cs="Times"/>
              </w:rPr>
              <w:t> </w:t>
            </w:r>
          </w:p>
          <w:p w14:paraId="210320D5" w14:textId="77777777" w:rsidR="00E63A35" w:rsidRPr="00E63A35" w:rsidRDefault="00E63A35" w:rsidP="00E63A35">
            <w:pPr>
              <w:rPr>
                <w:b/>
                <w:i/>
                <w:u w:val="single"/>
              </w:rPr>
            </w:pPr>
            <w:r w:rsidRPr="00E63A35">
              <w:rPr>
                <w:b/>
                <w:i/>
                <w:u w:val="single"/>
              </w:rPr>
              <w:t xml:space="preserve">Team </w:t>
            </w:r>
          </w:p>
          <w:p w14:paraId="100F4CB8" w14:textId="77777777" w:rsidR="00E63A35" w:rsidRDefault="00E63A35" w:rsidP="00E63A35">
            <w:r w:rsidRPr="00E63A35">
              <w:t xml:space="preserve">It is important to choose the team carefully. While it should start with internal experts and consultants, it should also involve people from a broad cross-section of the entity. This includes different levels of management. All major business units of the organization, especially accounting and sales (which are more vulnerable to fraud), all business processes, key positions, and perspectives should be represented in the team to provide high-quality risk assessment. Moreover, people who are creative, capable of reasoning logically, have an understanding of the business and the industry, and are able to present arguments in </w:t>
            </w:r>
            <w:proofErr w:type="spellStart"/>
            <w:r w:rsidRPr="00E63A35">
              <w:t>favour</w:t>
            </w:r>
            <w:proofErr w:type="spellEnd"/>
            <w:r w:rsidRPr="00E63A35">
              <w:t xml:space="preserve"> of the opposing side should be sought and chosen regardless of their position in the entity. </w:t>
            </w:r>
          </w:p>
          <w:p w14:paraId="13625372" w14:textId="77777777" w:rsidR="00E63A35" w:rsidRPr="00E63A35" w:rsidRDefault="00E63A35" w:rsidP="00E63A35"/>
          <w:p w14:paraId="35FEF14E" w14:textId="77777777" w:rsidR="00E63A35" w:rsidRPr="00E63A35" w:rsidRDefault="00E63A35" w:rsidP="00E63A35">
            <w:r w:rsidRPr="00E63A35">
              <w:t xml:space="preserve">It is critical to document risk assessment because these documents might be reviewed later when risk has been assessed but not yet realized. Documents can act as learning tools for better and more effective risk assessments because the lessons learnt in previous risk assessments might be used to fine- tune future assessments. Another purpose of documentation is to hold the participants in risk assessments accountable. There are several tools of risk assessment that also serve the purpose of documentation. The checklist below is an example of how to organize risk assessment. </w:t>
            </w:r>
          </w:p>
          <w:p w14:paraId="33303902" w14:textId="77777777" w:rsidR="00E63A35" w:rsidRPr="00E63A35" w:rsidRDefault="00E63A35" w:rsidP="00E63A35"/>
          <w:p w14:paraId="6E18EA47" w14:textId="77777777" w:rsidR="004873D4" w:rsidRPr="00E63A35" w:rsidRDefault="004873D4" w:rsidP="00A851DA"/>
          <w:p w14:paraId="0FDC7FFB" w14:textId="77777777" w:rsidR="00E63A35" w:rsidRPr="00E63A35" w:rsidRDefault="00E63A35" w:rsidP="00E63A35">
            <w:pPr>
              <w:rPr>
                <w:b/>
                <w:i/>
                <w:u w:val="single"/>
              </w:rPr>
            </w:pPr>
            <w:r w:rsidRPr="00E63A35">
              <w:rPr>
                <w:b/>
                <w:i/>
                <w:u w:val="single"/>
              </w:rPr>
              <w:t xml:space="preserve">Frequency and Alignment with Finance </w:t>
            </w:r>
          </w:p>
          <w:p w14:paraId="1926784F" w14:textId="77777777" w:rsidR="00E63A35" w:rsidRPr="00E63A35" w:rsidRDefault="00E63A35" w:rsidP="00E63A35">
            <w:r w:rsidRPr="00E63A35">
              <w:t xml:space="preserve">Every entity should conduct a formal risk assessment regularly, ideally every 12 to 24 months. An annual risk assessment should be synchronized with financial planning and reporting timeframes. While financial planning involves future plans and considerations overlapping finance and fraud, financial reporting includes findings such as adjustments, disclosures and control deficiencies that will require help from the Risk Management Checklist. Risk assessment is a continuous process requiring central position holders to constantly monitor and adapt to the fraud environment and refresh the process and plan for response regularly. </w:t>
            </w:r>
          </w:p>
          <w:p w14:paraId="4CE0A2B3" w14:textId="7F163E8C" w:rsidR="004873D4" w:rsidRPr="00E63A35" w:rsidRDefault="0028711B" w:rsidP="00A851DA">
            <w:r>
              <w:rPr>
                <w:i/>
                <w:iCs/>
              </w:rPr>
              <w:t xml:space="preserve">                                                                                          (BOLC -Unit 9 </w:t>
            </w:r>
            <w:r w:rsidRPr="00D37DE6">
              <w:rPr>
                <w:i/>
                <w:iCs/>
              </w:rPr>
              <w:t xml:space="preserve">– </w:t>
            </w:r>
            <w:r>
              <w:rPr>
                <w:i/>
                <w:iCs/>
              </w:rPr>
              <w:t>Fraud Risk Assessment</w:t>
            </w:r>
            <w:proofErr w:type="gramStart"/>
            <w:r>
              <w:rPr>
                <w:i/>
                <w:iCs/>
              </w:rPr>
              <w:t xml:space="preserve">,  </w:t>
            </w:r>
            <w:proofErr w:type="spellStart"/>
            <w:r>
              <w:rPr>
                <w:i/>
                <w:iCs/>
              </w:rPr>
              <w:t>Pg</w:t>
            </w:r>
            <w:proofErr w:type="spellEnd"/>
            <w:proofErr w:type="gramEnd"/>
            <w:r>
              <w:rPr>
                <w:i/>
                <w:iCs/>
              </w:rPr>
              <w:t xml:space="preserve"> 4-5</w:t>
            </w:r>
            <w:r w:rsidRPr="00D37DE6">
              <w:rPr>
                <w:i/>
                <w:iCs/>
              </w:rPr>
              <w:t>)</w:t>
            </w:r>
          </w:p>
          <w:p w14:paraId="60CE7F12" w14:textId="77777777" w:rsidR="004873D4" w:rsidRPr="00E63A35" w:rsidRDefault="004873D4" w:rsidP="00A851DA"/>
          <w:p w14:paraId="6CEDD1C5" w14:textId="77777777" w:rsidR="004873D4" w:rsidRPr="00E63A35" w:rsidRDefault="004873D4" w:rsidP="00A851DA"/>
          <w:p w14:paraId="7A95528C" w14:textId="5EA0EB22" w:rsidR="004873D4" w:rsidRPr="00E66B30" w:rsidRDefault="00B969AA" w:rsidP="00A851DA">
            <w:r w:rsidRPr="00B969AA">
              <w:rPr>
                <w:b/>
              </w:rPr>
              <w:t>iii.)</w:t>
            </w:r>
            <w:r w:rsidR="00E66B30">
              <w:rPr>
                <w:b/>
              </w:rPr>
              <w:t xml:space="preserve"> </w:t>
            </w:r>
            <w:r w:rsidR="00E66B30" w:rsidRPr="00E66B30">
              <w:t>Internal factors that should be considered for fraud risk assessment are:</w:t>
            </w:r>
          </w:p>
          <w:p w14:paraId="22EEEEFB" w14:textId="77777777" w:rsidR="00E66B30" w:rsidRPr="00E66B30" w:rsidRDefault="00E66B30" w:rsidP="00E66B30">
            <w:pPr>
              <w:pStyle w:val="ListParagraph"/>
              <w:numPr>
                <w:ilvl w:val="0"/>
                <w:numId w:val="4"/>
              </w:numPr>
            </w:pPr>
            <w:r w:rsidRPr="00E66B30">
              <w:t>Absence of a culture that encourages honesty.  </w:t>
            </w:r>
          </w:p>
          <w:p w14:paraId="4352C742" w14:textId="77777777" w:rsidR="00E66B30" w:rsidRPr="00E66B30" w:rsidRDefault="00E66B30" w:rsidP="00E66B30">
            <w:pPr>
              <w:pStyle w:val="ListParagraph"/>
              <w:numPr>
                <w:ilvl w:val="0"/>
                <w:numId w:val="4"/>
              </w:numPr>
            </w:pPr>
            <w:r w:rsidRPr="00E66B30">
              <w:t>Inability to set and communicate performance standards and standards for personal conduct.  </w:t>
            </w:r>
          </w:p>
          <w:p w14:paraId="59B31208" w14:textId="77777777" w:rsidR="00E66B30" w:rsidRPr="00E66B30" w:rsidRDefault="00E66B30" w:rsidP="00E66B30">
            <w:pPr>
              <w:pStyle w:val="ListParagraph"/>
              <w:numPr>
                <w:ilvl w:val="0"/>
                <w:numId w:val="4"/>
              </w:numPr>
            </w:pPr>
            <w:r w:rsidRPr="00E66B30">
              <w:t>Inadequate legal, ethical, fraud detection and security-related training.  </w:t>
            </w:r>
          </w:p>
          <w:p w14:paraId="45C79BB1" w14:textId="77777777" w:rsidR="00E66B30" w:rsidRPr="00E66B30" w:rsidRDefault="00E66B30" w:rsidP="00E66B30">
            <w:pPr>
              <w:pStyle w:val="ListParagraph"/>
              <w:numPr>
                <w:ilvl w:val="0"/>
                <w:numId w:val="4"/>
              </w:numPr>
            </w:pPr>
            <w:r w:rsidRPr="00E66B30">
              <w:t>Absence of company policy regarding sanctions for financial crime and breach of security.  </w:t>
            </w:r>
          </w:p>
          <w:p w14:paraId="15ACA687" w14:textId="77777777" w:rsidR="00E66B30" w:rsidRPr="00E66B30" w:rsidRDefault="00E66B30" w:rsidP="00E66B30">
            <w:pPr>
              <w:pStyle w:val="ListParagraph"/>
              <w:numPr>
                <w:ilvl w:val="0"/>
                <w:numId w:val="4"/>
              </w:numPr>
            </w:pPr>
            <w:r w:rsidRPr="00E66B30">
              <w:t xml:space="preserve">Failure to provide counsel or take action against unsatisfactory levels of performance or  questionable personal </w:t>
            </w:r>
            <w:proofErr w:type="spellStart"/>
            <w:r w:rsidRPr="00E66B30">
              <w:t>behaviour</w:t>
            </w:r>
            <w:proofErr w:type="spellEnd"/>
            <w:r w:rsidRPr="00E66B30">
              <w:t xml:space="preserve"> that violates organizational principles.  </w:t>
            </w:r>
          </w:p>
          <w:p w14:paraId="1B7D38A0" w14:textId="77777777" w:rsidR="00E66B30" w:rsidRPr="00E66B30" w:rsidRDefault="00E66B30" w:rsidP="00E66B30">
            <w:pPr>
              <w:pStyle w:val="ListParagraph"/>
              <w:numPr>
                <w:ilvl w:val="0"/>
                <w:numId w:val="4"/>
              </w:numPr>
            </w:pPr>
            <w:r w:rsidRPr="00E66B30">
              <w:t>Lack of clarity in job roles, accountability, duties and responsibilities.  </w:t>
            </w:r>
          </w:p>
          <w:p w14:paraId="4D8CB8EC" w14:textId="2DF212B7" w:rsidR="004873D4" w:rsidRPr="00E66B30" w:rsidRDefault="00E66B30" w:rsidP="00E66B30">
            <w:pPr>
              <w:pStyle w:val="ListParagraph"/>
              <w:numPr>
                <w:ilvl w:val="0"/>
                <w:numId w:val="4"/>
              </w:numPr>
            </w:pPr>
            <w:r w:rsidRPr="00E66B30">
              <w:t>Irregular audits, inspections and follow-throughs to monitor compliance with organizational  goals, policies, procedures, priorities and government regulations due to which there is a general lack of accountability in key positions.</w:t>
            </w:r>
          </w:p>
          <w:p w14:paraId="1B9D7625" w14:textId="1FB5AA2F" w:rsidR="00E66B30" w:rsidRPr="00E63A35" w:rsidRDefault="00E66B30" w:rsidP="00E66B30">
            <w:r>
              <w:rPr>
                <w:i/>
                <w:iCs/>
              </w:rPr>
              <w:t xml:space="preserve">                                                                                              (BOLC -Unit 9 </w:t>
            </w:r>
            <w:r w:rsidRPr="00D37DE6">
              <w:rPr>
                <w:i/>
                <w:iCs/>
              </w:rPr>
              <w:t xml:space="preserve">– </w:t>
            </w:r>
            <w:r>
              <w:rPr>
                <w:i/>
                <w:iCs/>
              </w:rPr>
              <w:t>Fraud Risk Assessment</w:t>
            </w:r>
            <w:proofErr w:type="gramStart"/>
            <w:r>
              <w:rPr>
                <w:i/>
                <w:iCs/>
              </w:rPr>
              <w:t xml:space="preserve">,  </w:t>
            </w:r>
            <w:proofErr w:type="spellStart"/>
            <w:r>
              <w:rPr>
                <w:i/>
                <w:iCs/>
              </w:rPr>
              <w:t>Pg</w:t>
            </w:r>
            <w:proofErr w:type="spellEnd"/>
            <w:proofErr w:type="gramEnd"/>
            <w:r>
              <w:rPr>
                <w:i/>
                <w:iCs/>
              </w:rPr>
              <w:t xml:space="preserve"> 4</w:t>
            </w:r>
            <w:r w:rsidRPr="00D37DE6">
              <w:rPr>
                <w:i/>
                <w:iCs/>
              </w:rPr>
              <w:t>)</w:t>
            </w:r>
          </w:p>
          <w:p w14:paraId="4DE1374A" w14:textId="77777777" w:rsidR="00E66B30" w:rsidRDefault="00E66B30" w:rsidP="00A851DA"/>
          <w:p w14:paraId="6429CC21" w14:textId="77777777" w:rsidR="005D2B54" w:rsidRPr="00E66B30" w:rsidRDefault="005D2B54" w:rsidP="00A851DA"/>
          <w:p w14:paraId="69CCF515" w14:textId="7E2586CC" w:rsidR="00AD6817" w:rsidRPr="00AD6817" w:rsidRDefault="00E66B30" w:rsidP="00AD6817">
            <w:r w:rsidRPr="00DB268B">
              <w:rPr>
                <w:b/>
              </w:rPr>
              <w:t>iv.</w:t>
            </w:r>
            <w:proofErr w:type="gramStart"/>
            <w:r w:rsidRPr="00DB268B">
              <w:rPr>
                <w:b/>
              </w:rPr>
              <w:t>)</w:t>
            </w:r>
            <w:r w:rsidR="00AD6817">
              <w:rPr>
                <w:b/>
              </w:rPr>
              <w:t xml:space="preserve">  </w:t>
            </w:r>
            <w:r w:rsidR="00AD6817" w:rsidRPr="00AD6817">
              <w:t>Inherent</w:t>
            </w:r>
            <w:proofErr w:type="gramEnd"/>
            <w:r w:rsidR="00AD6817" w:rsidRPr="00AD6817">
              <w:t xml:space="preserve"> risk associated with a fraud scheme is determined by the team for the entity or a particular business process. It can be expressed in percentage form or simply as high, medium or low risk. A number of factors need to be considered while measuring this risk including industry, strategy, organizational structure and market volatility. </w:t>
            </w:r>
          </w:p>
          <w:p w14:paraId="353BF405" w14:textId="2A452337" w:rsidR="004873D4" w:rsidRPr="00AD6817" w:rsidRDefault="00AD6817" w:rsidP="00A851DA">
            <w:r>
              <w:rPr>
                <w:i/>
                <w:iCs/>
              </w:rPr>
              <w:t xml:space="preserve">                                                                                               (BOLC -Unit 9 </w:t>
            </w:r>
            <w:r w:rsidRPr="00D37DE6">
              <w:rPr>
                <w:i/>
                <w:iCs/>
              </w:rPr>
              <w:t xml:space="preserve">– </w:t>
            </w:r>
            <w:r>
              <w:rPr>
                <w:i/>
                <w:iCs/>
              </w:rPr>
              <w:t>Fraud Risk Assessment</w:t>
            </w:r>
            <w:proofErr w:type="gramStart"/>
            <w:r>
              <w:rPr>
                <w:i/>
                <w:iCs/>
              </w:rPr>
              <w:t xml:space="preserve">,  </w:t>
            </w:r>
            <w:proofErr w:type="spellStart"/>
            <w:r>
              <w:rPr>
                <w:i/>
                <w:iCs/>
              </w:rPr>
              <w:t>Pg</w:t>
            </w:r>
            <w:proofErr w:type="spellEnd"/>
            <w:proofErr w:type="gramEnd"/>
            <w:r>
              <w:rPr>
                <w:i/>
                <w:iCs/>
              </w:rPr>
              <w:t xml:space="preserve"> 22</w:t>
            </w:r>
            <w:r w:rsidRPr="00D37DE6">
              <w:rPr>
                <w:i/>
                <w:iCs/>
              </w:rPr>
              <w:t>)</w:t>
            </w:r>
          </w:p>
          <w:p w14:paraId="580D3DF4" w14:textId="77777777" w:rsidR="004873D4" w:rsidRDefault="004873D4" w:rsidP="00A851DA"/>
          <w:p w14:paraId="3964B498" w14:textId="77777777" w:rsidR="00AD6817" w:rsidRDefault="00AD6817" w:rsidP="00A851DA"/>
          <w:p w14:paraId="2BAAA758" w14:textId="77777777" w:rsidR="00AD6817" w:rsidRPr="00AD6817" w:rsidRDefault="00AD6817" w:rsidP="00AD6817">
            <w:r w:rsidRPr="00AD6817">
              <w:rPr>
                <w:b/>
              </w:rPr>
              <w:t>v.)</w:t>
            </w:r>
            <w:r>
              <w:t xml:space="preserve"> </w:t>
            </w:r>
            <w:r w:rsidRPr="00AD6817">
              <w:t>Residual risk can be simply calculated by subtracting the level of internal controls being used to mitigate risk from the inherent risk. There are two possible responses to residual risk: no response, as it is accepted</w:t>
            </w:r>
            <w:proofErr w:type="gramStart"/>
            <w:r w:rsidRPr="00AD6817">
              <w:t>;</w:t>
            </w:r>
            <w:proofErr w:type="gramEnd"/>
            <w:r w:rsidRPr="00AD6817">
              <w:t xml:space="preserve"> or action to take further preventive measures (such as purchasing insurance) in order to mitigate residual risk. In either case, the response should be documented and tracked in order to determine the organization’s ability to measure and manage risk. </w:t>
            </w:r>
          </w:p>
          <w:p w14:paraId="0F0EA730" w14:textId="6E313324" w:rsidR="004873D4" w:rsidRDefault="00AD6817" w:rsidP="00A851DA">
            <w:r>
              <w:rPr>
                <w:i/>
                <w:iCs/>
              </w:rPr>
              <w:t xml:space="preserve">                                                                                               (BOLC -Unit 9 </w:t>
            </w:r>
            <w:r w:rsidRPr="00D37DE6">
              <w:rPr>
                <w:i/>
                <w:iCs/>
              </w:rPr>
              <w:t xml:space="preserve">– </w:t>
            </w:r>
            <w:r>
              <w:rPr>
                <w:i/>
                <w:iCs/>
              </w:rPr>
              <w:t>Fraud Risk Assessment</w:t>
            </w:r>
            <w:proofErr w:type="gramStart"/>
            <w:r>
              <w:rPr>
                <w:i/>
                <w:iCs/>
              </w:rPr>
              <w:t xml:space="preserve">,  </w:t>
            </w:r>
            <w:proofErr w:type="spellStart"/>
            <w:r>
              <w:rPr>
                <w:i/>
                <w:iCs/>
              </w:rPr>
              <w:t>Pg</w:t>
            </w:r>
            <w:proofErr w:type="spellEnd"/>
            <w:proofErr w:type="gramEnd"/>
            <w:r>
              <w:rPr>
                <w:i/>
                <w:iCs/>
              </w:rPr>
              <w:t xml:space="preserve"> 22</w:t>
            </w:r>
            <w:r w:rsidRPr="00D37DE6">
              <w:rPr>
                <w:i/>
                <w:iCs/>
              </w:rPr>
              <w:t>)</w:t>
            </w:r>
          </w:p>
          <w:p w14:paraId="0BB6F5A6" w14:textId="77777777" w:rsidR="00371F82" w:rsidRDefault="00371F82" w:rsidP="00A851DA">
            <w:pPr>
              <w:rPr>
                <w:b/>
              </w:rPr>
            </w:pPr>
          </w:p>
          <w:p w14:paraId="4D8DCF82" w14:textId="1D200508" w:rsidR="005D2B54" w:rsidRDefault="001C3DED" w:rsidP="00A851DA">
            <w:pPr>
              <w:rPr>
                <w:b/>
              </w:rPr>
            </w:pPr>
            <w:r w:rsidRPr="006B7AD6">
              <w:rPr>
                <w:b/>
                <w:u w:val="single"/>
              </w:rPr>
              <w:t xml:space="preserve">Question: </w:t>
            </w:r>
            <w:r>
              <w:rPr>
                <w:b/>
                <w:u w:val="single"/>
              </w:rPr>
              <w:t>2</w:t>
            </w:r>
          </w:p>
          <w:p w14:paraId="1E279E5E" w14:textId="77777777" w:rsidR="001C3DED" w:rsidRDefault="001C3DED" w:rsidP="00A851DA">
            <w:pPr>
              <w:rPr>
                <w:b/>
              </w:rPr>
            </w:pPr>
          </w:p>
          <w:p w14:paraId="70F330E5" w14:textId="20443F30" w:rsidR="001C3DED" w:rsidRDefault="00E87A31" w:rsidP="00A851DA">
            <w:r w:rsidRPr="00E87A31">
              <w:t xml:space="preserve">A </w:t>
            </w:r>
            <w:r>
              <w:t xml:space="preserve">fraud-risk </w:t>
            </w:r>
            <w:proofErr w:type="spellStart"/>
            <w:r>
              <w:t>asseement</w:t>
            </w:r>
            <w:proofErr w:type="spellEnd"/>
            <w:r>
              <w:t xml:space="preserve"> checklist for a </w:t>
            </w:r>
            <w:r w:rsidR="00371F82">
              <w:t>business in commerce industry:</w:t>
            </w:r>
          </w:p>
          <w:p w14:paraId="3C836F1A" w14:textId="77777777" w:rsidR="00371F82" w:rsidRDefault="00371F82" w:rsidP="00A851DA"/>
          <w:tbl>
            <w:tblPr>
              <w:tblW w:w="0" w:type="auto"/>
              <w:tblBorders>
                <w:top w:val="nil"/>
                <w:left w:val="nil"/>
                <w:right w:val="nil"/>
              </w:tblBorders>
              <w:tblLook w:val="0000" w:firstRow="0" w:lastRow="0" w:firstColumn="0" w:lastColumn="0" w:noHBand="0" w:noVBand="0"/>
            </w:tblPr>
            <w:tblGrid>
              <w:gridCol w:w="2048"/>
              <w:gridCol w:w="1343"/>
              <w:gridCol w:w="1721"/>
              <w:gridCol w:w="1388"/>
              <w:gridCol w:w="1492"/>
              <w:gridCol w:w="1024"/>
            </w:tblGrid>
            <w:tr w:rsidR="00371F82" w14:paraId="59611236" w14:textId="77777777">
              <w:tblPrEx>
                <w:tblCellMar>
                  <w:top w:w="0" w:type="dxa"/>
                  <w:bottom w:w="0" w:type="dxa"/>
                </w:tblCellMar>
              </w:tblPrEx>
              <w:tc>
                <w:tcPr>
                  <w:tcW w:w="2580" w:type="dxa"/>
                  <w:tcBorders>
                    <w:top w:val="single" w:sz="4"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24BBAE65" w14:textId="67B8EDB0"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645F8C65" wp14:editId="7C29B95C">
                        <wp:extent cx="5715" cy="571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4F1E2DA9"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Times" w:hAnsi="Times" w:cs="Times"/>
                      <w:sz w:val="30"/>
                      <w:szCs w:val="30"/>
                      <w:lang w:val="en-US"/>
                    </w:rPr>
                    <w:t xml:space="preserve">Fraud Schemes </w:t>
                  </w:r>
                </w:p>
                <w:p w14:paraId="53CA857C" w14:textId="2402708A"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4099EFE9" wp14:editId="43E785BD">
                        <wp:extent cx="5715" cy="57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4"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1B6FBEC4" w14:textId="28BBC6D1"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6C9582BA" wp14:editId="612A2434">
                        <wp:extent cx="5715" cy="57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28F61B14"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Times" w:hAnsi="Times" w:cs="Times"/>
                      <w:sz w:val="30"/>
                      <w:szCs w:val="30"/>
                      <w:lang w:val="en-US"/>
                    </w:rPr>
                    <w:t xml:space="preserve">Inherent Risk </w:t>
                  </w:r>
                </w:p>
                <w:p w14:paraId="047998C0" w14:textId="2A3B9957"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EC5058B" wp14:editId="121AD3CA">
                        <wp:extent cx="5715" cy="57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4"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47E59FFE" w14:textId="7F3B2FE1"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27727599" wp14:editId="3CAE212A">
                        <wp:extent cx="5715" cy="57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4F37AD7D"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Times" w:hAnsi="Times" w:cs="Times"/>
                      <w:sz w:val="30"/>
                      <w:szCs w:val="30"/>
                      <w:lang w:val="en-US"/>
                    </w:rPr>
                    <w:t xml:space="preserve">Controls Assessment </w:t>
                  </w:r>
                </w:p>
                <w:p w14:paraId="26076290" w14:textId="5367D079"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6D1628B9" wp14:editId="6E732BE5">
                        <wp:extent cx="5715" cy="57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4"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045CF31A" w14:textId="5D846A0B"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06253F9D" wp14:editId="6BFCD501">
                        <wp:extent cx="5715" cy="57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7CE6D62D"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Times" w:hAnsi="Times" w:cs="Times"/>
                      <w:sz w:val="30"/>
                      <w:szCs w:val="30"/>
                      <w:lang w:val="en-US"/>
                    </w:rPr>
                    <w:t xml:space="preserve">Residual Risk </w:t>
                  </w:r>
                </w:p>
                <w:p w14:paraId="3EB38338" w14:textId="1AC3D97B"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5E062DFE" wp14:editId="74667C84">
                        <wp:extent cx="5715" cy="571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60" w:type="dxa"/>
                  <w:tcBorders>
                    <w:top w:val="single" w:sz="4"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07BDD363"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Times" w:hAnsi="Times" w:cs="Times"/>
                      <w:sz w:val="30"/>
                      <w:szCs w:val="30"/>
                      <w:lang w:val="en-US"/>
                    </w:rPr>
                    <w:t xml:space="preserve">Business Processes </w:t>
                  </w:r>
                </w:p>
              </w:tc>
              <w:tc>
                <w:tcPr>
                  <w:tcW w:w="2560" w:type="dxa"/>
                  <w:tcBorders>
                    <w:top w:val="single" w:sz="4"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186340DA" w14:textId="33F1DFCB"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2E1F5FD0" wp14:editId="36D5678A">
                        <wp:extent cx="5715" cy="57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04AB6FAE" wp14:editId="7EBEB9A8">
                        <wp:extent cx="5715" cy="57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32BBB467"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Times" w:hAnsi="Times" w:cs="Times"/>
                      <w:sz w:val="30"/>
                      <w:szCs w:val="30"/>
                      <w:lang w:val="en-US"/>
                    </w:rPr>
                    <w:t xml:space="preserve">Red Flags </w:t>
                  </w:r>
                </w:p>
                <w:p w14:paraId="660498A6" w14:textId="5695C6CB"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FE813C5" wp14:editId="6CB0D2D9">
                        <wp:extent cx="5715" cy="571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454B30D3" wp14:editId="45DD94C2">
                        <wp:extent cx="5715" cy="571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r>
            <w:tr w:rsidR="00371F82" w14:paraId="0C2C23F7"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7C048FC2"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lastRenderedPageBreak/>
                    <w:t xml:space="preserve">General anti- fraud </w:t>
                  </w:r>
                </w:p>
                <w:p w14:paraId="560C0621" w14:textId="7C39E9AB"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709CFAB2" wp14:editId="0329F8C9">
                        <wp:extent cx="5715" cy="571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2653F52F" w14:textId="584D539C"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514A7C05" wp14:editId="0DB0F255">
                        <wp:extent cx="5715" cy="57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7DF1D3B4" w14:textId="5D4D4575"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184A150" wp14:editId="356ACD28">
                        <wp:extent cx="5715" cy="57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4153931B" w14:textId="79937394"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482D3734" wp14:editId="76F6EA9D">
                        <wp:extent cx="5715" cy="571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3E3F503F"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1DF647C5" w14:textId="52A0480A"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09ABA820" wp14:editId="1A693EF0">
                        <wp:extent cx="5715" cy="571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195D8C20" wp14:editId="2186A71F">
                        <wp:extent cx="5715" cy="571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r>
            <w:tr w:rsidR="00371F82" w14:paraId="1F61A8A1"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146C7494"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Fraudulent statements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1FC10DEF"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4C405E31"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5C6A6BDE"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79B91D54"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4DA71F1E"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r>
            <w:tr w:rsidR="00371F82" w14:paraId="24571B60"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008EDD18" w14:textId="5D9F8B2F"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4D55974" wp14:editId="32A0CB2F">
                        <wp:extent cx="5715" cy="57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03C48277"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Financial: </w:t>
                  </w:r>
                </w:p>
                <w:p w14:paraId="24CDD12C" w14:textId="30B19F3E"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77D588F6" wp14:editId="57033268">
                        <wp:extent cx="5715" cy="57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06DE3DF7" w14:textId="0180270A"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55F42CB1" wp14:editId="3702CD06">
                        <wp:extent cx="5715" cy="571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13636EBA" wp14:editId="331A9E63">
                        <wp:extent cx="5715" cy="571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16FBF108" w14:textId="5A0C7866"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689B82AD" wp14:editId="7529A784">
                        <wp:extent cx="5715" cy="5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30F10E06" wp14:editId="70B6C319">
                        <wp:extent cx="5715" cy="571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5A5A75E4" w14:textId="731B613F"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2AB3DA97" wp14:editId="2598D475">
                        <wp:extent cx="5715" cy="571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50D5A799" wp14:editId="3FFED2FB">
                        <wp:extent cx="5715" cy="57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5B6993F1"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7C5D5A1E" w14:textId="6AB8A5AC"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2F8B8322" wp14:editId="4309D18B">
                        <wp:extent cx="5715" cy="571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16326E12" wp14:editId="2E179586">
                        <wp:extent cx="5715" cy="57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27B55D4A" wp14:editId="39ECA8D5">
                        <wp:extent cx="5715" cy="571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73C8B4EC" wp14:editId="6CCAB527">
                        <wp:extent cx="5715" cy="57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r>
            <w:tr w:rsidR="00371F82" w14:paraId="6ADD72B1"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3CC1E9B2"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Overstate revenues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762F37DD"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0C7F1033"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019D3233"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069B6E73"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13E8F3CB"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r>
            <w:tr w:rsidR="00371F82" w14:paraId="44B4F818"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4C85D6DC" w14:textId="30F69DE6"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75D1C827" wp14:editId="60301DDD">
                        <wp:extent cx="5715" cy="57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45908AD1"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Timing differences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552A460C" w14:textId="7712AE2C"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0BF87B47" wp14:editId="646AFA56">
                        <wp:extent cx="5715" cy="571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51CE1732" w14:textId="2BE20E94"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569E170D" wp14:editId="25E70CC8">
                        <wp:extent cx="5715" cy="571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6A5CB506" w14:textId="76AB93C6"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09E739C6" wp14:editId="3387AAAE">
                        <wp:extent cx="5715" cy="571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01999B8C"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7CF100B4" w14:textId="1E055D29"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06A01190" wp14:editId="045A79F5">
                        <wp:extent cx="5715" cy="571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45CE705E" wp14:editId="6E819F30">
                        <wp:extent cx="5715" cy="571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r>
            <w:tr w:rsidR="00371F82" w14:paraId="10DD8B1C"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6D9E9C17" w14:textId="159F4970"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1BB9A2B0" wp14:editId="0B213FF5">
                        <wp:extent cx="5715" cy="57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78D7035B"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Fictitious revenues </w:t>
                  </w:r>
                </w:p>
                <w:p w14:paraId="6BA8B490" w14:textId="45F99A88"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BA2F9ED" wp14:editId="32998114">
                        <wp:extent cx="5715" cy="571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4223F7EA" w14:textId="4C75A60C"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765AD794" wp14:editId="7504992F">
                        <wp:extent cx="5715" cy="571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160D4AD8" wp14:editId="38490B83">
                        <wp:extent cx="5715" cy="571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78EAB2BB" w14:textId="6D5BD339"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16FD0089" wp14:editId="4889E67B">
                        <wp:extent cx="5715" cy="571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030A46DD" wp14:editId="5D31F801">
                        <wp:extent cx="5715" cy="571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5ED7B142" w14:textId="1672FCAF"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C4D3D83" wp14:editId="6E35866D">
                        <wp:extent cx="5715" cy="571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7A3DB164" wp14:editId="41CEB5AC">
                        <wp:extent cx="5715" cy="571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13B81E9A"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197AA375" w14:textId="2245EE31"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2BCB4244" wp14:editId="26FF1143">
                        <wp:extent cx="5715" cy="571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2FB9E4C6" wp14:editId="220B238F">
                        <wp:extent cx="5715" cy="571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098A5101" wp14:editId="7F4B77A5">
                        <wp:extent cx="5715" cy="571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1A525B5F" wp14:editId="724495AE">
                        <wp:extent cx="5715" cy="571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r>
            <w:tr w:rsidR="00371F82" w14:paraId="72B195EA"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1E2E6F37"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Improper disclosures </w:t>
                  </w:r>
                </w:p>
                <w:p w14:paraId="766D53BD" w14:textId="0A0A210F"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64881457" wp14:editId="43FADD57">
                        <wp:extent cx="5715" cy="571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5B3273CB" w14:textId="527FE81F"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53813CB9" wp14:editId="13EEFD81">
                        <wp:extent cx="5715" cy="571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39910F95" w14:textId="1C1F0ABA"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20036D5C" wp14:editId="5824F02E">
                        <wp:extent cx="5715" cy="571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0D0FA2FF" w14:textId="4D4BD7C3"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3E872855" wp14:editId="77D1F909">
                        <wp:extent cx="5715" cy="571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2BECB846"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336632A4" w14:textId="4F14A227"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62230A69" wp14:editId="16BF971B">
                        <wp:extent cx="5715" cy="571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r>
                    <w:rPr>
                      <w:rFonts w:ascii="Times" w:hAnsi="Times" w:cs="Times"/>
                      <w:noProof/>
                      <w:sz w:val="24"/>
                      <w:szCs w:val="24"/>
                      <w:lang w:val="en-US"/>
                    </w:rPr>
                    <w:drawing>
                      <wp:inline distT="0" distB="0" distL="0" distR="0" wp14:anchorId="75534D8F" wp14:editId="2A5CD3E2">
                        <wp:extent cx="5715" cy="571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Times" w:hAnsi="Times" w:cs="Times"/>
                      <w:sz w:val="24"/>
                      <w:szCs w:val="24"/>
                      <w:lang w:val="en-US"/>
                    </w:rPr>
                    <w:t xml:space="preserve"> </w:t>
                  </w:r>
                </w:p>
              </w:tc>
            </w:tr>
            <w:tr w:rsidR="00371F82" w14:paraId="22E74204" w14:textId="77777777">
              <w:tblPrEx>
                <w:tblBorders>
                  <w:top w:val="none" w:sz="0" w:space="0" w:color="auto"/>
                </w:tblBorders>
                <w:tblCellMar>
                  <w:top w:w="0" w:type="dxa"/>
                  <w:bottom w:w="0" w:type="dxa"/>
                </w:tblCellMar>
              </w:tblPrEx>
              <w:tc>
                <w:tcPr>
                  <w:tcW w:w="2580" w:type="dxa"/>
                  <w:tcBorders>
                    <w:top w:val="single" w:sz="6" w:space="0" w:color="auto"/>
                    <w:left w:val="single" w:sz="4" w:space="0" w:color="auto"/>
                    <w:bottom w:val="single" w:sz="6" w:space="0" w:color="auto"/>
                    <w:right w:val="single" w:sz="6" w:space="0" w:color="auto"/>
                  </w:tcBorders>
                  <w:shd w:val="clear" w:color="auto" w:fill="B0CCEA"/>
                  <w:tcMar>
                    <w:top w:w="20" w:type="nil"/>
                    <w:left w:w="20" w:type="nil"/>
                    <w:bottom w:w="20" w:type="nil"/>
                    <w:right w:w="20" w:type="nil"/>
                  </w:tcMar>
                  <w:vAlign w:val="center"/>
                </w:tcPr>
                <w:p w14:paraId="21D13822"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Improper asset Valuation </w:t>
                  </w:r>
                </w:p>
              </w:tc>
              <w:tc>
                <w:tcPr>
                  <w:tcW w:w="2580" w:type="dxa"/>
                  <w:tcBorders>
                    <w:top w:val="single" w:sz="6" w:space="0" w:color="auto"/>
                    <w:left w:val="single" w:sz="6" w:space="0" w:color="auto"/>
                    <w:bottom w:val="single" w:sz="6" w:space="0" w:color="auto"/>
                    <w:right w:val="single" w:sz="6" w:space="0" w:color="auto"/>
                  </w:tcBorders>
                  <w:shd w:val="clear" w:color="auto" w:fill="F9DDCB"/>
                  <w:tcMar>
                    <w:top w:w="20" w:type="nil"/>
                    <w:left w:w="20" w:type="nil"/>
                    <w:bottom w:w="20" w:type="nil"/>
                    <w:right w:w="20" w:type="nil"/>
                  </w:tcMar>
                  <w:vAlign w:val="center"/>
                </w:tcPr>
                <w:p w14:paraId="72632938"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6" w:space="0" w:color="auto"/>
                    <w:right w:val="single" w:sz="6" w:space="0" w:color="auto"/>
                  </w:tcBorders>
                  <w:shd w:val="clear" w:color="auto" w:fill="E9E9E9"/>
                  <w:tcMar>
                    <w:top w:w="20" w:type="nil"/>
                    <w:left w:w="20" w:type="nil"/>
                    <w:bottom w:w="20" w:type="nil"/>
                    <w:right w:w="20" w:type="nil"/>
                  </w:tcMar>
                  <w:vAlign w:val="center"/>
                </w:tcPr>
                <w:p w14:paraId="61314460"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6" w:space="0" w:color="auto"/>
                    <w:right w:val="single" w:sz="6" w:space="0" w:color="auto"/>
                  </w:tcBorders>
                  <w:shd w:val="clear" w:color="auto" w:fill="FFF0C1"/>
                  <w:tcMar>
                    <w:top w:w="20" w:type="nil"/>
                    <w:left w:w="20" w:type="nil"/>
                    <w:bottom w:w="20" w:type="nil"/>
                    <w:right w:w="20" w:type="nil"/>
                  </w:tcMar>
                  <w:vAlign w:val="center"/>
                </w:tcPr>
                <w:p w14:paraId="3A18FA9B"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6" w:space="0" w:color="auto"/>
                  </w:tcBorders>
                  <w:shd w:val="clear" w:color="auto" w:fill="D0DAF0"/>
                  <w:tcMar>
                    <w:top w:w="20" w:type="nil"/>
                    <w:left w:w="20" w:type="nil"/>
                    <w:bottom w:w="20" w:type="nil"/>
                    <w:right w:w="20" w:type="nil"/>
                  </w:tcMar>
                  <w:vAlign w:val="center"/>
                </w:tcPr>
                <w:p w14:paraId="6B52DD14"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6" w:space="0" w:color="auto"/>
                    <w:right w:val="single" w:sz="4" w:space="0" w:color="auto"/>
                  </w:tcBorders>
                  <w:shd w:val="clear" w:color="auto" w:fill="B9DBA4"/>
                  <w:tcMar>
                    <w:top w:w="20" w:type="nil"/>
                    <w:left w:w="20" w:type="nil"/>
                    <w:bottom w:w="20" w:type="nil"/>
                    <w:right w:w="20" w:type="nil"/>
                  </w:tcMar>
                  <w:vAlign w:val="center"/>
                </w:tcPr>
                <w:p w14:paraId="64F8411F"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r>
            <w:tr w:rsidR="00371F82" w14:paraId="770DE6C0" w14:textId="77777777">
              <w:tblPrEx>
                <w:tblCellMar>
                  <w:top w:w="0" w:type="dxa"/>
                  <w:bottom w:w="0" w:type="dxa"/>
                </w:tblCellMar>
              </w:tblPrEx>
              <w:tc>
                <w:tcPr>
                  <w:tcW w:w="2580" w:type="dxa"/>
                  <w:tcBorders>
                    <w:top w:val="single" w:sz="6" w:space="0" w:color="auto"/>
                    <w:left w:val="single" w:sz="4" w:space="0" w:color="auto"/>
                    <w:bottom w:val="single" w:sz="4" w:space="0" w:color="auto"/>
                    <w:right w:val="single" w:sz="6" w:space="0" w:color="auto"/>
                  </w:tcBorders>
                  <w:shd w:val="clear" w:color="auto" w:fill="B0CCEA"/>
                  <w:tcMar>
                    <w:top w:w="20" w:type="nil"/>
                    <w:left w:w="20" w:type="nil"/>
                    <w:bottom w:w="20" w:type="nil"/>
                    <w:right w:w="20" w:type="nil"/>
                  </w:tcMar>
                  <w:vAlign w:val="center"/>
                </w:tcPr>
                <w:p w14:paraId="1CDC61AE" w14:textId="19808996" w:rsidR="00371F82" w:rsidRDefault="00371F82">
                  <w:pPr>
                    <w:widowControl w:val="0"/>
                    <w:autoSpaceDE w:val="0"/>
                    <w:autoSpaceDN w:val="0"/>
                    <w:adjustRightInd w:val="0"/>
                    <w:spacing w:after="0" w:line="240" w:lineRule="auto"/>
                    <w:rPr>
                      <w:rFonts w:ascii="Times" w:hAnsi="Times" w:cs="Times"/>
                      <w:sz w:val="24"/>
                      <w:szCs w:val="24"/>
                      <w:lang w:val="en-US"/>
                    </w:rPr>
                  </w:pPr>
                  <w:r>
                    <w:rPr>
                      <w:rFonts w:ascii="Times" w:hAnsi="Times" w:cs="Times"/>
                      <w:noProof/>
                      <w:sz w:val="24"/>
                      <w:szCs w:val="24"/>
                      <w:lang w:val="en-US"/>
                    </w:rPr>
                    <w:drawing>
                      <wp:inline distT="0" distB="0" distL="0" distR="0" wp14:anchorId="17D36AFA" wp14:editId="14DDBBF6">
                        <wp:extent cx="5715" cy="571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4D9C1BF7" w14:textId="77777777" w:rsidR="00371F82" w:rsidRDefault="00371F82">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0"/>
                      <w:szCs w:val="30"/>
                      <w:lang w:val="en-US"/>
                    </w:rPr>
                    <w:t xml:space="preserve">Asset/revenue Understated </w:t>
                  </w:r>
                </w:p>
              </w:tc>
              <w:tc>
                <w:tcPr>
                  <w:tcW w:w="2580" w:type="dxa"/>
                  <w:tcBorders>
                    <w:top w:val="single" w:sz="6" w:space="0" w:color="auto"/>
                    <w:left w:val="single" w:sz="6" w:space="0" w:color="auto"/>
                    <w:bottom w:val="single" w:sz="4" w:space="0" w:color="auto"/>
                    <w:right w:val="single" w:sz="6" w:space="0" w:color="auto"/>
                  </w:tcBorders>
                  <w:shd w:val="clear" w:color="auto" w:fill="F9DDCB"/>
                  <w:tcMar>
                    <w:top w:w="20" w:type="nil"/>
                    <w:left w:w="20" w:type="nil"/>
                    <w:bottom w:w="20" w:type="nil"/>
                    <w:right w:w="20" w:type="nil"/>
                  </w:tcMar>
                  <w:vAlign w:val="center"/>
                </w:tcPr>
                <w:p w14:paraId="78E99EB4"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4" w:space="0" w:color="auto"/>
                    <w:right w:val="single" w:sz="6" w:space="0" w:color="auto"/>
                  </w:tcBorders>
                  <w:shd w:val="clear" w:color="auto" w:fill="E9E9E9"/>
                  <w:tcMar>
                    <w:top w:w="20" w:type="nil"/>
                    <w:left w:w="20" w:type="nil"/>
                    <w:bottom w:w="20" w:type="nil"/>
                    <w:right w:w="20" w:type="nil"/>
                  </w:tcMar>
                  <w:vAlign w:val="center"/>
                </w:tcPr>
                <w:p w14:paraId="357A66A3"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80" w:type="dxa"/>
                  <w:tcBorders>
                    <w:top w:val="single" w:sz="6" w:space="0" w:color="auto"/>
                    <w:left w:val="single" w:sz="6" w:space="0" w:color="auto"/>
                    <w:bottom w:val="single" w:sz="4" w:space="0" w:color="auto"/>
                    <w:right w:val="single" w:sz="6" w:space="0" w:color="auto"/>
                  </w:tcBorders>
                  <w:shd w:val="clear" w:color="auto" w:fill="FFF0C1"/>
                  <w:tcMar>
                    <w:top w:w="20" w:type="nil"/>
                    <w:left w:w="20" w:type="nil"/>
                    <w:bottom w:w="20" w:type="nil"/>
                    <w:right w:w="20" w:type="nil"/>
                  </w:tcMar>
                  <w:vAlign w:val="center"/>
                </w:tcPr>
                <w:p w14:paraId="33C04FCF"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4" w:space="0" w:color="auto"/>
                    <w:right w:val="single" w:sz="6" w:space="0" w:color="auto"/>
                  </w:tcBorders>
                  <w:shd w:val="clear" w:color="auto" w:fill="D0DAF0"/>
                  <w:tcMar>
                    <w:top w:w="20" w:type="nil"/>
                    <w:left w:w="20" w:type="nil"/>
                    <w:bottom w:w="20" w:type="nil"/>
                    <w:right w:w="20" w:type="nil"/>
                  </w:tcMar>
                  <w:vAlign w:val="center"/>
                </w:tcPr>
                <w:p w14:paraId="73C294CF"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c>
                <w:tcPr>
                  <w:tcW w:w="2560" w:type="dxa"/>
                  <w:tcBorders>
                    <w:top w:val="single" w:sz="6" w:space="0" w:color="auto"/>
                    <w:left w:val="single" w:sz="6" w:space="0" w:color="auto"/>
                    <w:bottom w:val="single" w:sz="4" w:space="0" w:color="auto"/>
                    <w:right w:val="single" w:sz="4" w:space="0" w:color="auto"/>
                  </w:tcBorders>
                  <w:shd w:val="clear" w:color="auto" w:fill="B9DBA4"/>
                  <w:tcMar>
                    <w:top w:w="20" w:type="nil"/>
                    <w:left w:w="20" w:type="nil"/>
                    <w:bottom w:w="20" w:type="nil"/>
                    <w:right w:w="20" w:type="nil"/>
                  </w:tcMar>
                  <w:vAlign w:val="center"/>
                </w:tcPr>
                <w:p w14:paraId="0AD3B686" w14:textId="77777777" w:rsidR="00371F82" w:rsidRDefault="00371F82">
                  <w:pPr>
                    <w:widowControl w:val="0"/>
                    <w:autoSpaceDE w:val="0"/>
                    <w:autoSpaceDN w:val="0"/>
                    <w:adjustRightInd w:val="0"/>
                    <w:spacing w:after="0" w:line="240" w:lineRule="auto"/>
                    <w:rPr>
                      <w:rFonts w:ascii="Times" w:hAnsi="Times" w:cs="Times"/>
                      <w:sz w:val="24"/>
                      <w:szCs w:val="24"/>
                      <w:lang w:val="en-US"/>
                    </w:rPr>
                  </w:pPr>
                </w:p>
              </w:tc>
            </w:tr>
          </w:tbl>
          <w:p w14:paraId="62EBE069" w14:textId="77777777" w:rsidR="00371F82" w:rsidRPr="00E87A31" w:rsidRDefault="00371F82" w:rsidP="00A851DA"/>
          <w:p w14:paraId="3CA7BC99" w14:textId="18BCD3A0" w:rsidR="001C3DED" w:rsidRDefault="00371F82" w:rsidP="00A851DA">
            <w:pPr>
              <w:rPr>
                <w:b/>
              </w:rPr>
            </w:pPr>
            <w:r>
              <w:rPr>
                <w:i/>
                <w:iCs/>
              </w:rPr>
              <w:t xml:space="preserve">                                                                                       </w:t>
            </w:r>
            <w:bookmarkStart w:id="0" w:name="_GoBack"/>
            <w:bookmarkEnd w:id="0"/>
            <w:r>
              <w:rPr>
                <w:i/>
                <w:iCs/>
              </w:rPr>
              <w:t xml:space="preserve">(BOLC -Unit 9 </w:t>
            </w:r>
            <w:r w:rsidRPr="00D37DE6">
              <w:rPr>
                <w:i/>
                <w:iCs/>
              </w:rPr>
              <w:t xml:space="preserve">– </w:t>
            </w:r>
            <w:r>
              <w:rPr>
                <w:i/>
                <w:iCs/>
              </w:rPr>
              <w:t>Fraud Risk Assessment</w:t>
            </w:r>
            <w:proofErr w:type="gramStart"/>
            <w:r>
              <w:rPr>
                <w:i/>
                <w:iCs/>
              </w:rPr>
              <w:t xml:space="preserve">,  </w:t>
            </w:r>
            <w:proofErr w:type="spellStart"/>
            <w:r>
              <w:rPr>
                <w:i/>
                <w:iCs/>
              </w:rPr>
              <w:t>Pg</w:t>
            </w:r>
            <w:proofErr w:type="spellEnd"/>
            <w:proofErr w:type="gramEnd"/>
            <w:r>
              <w:rPr>
                <w:i/>
                <w:iCs/>
              </w:rPr>
              <w:t xml:space="preserve"> 21</w:t>
            </w:r>
            <w:r w:rsidRPr="00D37DE6">
              <w:rPr>
                <w:i/>
                <w:iCs/>
              </w:rPr>
              <w:t>)</w:t>
            </w:r>
          </w:p>
          <w:p w14:paraId="09FB19B8" w14:textId="77777777" w:rsidR="001C3DED" w:rsidRDefault="001C3DED" w:rsidP="00A851DA">
            <w:pPr>
              <w:rPr>
                <w:b/>
              </w:rPr>
            </w:pPr>
          </w:p>
          <w:p w14:paraId="01165D0C" w14:textId="77777777" w:rsidR="001C3DED" w:rsidRDefault="001C3DED" w:rsidP="00A851DA">
            <w:pPr>
              <w:rPr>
                <w:b/>
              </w:rPr>
            </w:pPr>
          </w:p>
          <w:p w14:paraId="51FC477C" w14:textId="77777777" w:rsidR="001C3DED" w:rsidRDefault="001C3DED" w:rsidP="00A851DA">
            <w:pPr>
              <w:rPr>
                <w:b/>
              </w:rPr>
            </w:pPr>
          </w:p>
          <w:p w14:paraId="564F4DBE" w14:textId="77777777" w:rsidR="001C3DED" w:rsidRDefault="001C3DED" w:rsidP="00A851DA">
            <w:pPr>
              <w:rPr>
                <w:b/>
              </w:rPr>
            </w:pPr>
          </w:p>
          <w:p w14:paraId="3B665454" w14:textId="77777777" w:rsidR="001C3DED" w:rsidRDefault="001C3DED" w:rsidP="00A851DA">
            <w:pPr>
              <w:rPr>
                <w:b/>
              </w:rPr>
            </w:pPr>
          </w:p>
          <w:p w14:paraId="5FBE0057" w14:textId="77777777" w:rsidR="001C3DED" w:rsidRDefault="001C3DED" w:rsidP="00A851DA">
            <w:pPr>
              <w:rPr>
                <w:b/>
              </w:rPr>
            </w:pPr>
          </w:p>
          <w:p w14:paraId="1720040B" w14:textId="77777777" w:rsidR="001C3DED" w:rsidRDefault="001C3DED" w:rsidP="00A851DA">
            <w:pPr>
              <w:rPr>
                <w:b/>
              </w:rPr>
            </w:pPr>
          </w:p>
          <w:p w14:paraId="545E93E7" w14:textId="77777777" w:rsidR="005D2B54" w:rsidRDefault="005D2B54" w:rsidP="00A851DA">
            <w:pPr>
              <w:rPr>
                <w:b/>
              </w:rPr>
            </w:pPr>
          </w:p>
          <w:p w14:paraId="3454E999" w14:textId="77777777" w:rsidR="00CC2FB3" w:rsidRDefault="00CC2FB3" w:rsidP="00A851DA">
            <w:pPr>
              <w:rPr>
                <w:b/>
              </w:rPr>
            </w:pPr>
          </w:p>
          <w:p w14:paraId="38927304" w14:textId="77777777" w:rsidR="00CC2FB3" w:rsidRDefault="00CC2FB3" w:rsidP="00A851DA">
            <w:pPr>
              <w:rPr>
                <w:b/>
              </w:rPr>
            </w:pPr>
          </w:p>
          <w:p w14:paraId="65533186" w14:textId="77777777" w:rsidR="00CC2FB3" w:rsidRDefault="00CC2FB3" w:rsidP="00A851DA">
            <w:pPr>
              <w:rPr>
                <w:b/>
              </w:rPr>
            </w:pPr>
          </w:p>
        </w:tc>
      </w:tr>
    </w:tbl>
    <w:p w14:paraId="64FD4B8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484F5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518A4C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756C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CBD7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31712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2FAF5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C3D4C0D" w14:textId="77777777" w:rsidTr="00405895">
        <w:tc>
          <w:tcPr>
            <w:tcW w:w="2310" w:type="dxa"/>
            <w:shd w:val="clear" w:color="auto" w:fill="D9D9D9" w:themeFill="background1" w:themeFillShade="D9"/>
          </w:tcPr>
          <w:p w14:paraId="1B65BF8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7220C6" w14:textId="793BBD2B" w:rsidR="00405895" w:rsidRPr="00B0415E" w:rsidRDefault="000F51A5" w:rsidP="00A851DA">
            <w:pPr>
              <w:rPr>
                <w:rFonts w:cs="Bliss-Regular"/>
                <w:color w:val="000000"/>
              </w:rPr>
            </w:pPr>
            <w:r>
              <w:rPr>
                <w:rFonts w:cs="Bliss-Regular"/>
                <w:color w:val="000000"/>
              </w:rPr>
              <w:t>Arvind BABAJEE</w:t>
            </w:r>
          </w:p>
        </w:tc>
        <w:tc>
          <w:tcPr>
            <w:tcW w:w="1276" w:type="dxa"/>
            <w:shd w:val="clear" w:color="auto" w:fill="D9D9D9" w:themeFill="background1" w:themeFillShade="D9"/>
          </w:tcPr>
          <w:p w14:paraId="1A60074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03DCDF" w14:textId="03D5180E" w:rsidR="00405895" w:rsidRPr="00B0415E" w:rsidRDefault="000F51A5" w:rsidP="00A851DA">
            <w:pPr>
              <w:rPr>
                <w:rFonts w:cs="Bliss-Regular"/>
                <w:color w:val="000000"/>
              </w:rPr>
            </w:pPr>
            <w:r>
              <w:rPr>
                <w:rFonts w:cs="Bliss-Regular"/>
                <w:color w:val="000000"/>
              </w:rPr>
              <w:t>19-07-2017</w:t>
            </w:r>
          </w:p>
        </w:tc>
      </w:tr>
    </w:tbl>
    <w:p w14:paraId="169B5E13" w14:textId="77777777" w:rsidR="00A851DA" w:rsidRPr="00B0415E" w:rsidRDefault="00A851DA" w:rsidP="00A851DA">
      <w:pPr>
        <w:rPr>
          <w:rFonts w:cs="Bliss-Regular"/>
          <w:color w:val="000000"/>
          <w:lang w:val="en-US"/>
        </w:rPr>
      </w:pPr>
    </w:p>
    <w:p w14:paraId="6174C017" w14:textId="77777777" w:rsidR="00A851DA" w:rsidRPr="00B0415E" w:rsidRDefault="00A851DA" w:rsidP="00A851DA">
      <w:pPr>
        <w:rPr>
          <w:rFonts w:cs="Bliss-Regular"/>
          <w:color w:val="000000"/>
          <w:lang w:val="en-US"/>
        </w:rPr>
      </w:pPr>
    </w:p>
    <w:p w14:paraId="56FA0D3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F8EB6A" w14:textId="77777777" w:rsidTr="00B0415E">
        <w:trPr>
          <w:trHeight w:val="249"/>
        </w:trPr>
        <w:tc>
          <w:tcPr>
            <w:tcW w:w="4621" w:type="dxa"/>
            <w:shd w:val="clear" w:color="auto" w:fill="D9D9D9" w:themeFill="background1" w:themeFillShade="D9"/>
          </w:tcPr>
          <w:p w14:paraId="51DAEA06" w14:textId="77777777" w:rsidR="00503D7E" w:rsidRPr="00B0415E" w:rsidRDefault="00503D7E" w:rsidP="00503D7E">
            <w:pPr>
              <w:rPr>
                <w:b/>
                <w:color w:val="002060"/>
              </w:rPr>
            </w:pPr>
            <w:r w:rsidRPr="00B0415E">
              <w:rPr>
                <w:b/>
                <w:color w:val="002060"/>
              </w:rPr>
              <w:t>Total Marks</w:t>
            </w:r>
          </w:p>
        </w:tc>
        <w:tc>
          <w:tcPr>
            <w:tcW w:w="4621" w:type="dxa"/>
          </w:tcPr>
          <w:p w14:paraId="5650D49A" w14:textId="77777777" w:rsidR="00503D7E" w:rsidRPr="00B0415E" w:rsidRDefault="00503D7E" w:rsidP="00503D7E">
            <w:pPr>
              <w:rPr>
                <w:rFonts w:cs="Times New Roman"/>
                <w:szCs w:val="32"/>
              </w:rPr>
            </w:pPr>
          </w:p>
        </w:tc>
      </w:tr>
      <w:tr w:rsidR="00503D7E" w:rsidRPr="00B0415E" w14:paraId="3D463B29" w14:textId="77777777" w:rsidTr="00B0415E">
        <w:tc>
          <w:tcPr>
            <w:tcW w:w="4621" w:type="dxa"/>
            <w:shd w:val="clear" w:color="auto" w:fill="D9D9D9" w:themeFill="background1" w:themeFillShade="D9"/>
          </w:tcPr>
          <w:p w14:paraId="696C28AF" w14:textId="77777777" w:rsidR="00503D7E" w:rsidRPr="00B0415E" w:rsidRDefault="00503D7E" w:rsidP="00503D7E">
            <w:pPr>
              <w:rPr>
                <w:b/>
                <w:color w:val="002060"/>
              </w:rPr>
            </w:pPr>
            <w:r w:rsidRPr="00B0415E">
              <w:rPr>
                <w:b/>
                <w:color w:val="002060"/>
              </w:rPr>
              <w:t>Marks Obtained</w:t>
            </w:r>
          </w:p>
        </w:tc>
        <w:tc>
          <w:tcPr>
            <w:tcW w:w="4621" w:type="dxa"/>
          </w:tcPr>
          <w:p w14:paraId="7561A00E" w14:textId="77777777" w:rsidR="00503D7E" w:rsidRPr="00B0415E" w:rsidRDefault="00503D7E" w:rsidP="00503D7E">
            <w:pPr>
              <w:rPr>
                <w:rFonts w:cs="Times New Roman"/>
                <w:szCs w:val="32"/>
              </w:rPr>
            </w:pPr>
          </w:p>
        </w:tc>
      </w:tr>
      <w:tr w:rsidR="00503D7E" w:rsidRPr="00B0415E" w14:paraId="67BFFF1D" w14:textId="77777777" w:rsidTr="00B0415E">
        <w:tc>
          <w:tcPr>
            <w:tcW w:w="4621" w:type="dxa"/>
            <w:shd w:val="clear" w:color="auto" w:fill="D9D9D9" w:themeFill="background1" w:themeFillShade="D9"/>
          </w:tcPr>
          <w:p w14:paraId="4A587A52" w14:textId="77777777" w:rsidR="00503D7E" w:rsidRPr="00B0415E" w:rsidRDefault="00B0415E" w:rsidP="00503D7E">
            <w:pPr>
              <w:rPr>
                <w:b/>
                <w:color w:val="002060"/>
              </w:rPr>
            </w:pPr>
            <w:r w:rsidRPr="00B0415E">
              <w:rPr>
                <w:b/>
                <w:color w:val="002060"/>
              </w:rPr>
              <w:t>Percentage / Grade</w:t>
            </w:r>
          </w:p>
        </w:tc>
        <w:tc>
          <w:tcPr>
            <w:tcW w:w="4621" w:type="dxa"/>
          </w:tcPr>
          <w:p w14:paraId="3F59813E" w14:textId="77777777" w:rsidR="00503D7E" w:rsidRPr="00B0415E" w:rsidRDefault="00503D7E" w:rsidP="00503D7E">
            <w:pPr>
              <w:rPr>
                <w:rFonts w:cs="Times New Roman"/>
                <w:szCs w:val="32"/>
              </w:rPr>
            </w:pPr>
          </w:p>
        </w:tc>
      </w:tr>
    </w:tbl>
    <w:p w14:paraId="4BAAE256" w14:textId="77777777" w:rsidR="00A851DA" w:rsidRDefault="00A851DA" w:rsidP="00503D7E">
      <w:pPr>
        <w:rPr>
          <w:rFonts w:cs="Times New Roman"/>
          <w:sz w:val="24"/>
          <w:szCs w:val="32"/>
        </w:rPr>
      </w:pPr>
    </w:p>
    <w:p w14:paraId="75B9DF2C" w14:textId="77777777" w:rsidR="00607874" w:rsidRDefault="00607874" w:rsidP="00503D7E">
      <w:pPr>
        <w:rPr>
          <w:rFonts w:cs="Times New Roman"/>
          <w:sz w:val="24"/>
          <w:szCs w:val="32"/>
        </w:rPr>
      </w:pPr>
    </w:p>
    <w:p w14:paraId="76B38455" w14:textId="77777777" w:rsidR="00607874" w:rsidRDefault="00607874" w:rsidP="00503D7E">
      <w:pPr>
        <w:rPr>
          <w:rFonts w:cs="Times New Roman"/>
          <w:sz w:val="24"/>
          <w:szCs w:val="32"/>
        </w:rPr>
      </w:pPr>
    </w:p>
    <w:p w14:paraId="5FE899B4" w14:textId="77777777" w:rsidR="00607874" w:rsidRDefault="00607874" w:rsidP="00503D7E">
      <w:pPr>
        <w:rPr>
          <w:rFonts w:cs="Times New Roman"/>
          <w:sz w:val="24"/>
          <w:szCs w:val="32"/>
        </w:rPr>
      </w:pPr>
    </w:p>
    <w:p w14:paraId="795D6CB9" w14:textId="77777777" w:rsidR="00607874" w:rsidRDefault="00607874" w:rsidP="00503D7E">
      <w:pPr>
        <w:rPr>
          <w:rFonts w:cs="Times New Roman"/>
          <w:sz w:val="24"/>
          <w:szCs w:val="32"/>
        </w:rPr>
      </w:pPr>
    </w:p>
    <w:p w14:paraId="1020E959" w14:textId="77777777" w:rsidR="00607874" w:rsidRDefault="00607874" w:rsidP="00503D7E">
      <w:pPr>
        <w:rPr>
          <w:rFonts w:cs="Times New Roman"/>
          <w:sz w:val="24"/>
          <w:szCs w:val="32"/>
        </w:rPr>
      </w:pPr>
    </w:p>
    <w:p w14:paraId="59A4C3C9" w14:textId="77777777" w:rsidR="00607874" w:rsidRDefault="00607874" w:rsidP="00503D7E">
      <w:pPr>
        <w:rPr>
          <w:rFonts w:cs="Times New Roman"/>
          <w:sz w:val="24"/>
          <w:szCs w:val="32"/>
        </w:rPr>
      </w:pPr>
    </w:p>
    <w:p w14:paraId="20F7E8A9" w14:textId="77777777" w:rsidR="00607874" w:rsidRDefault="00607874" w:rsidP="00503D7E">
      <w:pPr>
        <w:rPr>
          <w:rFonts w:cs="Times New Roman"/>
          <w:sz w:val="24"/>
          <w:szCs w:val="32"/>
        </w:rPr>
      </w:pPr>
    </w:p>
    <w:p w14:paraId="61A571C9" w14:textId="77777777" w:rsidR="00EA30AB" w:rsidRDefault="00EA30AB" w:rsidP="00503D7E">
      <w:pPr>
        <w:rPr>
          <w:rFonts w:cs="Times New Roman"/>
          <w:sz w:val="24"/>
          <w:szCs w:val="32"/>
        </w:rPr>
      </w:pPr>
    </w:p>
    <w:p w14:paraId="230B166B" w14:textId="77777777" w:rsidR="00EA30AB" w:rsidRDefault="00EA30AB" w:rsidP="00503D7E">
      <w:pPr>
        <w:rPr>
          <w:rFonts w:cs="Times New Roman"/>
          <w:sz w:val="24"/>
          <w:szCs w:val="32"/>
        </w:rPr>
      </w:pPr>
    </w:p>
    <w:p w14:paraId="7B67DE0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BB646" w14:textId="77777777" w:rsidR="00E87A31" w:rsidRDefault="00E87A31" w:rsidP="00CB4D0A">
      <w:pPr>
        <w:spacing w:after="0" w:line="240" w:lineRule="auto"/>
      </w:pPr>
      <w:r>
        <w:separator/>
      </w:r>
    </w:p>
  </w:endnote>
  <w:endnote w:type="continuationSeparator" w:id="0">
    <w:p w14:paraId="083B9930" w14:textId="77777777" w:rsidR="00E87A31" w:rsidRDefault="00E87A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77DD46" w14:textId="77777777" w:rsidR="00E87A31" w:rsidRDefault="00E87A31" w:rsidP="00CB4D0A">
      <w:pPr>
        <w:spacing w:after="0" w:line="240" w:lineRule="auto"/>
      </w:pPr>
      <w:r>
        <w:separator/>
      </w:r>
    </w:p>
  </w:footnote>
  <w:footnote w:type="continuationSeparator" w:id="0">
    <w:p w14:paraId="0B65FAEC" w14:textId="77777777" w:rsidR="00E87A31" w:rsidRDefault="00E87A3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B063B4A"/>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492C63"/>
    <w:multiLevelType w:val="hybridMultilevel"/>
    <w:tmpl w:val="FCEC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C850CC"/>
    <w:multiLevelType w:val="hybridMultilevel"/>
    <w:tmpl w:val="6B063B4A"/>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2"/>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51A5"/>
    <w:rsid w:val="001175EE"/>
    <w:rsid w:val="00157CF6"/>
    <w:rsid w:val="001716BF"/>
    <w:rsid w:val="00182416"/>
    <w:rsid w:val="00187EB4"/>
    <w:rsid w:val="001C3DED"/>
    <w:rsid w:val="001F0481"/>
    <w:rsid w:val="00200C92"/>
    <w:rsid w:val="0020451E"/>
    <w:rsid w:val="00206B9D"/>
    <w:rsid w:val="0023259C"/>
    <w:rsid w:val="0028711B"/>
    <w:rsid w:val="002B0BD7"/>
    <w:rsid w:val="002B573D"/>
    <w:rsid w:val="002C5CB2"/>
    <w:rsid w:val="002F779F"/>
    <w:rsid w:val="00371885"/>
    <w:rsid w:val="00371F82"/>
    <w:rsid w:val="003E2B87"/>
    <w:rsid w:val="00402786"/>
    <w:rsid w:val="00405895"/>
    <w:rsid w:val="004058DF"/>
    <w:rsid w:val="00443E6F"/>
    <w:rsid w:val="00486F1A"/>
    <w:rsid w:val="004873D4"/>
    <w:rsid w:val="00490CB9"/>
    <w:rsid w:val="004A2CE2"/>
    <w:rsid w:val="004E3CDA"/>
    <w:rsid w:val="004F4B4D"/>
    <w:rsid w:val="0050216D"/>
    <w:rsid w:val="00503D7E"/>
    <w:rsid w:val="0050778F"/>
    <w:rsid w:val="00527C11"/>
    <w:rsid w:val="00535F31"/>
    <w:rsid w:val="00574D64"/>
    <w:rsid w:val="00591365"/>
    <w:rsid w:val="005A3C76"/>
    <w:rsid w:val="005B31E4"/>
    <w:rsid w:val="005D2B54"/>
    <w:rsid w:val="006034F6"/>
    <w:rsid w:val="00607874"/>
    <w:rsid w:val="00607E77"/>
    <w:rsid w:val="00617BB3"/>
    <w:rsid w:val="00645CDD"/>
    <w:rsid w:val="006823A7"/>
    <w:rsid w:val="00687EE8"/>
    <w:rsid w:val="006B7AD6"/>
    <w:rsid w:val="0070347F"/>
    <w:rsid w:val="0070678E"/>
    <w:rsid w:val="00831C11"/>
    <w:rsid w:val="008A60B4"/>
    <w:rsid w:val="008B3C31"/>
    <w:rsid w:val="008B64FE"/>
    <w:rsid w:val="00935BF7"/>
    <w:rsid w:val="0095442C"/>
    <w:rsid w:val="00966943"/>
    <w:rsid w:val="00983942"/>
    <w:rsid w:val="009C37E0"/>
    <w:rsid w:val="009E41F4"/>
    <w:rsid w:val="00A14B66"/>
    <w:rsid w:val="00A576E5"/>
    <w:rsid w:val="00A65CF7"/>
    <w:rsid w:val="00A74E89"/>
    <w:rsid w:val="00A81AB4"/>
    <w:rsid w:val="00A851DA"/>
    <w:rsid w:val="00AC7D5B"/>
    <w:rsid w:val="00AD6817"/>
    <w:rsid w:val="00AE1481"/>
    <w:rsid w:val="00B0415E"/>
    <w:rsid w:val="00B04678"/>
    <w:rsid w:val="00B969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268B"/>
    <w:rsid w:val="00E00821"/>
    <w:rsid w:val="00E04DB4"/>
    <w:rsid w:val="00E30679"/>
    <w:rsid w:val="00E4597D"/>
    <w:rsid w:val="00E54832"/>
    <w:rsid w:val="00E56A90"/>
    <w:rsid w:val="00E63A35"/>
    <w:rsid w:val="00E641CC"/>
    <w:rsid w:val="00E66B30"/>
    <w:rsid w:val="00E87A31"/>
    <w:rsid w:val="00EA30AB"/>
    <w:rsid w:val="00EB3925"/>
    <w:rsid w:val="00F96EB3"/>
    <w:rsid w:val="00FC0F7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088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15F8C-8B4B-8D43-B95A-4171BE082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1449</Words>
  <Characters>8262</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Arvind Babajee</cp:lastModifiedBy>
  <cp:revision>17</cp:revision>
  <dcterms:created xsi:type="dcterms:W3CDTF">2015-01-26T12:24:00Z</dcterms:created>
  <dcterms:modified xsi:type="dcterms:W3CDTF">2017-07-18T21:01:00Z</dcterms:modified>
</cp:coreProperties>
</file>