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tbl>
      <w:tblPr>
        <w:tblInd w:w="108" w:type="dxa"/>
      </w:tblPr>
      <w:tblGrid>
        <w:gridCol w:w="2566"/>
        <w:gridCol w:w="6676"/>
      </w:tblGrid>
      <w:tr>
        <w:trPr>
          <w:trHeight w:val="29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200" w:line="276"/>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OLUWASEUN JEBODA</w:t>
            </w:r>
          </w:p>
        </w:tc>
      </w:tr>
      <w:tr>
        <w:trPr>
          <w:trHeight w:val="29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20746</w:t>
            </w:r>
          </w:p>
        </w:tc>
      </w:tr>
      <w:tr>
        <w:trPr>
          <w:trHeight w:val="29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DIPLOMA IN FORENSIC ACCOUNTING</w:t>
            </w:r>
          </w:p>
        </w:tc>
      </w:tr>
      <w:tr>
        <w:trPr>
          <w:trHeight w:val="25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20746</w:t>
            </w:r>
          </w:p>
        </w:tc>
      </w:tr>
    </w:tbl>
    <w:p>
      <w:pPr>
        <w:spacing w:before="0" w:after="200" w:line="240"/>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28"/>
          <w:shd w:fill="auto" w:val="clear"/>
        </w:rPr>
      </w:pPr>
      <w:r>
        <w:rPr>
          <w:rFonts w:ascii="Calibri" w:hAnsi="Calibri" w:cs="Calibri" w:eastAsia="Calibri"/>
          <w:b/>
          <w:color w:val="000000"/>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For high grades use examples and illustrations where appropriate. </w:t>
      </w:r>
    </w:p>
    <w:tbl>
      <w:tblPr>
        <w:tblInd w:w="108" w:type="dxa"/>
      </w:tblPr>
      <w:tblGrid>
        <w:gridCol w:w="9242"/>
      </w:tblGrid>
      <w:tr>
        <w:trPr>
          <w:trHeight w:val="4371" w:hRule="auto"/>
          <w:jc w:val="left"/>
        </w:trPr>
        <w:tc>
          <w:tcPr>
            <w:tcW w:w="9242"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200" w:line="276"/>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7</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Give short answers for  the following questions: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 What are non-financial sources for evidence? These includes:</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Interviews</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Handwriting Analysis</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Document Examination</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Body Language</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Polygraph</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Statement Analysis</w:t>
            </w:r>
          </w:p>
          <w:p>
            <w:pPr>
              <w:numPr>
                <w:ilvl w:val="0"/>
                <w:numId w:val="2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 Language</w:t>
            </w:r>
          </w:p>
          <w:p>
            <w:pPr>
              <w:numPr>
                <w:ilvl w:val="0"/>
                <w:numId w:val="22"/>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 Physiological aspects of the fraudster</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 What is the importance of body language in the interviewing procedure?</w:t>
            </w:r>
          </w:p>
          <w:p>
            <w:pPr>
              <w:numPr>
                <w:ilvl w:val="0"/>
                <w:numId w:val="24"/>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It serves as indicators of suspect's emotions</w:t>
            </w:r>
          </w:p>
          <w:p>
            <w:pPr>
              <w:numPr>
                <w:ilvl w:val="0"/>
                <w:numId w:val="24"/>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 It also serves as a deception-detecting tool for auditors and forensic accounting investigators.</w:t>
            </w:r>
          </w:p>
          <w:p>
            <w:pPr>
              <w:numPr>
                <w:ilvl w:val="0"/>
                <w:numId w:val="24"/>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It is used to read a suspect's body language as deceptive.</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iii) How is the SCAN analysis used as an investigative technique?</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Scientific Content Analysis is a technique that claims to enable the detection of deception in written statements.The underlying assumption is that statements of self-experienced events differ in several ways such as liveliness and concreteness from imaginary statements.The analyst needs an unambiguous truthful statement from the suspect in order for SCAN to be effective. The focus is aimed at detecting deception rather than determining truthfulness.SCAN uses numerous other techniques; According to some experts it is as effective as a polygraph test. However both polygraph tests &amp;  SCAN are investigative tools and are not legally admissible evidence.</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iv) What are visual assessing cues?How do eyes of the victim help the interviewer?</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Visual Accessing Cues(VAC) refers to the language of the eyes and the principles related to it. Eye movement  cues and interpretations are only applicable to the right-handed people. It is therefore important to know whether the interviewee is left-handed or right handed in order to avoid interpreting truthful responses as deceitful.</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following combinations maybe helpful in interpretation:</w:t>
            </w:r>
          </w:p>
          <w:p>
            <w:pPr>
              <w:numPr>
                <w:ilvl w:val="0"/>
                <w:numId w:val="26"/>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left and up.Recalling the past in visual images e.g what colour was your first car?</w:t>
            </w:r>
          </w:p>
          <w:p>
            <w:pPr>
              <w:numPr>
                <w:ilvl w:val="0"/>
                <w:numId w:val="26"/>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left and towards the ear.Retrieving memories in auditory form or recalling sounds. For example, which ringtone did you use for your first cell phone?</w:t>
            </w:r>
          </w:p>
          <w:p>
            <w:pPr>
              <w:numPr>
                <w:ilvl w:val="0"/>
                <w:numId w:val="26"/>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left and down. Generally associated with an internal dialogue as it is a movement made by people when they are talking to themselves.</w:t>
            </w:r>
          </w:p>
          <w:p>
            <w:pPr>
              <w:numPr>
                <w:ilvl w:val="0"/>
                <w:numId w:val="26"/>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right and up. Constructing images for the future, e.g '' What would your next house look like''?</w:t>
            </w:r>
          </w:p>
          <w:p>
            <w:pPr>
              <w:numPr>
                <w:ilvl w:val="0"/>
                <w:numId w:val="26"/>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right and down. Associated with kinaesthetic or feelings e,g ''Do you remember the smell of campfire''?</w:t>
            </w:r>
          </w:p>
          <w:p>
            <w:pPr>
              <w:numPr>
                <w:ilvl w:val="0"/>
                <w:numId w:val="26"/>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right towards the ear. Associated with creating sounds e.g ''Can you create your own song and sing it''?</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Blinking: This is also a part of eye language principles.Normally, a person blinks about 20 times per minuteand each blink lasts about a quarter of a second. </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eye is a more reliable indicator of truthfulness since it is the most communicative part of the body.</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Other eye language cues include:</w:t>
            </w:r>
          </w:p>
          <w:p>
            <w:pPr>
              <w:numPr>
                <w:ilvl w:val="0"/>
                <w:numId w:val="28"/>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Gazing downward: This normally indicates a guilt, defeat or submission</w:t>
            </w:r>
          </w:p>
          <w:p>
            <w:pPr>
              <w:numPr>
                <w:ilvl w:val="0"/>
                <w:numId w:val="28"/>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Raising eyebrows:  This indicates surprise, disbelief, frustration or uncertainty.</w:t>
            </w:r>
          </w:p>
          <w:p>
            <w:pPr>
              <w:numPr>
                <w:ilvl w:val="0"/>
                <w:numId w:val="28"/>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Raising one eyebrow with head tilted back signifies arrogance or disdain.</w:t>
            </w:r>
          </w:p>
          <w:p>
            <w:pPr>
              <w:numPr>
                <w:ilvl w:val="0"/>
                <w:numId w:val="28"/>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Dilation of pupils indicates interest in something.</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In addition to body language, there are other cues which help to identify lies. What are these?</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Statement Analysis</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Deception Cues</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Interpersonal interactions: For example, a person may shake his head and say ''yes'' after making a point, these are inconsistent gestures.</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Emotional states: A deceitful person will usually avoid touching the person investigating or questioning him/her.</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Verbal Content: For example, reflecting the question in the answer immediately after the question has been asked. Question: Did you write a cheque to yourself''? Answer: No I did not write a cheque to myself.</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How comments  are phrased. Replacing the pronoun in order to disassociate people or events e.g using ''the equipment'' instead of '' my equipment''</w:t>
            </w:r>
          </w:p>
          <w:p>
            <w:pPr>
              <w:numPr>
                <w:ilvl w:val="0"/>
                <w:numId w:val="30"/>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Psychological frames: Lies and deceitful statements always leave out details of what went wrong except for details related to delays and cancellations.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2)''Asking questions in an audit is different from asking questions in fraud investigation. Discuss this.</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job of auditors in an external or internal audit is to ask questions. However, there is a difference between asking questions during audit and during a fraud investigation. In order to ask effective questions during a fraud it is important to use best practices for interview techniques. According to the founder of the ACFE, Joe Wells, '' the best clues usually don't come from the books but from the people who work with them . Questions asked during an interview might fall into any of the following categories:</w:t>
            </w:r>
          </w:p>
          <w:p>
            <w:pPr>
              <w:numPr>
                <w:ilvl w:val="0"/>
                <w:numId w:val="3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Introductory</w:t>
            </w:r>
          </w:p>
          <w:p>
            <w:pPr>
              <w:numPr>
                <w:ilvl w:val="0"/>
                <w:numId w:val="3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Informational</w:t>
            </w:r>
          </w:p>
          <w:p>
            <w:pPr>
              <w:numPr>
                <w:ilvl w:val="0"/>
                <w:numId w:val="3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Assessment</w:t>
            </w:r>
          </w:p>
          <w:p>
            <w:pPr>
              <w:numPr>
                <w:ilvl w:val="0"/>
                <w:numId w:val="3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Closing</w:t>
            </w:r>
          </w:p>
          <w:p>
            <w:pPr>
              <w:numPr>
                <w:ilvl w:val="0"/>
                <w:numId w:val="32"/>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Admission-seeking</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According to most experts, open-ended questions are much more effective than simple ''Yes'' or No'' questions. One of the risks associated with interviews during fraud investigationis that the interviewer may not be trained or experienced in employing best practices for interviews, or  worse, may not be familiar with the legal protocol of carrying out interviews.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3)Discuss the interviewing procedure for a financially sophisticated victim.</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1</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Bonding: In this first step, the interviewers try to bond and build rapport with the witness. They advise the interviewee generally of the reason for the interview, the point being to put the subject at ease. In some cases, the interviewee knows why the interview is being conducted and so may be relunctant or uncooperative. Management has to consider on advice of counsel, various methods to ensure the employee's cooperation with the investigation.</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At all times be courteous toward interviewees. Remember you are attempting to obtain information; Be friendly, sympathetic, polite,professional and enthusiastic in what the interviewee has to offer.</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2</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Baselining: Interviewers learn from experience, and in-depth research in interviewing techniques supports the observation that putting the witness at ease with small talk about sports, the weather, where they are from,and so on achieves two aims. The first aim is to enable movements, facial expressions and voice inflections under various stress levels. The value of observing body language, a technique used by some interviewers to draw conclusions about a witness veracity; is supported by an enormous amount of scientific research.</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For instance, crossing the arms or scratching the nose could be indications of lying. There is sound evidence to this effect. Later, when you ask the tough questions, you may notice differences in these behaviours and others which could be instructive as to the witness culpability.</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3</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Admissions and Defenses: Forensic Accounting Investigators want to develop a line of questioning that will cause their subjects to admit to knowledge about certain facts, procedures, policy, practices and any deviations from them thereby eliminating possible defenses when the time comes to state accusations.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4</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Confrontation: The interviewer lays the groundwork then brings the accusation. The goal is to make the witness feel the burden of guilt while also perceiving the interviewer as a sympathetic person in whom one can confide. The interviewer wants the subject to feel that further lying is fruitless.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5</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The Admission:Now the interviewers should walk the subject through the facts and specific instances of the crimes. They should bring out documents and ask questions that will solidify her involvement, knowledge and intent. They should nail down the details, although always remaining sympathetic and compassionate. They should comfortand encourage the subject. And all the while they should take good notes and close the remaining gaps in knowledge.</w:t>
            </w:r>
          </w:p>
          <w:p>
            <w:pPr>
              <w:spacing w:before="0" w:after="0" w:line="240"/>
              <w:ind w:right="0" w:left="0" w:firstLine="0"/>
              <w:jc w:val="left"/>
              <w:rPr>
                <w:spacing w:val="0"/>
                <w:position w:val="0"/>
              </w:rPr>
            </w:pPr>
          </w:p>
        </w:tc>
      </w:tr>
    </w:tbl>
    <w:p>
      <w:pPr>
        <w:spacing w:before="0" w:after="20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Ind w:w="108" w:type="dxa"/>
      </w:tblPr>
      <w:tblGrid>
        <w:gridCol w:w="2310"/>
        <w:gridCol w:w="4035"/>
        <w:gridCol w:w="1276"/>
        <w:gridCol w:w="1621"/>
      </w:tblGrid>
      <w:tr>
        <w:trPr>
          <w:trHeight w:val="25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200" w:line="276"/>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OLUWASEUN JEBODA</w:t>
            </w:r>
          </w:p>
        </w:tc>
        <w:tc>
          <w:tcPr>
            <w:tcW w:w="127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15/11/2018</w:t>
            </w:r>
          </w:p>
        </w:tc>
      </w:tr>
    </w:tbl>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32"/>
          <w:shd w:fill="D9D9D9" w:val="clear"/>
        </w:rPr>
      </w:pPr>
      <w:r>
        <w:rPr>
          <w:rFonts w:ascii="Calibri" w:hAnsi="Calibri" w:cs="Calibri" w:eastAsia="Calibri"/>
          <w:b/>
          <w:color w:val="000000"/>
          <w:spacing w:val="0"/>
          <w:position w:val="0"/>
          <w:sz w:val="28"/>
          <w:shd w:fill="D9D9D9" w:val="clear"/>
        </w:rPr>
        <w:t xml:space="preserve">For Tutor / Assessor Use Only</w:t>
      </w:r>
    </w:p>
    <w:tbl>
      <w:tblPr>
        <w:tblInd w:w="108" w:type="dxa"/>
      </w:tblPr>
      <w:tblGrid>
        <w:gridCol w:w="4621"/>
        <w:gridCol w:w="4621"/>
      </w:tblGrid>
      <w:tr>
        <w:trPr>
          <w:trHeight w:val="250" w:hRule="auto"/>
          <w:jc w:val="left"/>
        </w:trPr>
        <w:tc>
          <w:tcPr>
            <w:tcW w:w="4621"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200" w:line="276"/>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50" w:hRule="auto"/>
          <w:jc w:val="left"/>
        </w:trPr>
        <w:tc>
          <w:tcPr>
            <w:tcW w:w="4621"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50" w:hRule="auto"/>
          <w:jc w:val="left"/>
        </w:trPr>
        <w:tc>
          <w:tcPr>
            <w:tcW w:w="4621"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40"/>
        <w:ind w:right="0" w:left="0" w:firstLine="0"/>
        <w:jc w:val="left"/>
        <w:rPr>
          <w:rFonts w:ascii="Calibri" w:hAnsi="Calibri" w:cs="Calibri" w:eastAsia="Calibri"/>
          <w:b/>
          <w:color w:val="000000"/>
          <w:spacing w:val="0"/>
          <w:position w:val="0"/>
          <w:sz w:val="32"/>
          <w:shd w:fill="D9D9D9"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num w:numId="22">
    <w:abstractNumId w:val="30"/>
  </w:num>
  <w:num w:numId="24">
    <w:abstractNumId w:val="24"/>
  </w:num>
  <w:num w:numId="26">
    <w:abstractNumId w:val="18"/>
  </w:num>
  <w:num w:numId="28">
    <w:abstractNumId w:val="12"/>
  </w:num>
  <w:num w:numId="30">
    <w:abstractNumId w:val="6"/>
  </w:num>
  <w:num w:numId="3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