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Default Extension="gif" ContentType="image/gif"/>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B6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466">
            <w:pPr>
              <w:pStyle w:val="Default"/>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7466">
            <w:pPr>
              <w:pStyle w:val="Default"/>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466">
            <w:pPr>
              <w:pStyle w:val="Default"/>
              <w:rPr>
                <w:rFonts w:asciiTheme="minorHAnsi" w:hAnsiTheme="minorHAnsi"/>
              </w:rPr>
            </w:pPr>
            <w:r w:rsidRPr="0050050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466">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0D2F12" w:rsidRPr="002C557E" w:rsidRDefault="000D2F12" w:rsidP="000D2F12">
            <w:pPr>
              <w:spacing w:line="360" w:lineRule="auto"/>
              <w:jc w:val="center"/>
              <w:rPr>
                <w:rFonts w:ascii="Arial" w:hAnsi="Arial" w:cs="Arial"/>
                <w:b/>
                <w:bCs/>
                <w:sz w:val="24"/>
                <w:szCs w:val="24"/>
                <w:u w:val="single"/>
              </w:rPr>
            </w:pPr>
            <w:r w:rsidRPr="002C557E">
              <w:rPr>
                <w:rFonts w:ascii="Arial" w:hAnsi="Arial" w:cs="Arial"/>
                <w:b/>
                <w:bCs/>
                <w:sz w:val="24"/>
                <w:szCs w:val="24"/>
                <w:u w:val="single"/>
              </w:rPr>
              <w:t>Interviewing Techniques</w:t>
            </w:r>
          </w:p>
          <w:p w:rsidR="000D2F12" w:rsidRDefault="000D2F12" w:rsidP="000D2F12">
            <w:pPr>
              <w:spacing w:line="360" w:lineRule="auto"/>
              <w:rPr>
                <w:rFonts w:ascii="Arial" w:hAnsi="Arial" w:cs="Arial"/>
                <w:b/>
                <w:sz w:val="24"/>
                <w:szCs w:val="24"/>
                <w:u w:val="single"/>
              </w:rPr>
            </w:pPr>
            <w:r w:rsidRPr="002C557E">
              <w:rPr>
                <w:rFonts w:ascii="Arial" w:hAnsi="Arial" w:cs="Arial"/>
                <w:b/>
                <w:sz w:val="24"/>
                <w:szCs w:val="24"/>
                <w:u w:val="single"/>
              </w:rPr>
              <w:t>ASSESSMENT # 8</w:t>
            </w:r>
          </w:p>
          <w:p w:rsidR="00AA09D6" w:rsidRPr="002C557E" w:rsidRDefault="00AA09D6" w:rsidP="000D2F12">
            <w:pPr>
              <w:spacing w:line="360" w:lineRule="auto"/>
              <w:rPr>
                <w:rFonts w:ascii="Arial" w:hAnsi="Arial" w:cs="Arial"/>
                <w:b/>
                <w:sz w:val="24"/>
                <w:szCs w:val="24"/>
                <w:u w:val="single"/>
              </w:rPr>
            </w:pPr>
          </w:p>
          <w:p w:rsidR="000D2F12" w:rsidRPr="006125C3" w:rsidRDefault="000D2F12" w:rsidP="006125C3">
            <w:pPr>
              <w:pStyle w:val="ListParagraph"/>
              <w:numPr>
                <w:ilvl w:val="0"/>
                <w:numId w:val="2"/>
              </w:numPr>
              <w:spacing w:line="360" w:lineRule="auto"/>
              <w:rPr>
                <w:rFonts w:ascii="Arial" w:hAnsi="Arial" w:cs="Arial"/>
                <w:sz w:val="24"/>
                <w:szCs w:val="24"/>
                <w:u w:val="single"/>
              </w:rPr>
            </w:pPr>
            <w:r w:rsidRPr="006125C3">
              <w:rPr>
                <w:rFonts w:ascii="Arial" w:hAnsi="Arial" w:cs="Arial"/>
                <w:sz w:val="24"/>
                <w:szCs w:val="24"/>
                <w:u w:val="single"/>
              </w:rPr>
              <w:t>Short Answers</w:t>
            </w:r>
          </w:p>
          <w:p w:rsidR="000D2F12" w:rsidRPr="006125C3" w:rsidRDefault="000D2F12" w:rsidP="006125C3">
            <w:pPr>
              <w:pStyle w:val="ListParagraph"/>
              <w:spacing w:line="360" w:lineRule="auto"/>
              <w:rPr>
                <w:rFonts w:ascii="Arial" w:hAnsi="Arial" w:cs="Arial"/>
                <w:sz w:val="24"/>
                <w:szCs w:val="24"/>
                <w:u w:val="single"/>
              </w:rPr>
            </w:pPr>
          </w:p>
          <w:p w:rsidR="000D2F12" w:rsidRPr="006125C3" w:rsidRDefault="000D2F12" w:rsidP="006125C3">
            <w:pPr>
              <w:pStyle w:val="ListParagraph"/>
              <w:numPr>
                <w:ilvl w:val="0"/>
                <w:numId w:val="3"/>
              </w:numPr>
              <w:autoSpaceDE w:val="0"/>
              <w:autoSpaceDN w:val="0"/>
              <w:adjustRightInd w:val="0"/>
              <w:spacing w:line="360" w:lineRule="auto"/>
              <w:rPr>
                <w:rFonts w:ascii="Arial" w:hAnsi="Arial" w:cs="Arial"/>
                <w:sz w:val="24"/>
                <w:szCs w:val="24"/>
              </w:rPr>
            </w:pPr>
          </w:p>
          <w:p w:rsidR="00AA09D6" w:rsidRPr="006125C3" w:rsidRDefault="00AA09D6" w:rsidP="006125C3">
            <w:pPr>
              <w:pStyle w:val="ListParagraph"/>
              <w:autoSpaceDE w:val="0"/>
              <w:autoSpaceDN w:val="0"/>
              <w:adjustRightInd w:val="0"/>
              <w:spacing w:line="360" w:lineRule="auto"/>
              <w:rPr>
                <w:rFonts w:ascii="Arial" w:hAnsi="Arial" w:cs="Arial"/>
                <w:color w:val="000000"/>
                <w:sz w:val="24"/>
                <w:szCs w:val="24"/>
              </w:rPr>
            </w:pPr>
          </w:p>
          <w:p w:rsidR="00AA09D6" w:rsidRPr="006125C3" w:rsidRDefault="000D2F12" w:rsidP="006125C3">
            <w:pPr>
              <w:pStyle w:val="ListParagraph"/>
              <w:numPr>
                <w:ilvl w:val="0"/>
                <w:numId w:val="16"/>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Interviews can be divided into two categories: suspect and witness. The distinguishing factor between these two categories is the use of the terms “interview” and “interrogation”, as “interview” implies non suspect and “interrogation” signifies suspect. Interrogations are interviews with a person or persons who are suspected of committing or being involved in a crime. </w:t>
            </w: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Witness interviews, on the other hand, are of a different nature.</w:t>
            </w:r>
          </w:p>
          <w:p w:rsidR="00AA09D6" w:rsidRPr="006125C3" w:rsidRDefault="00AA09D6" w:rsidP="006125C3">
            <w:pPr>
              <w:pStyle w:val="ListParagraph"/>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Heading1"/>
              <w:spacing w:line="360" w:lineRule="auto"/>
              <w:outlineLvl w:val="0"/>
              <w:rPr>
                <w:rFonts w:ascii="Arial" w:hAnsi="Arial" w:cs="Arial"/>
                <w:sz w:val="24"/>
                <w:szCs w:val="24"/>
              </w:rPr>
            </w:pPr>
            <w:r w:rsidRPr="006125C3">
              <w:rPr>
                <w:rFonts w:ascii="Arial" w:hAnsi="Arial" w:cs="Arial"/>
                <w:sz w:val="24"/>
                <w:szCs w:val="24"/>
              </w:rPr>
              <w:lastRenderedPageBreak/>
              <w:drawing>
                <wp:inline distT="0" distB="0" distL="0" distR="0">
                  <wp:extent cx="4552950" cy="1562100"/>
                  <wp:effectExtent l="0" t="0" r="0" b="0"/>
                  <wp:docPr id="1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A09D6" w:rsidRPr="006125C3" w:rsidRDefault="00AA09D6" w:rsidP="006125C3">
            <w:pPr>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ind w:left="270"/>
              <w:rPr>
                <w:rFonts w:ascii="Arial" w:hAnsi="Arial" w:cs="Arial"/>
                <w:sz w:val="24"/>
                <w:szCs w:val="24"/>
              </w:rPr>
            </w:pP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For the financial crime investigator to maintain a healthy level of professional skepticism, it should be noted that too much of this may lead to bias and false determination of deception. </w:t>
            </w: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Professional skepticism helps avoid hasty suppositions and faulty assumptions and prepares the investigator for surprising revelations, as people who were once considered innocent get caught up in their own lies and deceit.</w:t>
            </w: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There are various reasons for conducting interviews, including scientific, investigative, journalistic and psychological. Regardless of the type of interview that is being conducted, similar dynamics exist between interviewer and interviewee. </w:t>
            </w: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purpose of any interview is to obtain information, and the process of obtaining information requires verbal interaction. This interaction is usually followed by a discourse, which involves the exchange of language.</w:t>
            </w: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Communication is only made possible when people exchange words, as words have a shared meaning.</w:t>
            </w: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Words, which are the basic component of any language, are dependent on cultural implications that affect their meanings. In this case, the culture that influences words is the norms of the financial community. </w:t>
            </w:r>
          </w:p>
          <w:p w:rsidR="000D2F12"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Members of this community, who include the controller, the bookkeeper, and the chief financial officer, speak a unique dialect within their native languages.</w:t>
            </w:r>
          </w:p>
          <w:p w:rsidR="00AA09D6" w:rsidRPr="006125C3" w:rsidRDefault="000D2F12" w:rsidP="006125C3">
            <w:pPr>
              <w:pStyle w:val="ListParagraph"/>
              <w:numPr>
                <w:ilvl w:val="0"/>
                <w:numId w:val="2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Interviews can take different forms from open-ended to predetermine. The semi-structured interview is the most common form. In semi-structured interviews, the investigator, guided by a set of questions and basic goals, </w:t>
            </w:r>
          </w:p>
          <w:p w:rsidR="00AA09D6" w:rsidRPr="006125C3" w:rsidRDefault="00AA09D6"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sz w:val="24"/>
                <w:szCs w:val="24"/>
              </w:rPr>
              <w:t>explores issues as they arise during the course and within the broader structure of the interview.</w:t>
            </w: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3"/>
              </w:num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4"/>
              </w:numPr>
              <w:autoSpaceDE w:val="0"/>
              <w:autoSpaceDN w:val="0"/>
              <w:adjustRightInd w:val="0"/>
              <w:spacing w:line="360" w:lineRule="auto"/>
              <w:rPr>
                <w:rFonts w:ascii="Arial" w:hAnsi="Arial" w:cs="Arial"/>
                <w:sz w:val="24"/>
                <w:szCs w:val="24"/>
              </w:rPr>
            </w:pPr>
            <w:r w:rsidRPr="006125C3">
              <w:rPr>
                <w:rFonts w:ascii="Arial" w:hAnsi="Arial" w:cs="Arial"/>
                <w:sz w:val="24"/>
                <w:szCs w:val="24"/>
              </w:rPr>
              <w:t>It is the investigator’s responsibility to overcome the barriers and separate important facts from unnecessary details.</w:t>
            </w:r>
          </w:p>
          <w:p w:rsidR="000D2F12" w:rsidRPr="006125C3" w:rsidRDefault="000D2F12" w:rsidP="006125C3">
            <w:pPr>
              <w:pStyle w:val="ListParagraph"/>
              <w:numPr>
                <w:ilvl w:val="0"/>
                <w:numId w:val="4"/>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Investigator’s cannot simply edit out or misunderstand data or information they do not understand, as these may be facts crucial to the investigation. </w:t>
            </w:r>
          </w:p>
          <w:p w:rsidR="000D2F12" w:rsidRPr="006125C3" w:rsidRDefault="000D2F12" w:rsidP="006125C3">
            <w:pPr>
              <w:pStyle w:val="ListParagraph"/>
              <w:numPr>
                <w:ilvl w:val="0"/>
                <w:numId w:val="4"/>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Therefore, it is important for the investigator to plan the interview in advance and embark on it properly prepared.</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ind w:firstLine="720"/>
              <w:rPr>
                <w:rFonts w:ascii="Arial" w:hAnsi="Arial" w:cs="Arial"/>
                <w:b/>
                <w:bCs/>
                <w:sz w:val="24"/>
                <w:szCs w:val="24"/>
                <w:u w:val="single"/>
              </w:rPr>
            </w:pPr>
            <w:r w:rsidRPr="006125C3">
              <w:rPr>
                <w:rFonts w:ascii="Arial" w:hAnsi="Arial" w:cs="Arial"/>
                <w:b/>
                <w:bCs/>
                <w:sz w:val="24"/>
                <w:szCs w:val="24"/>
                <w:u w:val="single"/>
              </w:rPr>
              <w:t>Planning the Interview:</w:t>
            </w:r>
          </w:p>
          <w:p w:rsidR="000D2F12" w:rsidRPr="006125C3" w:rsidRDefault="000D2F12" w:rsidP="006125C3">
            <w:pPr>
              <w:autoSpaceDE w:val="0"/>
              <w:autoSpaceDN w:val="0"/>
              <w:adjustRightInd w:val="0"/>
              <w:spacing w:line="360" w:lineRule="auto"/>
              <w:ind w:firstLine="720"/>
              <w:rPr>
                <w:rFonts w:ascii="Arial" w:hAnsi="Arial" w:cs="Arial"/>
                <w:bCs/>
                <w:sz w:val="24"/>
                <w:szCs w:val="24"/>
                <w:u w:val="single"/>
              </w:rPr>
            </w:pPr>
          </w:p>
          <w:p w:rsidR="000D2F12" w:rsidRPr="006125C3" w:rsidRDefault="000D2F12" w:rsidP="006125C3">
            <w:pPr>
              <w:pStyle w:val="ListParagraph"/>
              <w:autoSpaceDE w:val="0"/>
              <w:autoSpaceDN w:val="0"/>
              <w:adjustRightInd w:val="0"/>
              <w:spacing w:line="360" w:lineRule="auto"/>
              <w:rPr>
                <w:rFonts w:ascii="Arial" w:hAnsi="Arial" w:cs="Arial"/>
                <w:bCs/>
                <w:sz w:val="24"/>
                <w:szCs w:val="24"/>
                <w:u w:val="single"/>
              </w:rPr>
            </w:pPr>
            <w:r w:rsidRPr="006125C3">
              <w:rPr>
                <w:rFonts w:ascii="Arial" w:hAnsi="Arial" w:cs="Arial"/>
                <w:bCs/>
                <w:sz w:val="24"/>
                <w:szCs w:val="24"/>
                <w:u w:val="single"/>
              </w:rPr>
              <w:t>Who?</w:t>
            </w:r>
          </w:p>
          <w:p w:rsidR="000D2F12" w:rsidRPr="006125C3" w:rsidRDefault="000D2F12" w:rsidP="006125C3">
            <w:pPr>
              <w:pStyle w:val="ListParagraph"/>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The first step is to determine who will be interviewed. This is a fairly obvious choice in an investigational interview as opposed to scientific research where interviewers have to follow a methodology in order to select the interviewees. </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Financial crimes involve different kinds of evidence and witnesses from those involved in nonfinancial crimes.</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There are relatively fewer witnesses in financial crimes. This is because, firstly, financial crimes are usually committed in the form of fraud. Fraud, by its very definition, is a crime committed in secrecy and with stealth. </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Fraudsters rely on the non-existence of eyewitnesses for their crime to be successful. On the other hand, non-financial crimes such as murder, burglary, assault or robbery involve a criminal act against an individual and are more likely to involve witnesses capable of providing a detailed account of the crime and the suspect.</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Secondly, even if someone does witness the fraud being committed by the suspect, there is no certain way of knowing that a crime is occurring because the act will most probably look like a routine business activity.</w:t>
            </w:r>
          </w:p>
          <w:p w:rsidR="00AA09D6" w:rsidRPr="006125C3" w:rsidRDefault="00AA09D6"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A successful fraud makes the crime almost unidentifiable even to a well-trained observer, as it cannot be distinguished from daily operations.</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Investigators should decide whom to interview with creativity and logic, as there cannot be a set list from which to choose. Potential interviewees would include- Victims, current workers, customers, relatives etc.</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ind w:left="1260" w:firstLine="720"/>
              <w:rPr>
                <w:rFonts w:ascii="Arial" w:hAnsi="Arial" w:cs="Arial"/>
                <w:sz w:val="24"/>
                <w:szCs w:val="24"/>
              </w:rPr>
            </w:pPr>
            <w:r w:rsidRPr="006125C3">
              <w:rPr>
                <w:rFonts w:ascii="Arial" w:hAnsi="Arial" w:cs="Arial"/>
                <w:noProof/>
                <w:sz w:val="24"/>
                <w:szCs w:val="24"/>
              </w:rPr>
              <w:drawing>
                <wp:inline distT="0" distB="0" distL="0" distR="0">
                  <wp:extent cx="3341052" cy="2000250"/>
                  <wp:effectExtent l="95250" t="95250" r="88265" b="952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view.gif"/>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47709" cy="200423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rPr>
                <w:rFonts w:ascii="Arial" w:hAnsi="Arial" w:cs="Arial"/>
                <w:sz w:val="24"/>
                <w:szCs w:val="24"/>
              </w:rPr>
            </w:pPr>
          </w:p>
          <w:p w:rsidR="00AA09D6" w:rsidRPr="006125C3" w:rsidRDefault="00AA09D6"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3"/>
              </w:num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w:t>
            </w:r>
          </w:p>
          <w:p w:rsidR="000D2F12" w:rsidRPr="006125C3" w:rsidRDefault="008A61AE" w:rsidP="006125C3">
            <w:p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w:t>
            </w:r>
            <w:r w:rsidRPr="006125C3">
              <w:rPr>
                <w:rFonts w:ascii="Arial" w:hAnsi="Arial" w:cs="Arial"/>
                <w:noProof/>
                <w:sz w:val="24"/>
                <w:szCs w:val="24"/>
              </w:rPr>
              <w:drawing>
                <wp:inline distT="0" distB="0" distL="0" distR="0">
                  <wp:extent cx="2469933" cy="1435396"/>
                  <wp:effectExtent l="95250" t="95250" r="101817" b="88604"/>
                  <wp:docPr id="14" name="Picture 13"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5" cstate="print"/>
                          <a:stretch>
                            <a:fillRect/>
                          </a:stretch>
                        </pic:blipFill>
                        <pic:spPr>
                          <a:xfrm>
                            <a:off x="0" y="0"/>
                            <a:ext cx="2466975" cy="143367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Investigators should decide whom to interview with creativity and logic, as there cannot be a set list from which to choose.</w:t>
            </w: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Current and former employees should always be included in the investigator’s list of interviewees. </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While current employees and peers may be hesitant owing to their relationship with the suspect, former employees may not be restrained by that limitation because they will have no fear of spoiling their relationship or work dynamics with the suspect. </w:t>
            </w:r>
          </w:p>
          <w:p w:rsidR="00AA09D6"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Former bosses, co-workers and significant others may provide detailed insights into the suspect’s attitude at work and his/her personality in general.</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Although it is crucial to interview former co-workers and significant others, the investigator should be aware of the possibility that these people may have a grudge   the suspect and may deliberately skew the facts; even worse, they may completely fabricate information to the detriment of the suspect.</w:t>
            </w: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Sometimes even current colleagues and friends may be deceptive for different reasons but it is always helpful to re-check or corroborate negative statements given by the formers about the suspect.</w:t>
            </w: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5"/>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following is a list of potential interviewees:</w:t>
            </w:r>
          </w:p>
          <w:p w:rsidR="000D2F12" w:rsidRPr="006125C3" w:rsidRDefault="000D2F12" w:rsidP="006125C3">
            <w:pPr>
              <w:pStyle w:val="ListParagraph"/>
              <w:spacing w:line="360" w:lineRule="auto"/>
              <w:rPr>
                <w:rFonts w:ascii="Arial" w:hAnsi="Arial" w:cs="Arial"/>
                <w:sz w:val="24"/>
                <w:szCs w:val="24"/>
              </w:rPr>
            </w:pP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Victims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Co-workers, including bosses and subordinates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Suppliers and vendors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Customers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Spouses (and former spouses)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Significant others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Relatives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Attorneys (depending on attorney–client privilege and work-product)</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Accountants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Bankers and stockbrokers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Regulators, including SEC, if applicable, and other industry watchdogs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Competitors</w:t>
            </w:r>
          </w:p>
          <w:p w:rsidR="000D2F12" w:rsidRPr="006125C3" w:rsidRDefault="000D2F12" w:rsidP="006125C3">
            <w:pPr>
              <w:pStyle w:val="ListParagraph"/>
              <w:numPr>
                <w:ilvl w:val="0"/>
                <w:numId w:val="6"/>
              </w:numPr>
              <w:autoSpaceDE w:val="0"/>
              <w:autoSpaceDN w:val="0"/>
              <w:adjustRightInd w:val="0"/>
              <w:spacing w:line="360" w:lineRule="auto"/>
              <w:rPr>
                <w:rFonts w:ascii="Arial" w:hAnsi="Arial" w:cs="Arial"/>
                <w:sz w:val="24"/>
                <w:szCs w:val="24"/>
              </w:rPr>
            </w:pPr>
            <w:r w:rsidRPr="006125C3">
              <w:rPr>
                <w:rFonts w:ascii="Arial" w:hAnsi="Arial" w:cs="Arial"/>
                <w:sz w:val="24"/>
                <w:szCs w:val="24"/>
              </w:rPr>
              <w:t>Industry leaders and group representatives.</w:t>
            </w: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3"/>
              </w:numPr>
              <w:autoSpaceDE w:val="0"/>
              <w:autoSpaceDN w:val="0"/>
              <w:adjustRightInd w:val="0"/>
              <w:spacing w:line="360" w:lineRule="auto"/>
              <w:rPr>
                <w:rFonts w:ascii="Arial" w:hAnsi="Arial" w:cs="Arial"/>
                <w:sz w:val="24"/>
                <w:szCs w:val="24"/>
              </w:rPr>
            </w:pPr>
          </w:p>
          <w:p w:rsidR="008A61AE" w:rsidRPr="006125C3" w:rsidRDefault="008A61AE" w:rsidP="006125C3">
            <w:pPr>
              <w:pStyle w:val="ListParagraph"/>
              <w:autoSpaceDE w:val="0"/>
              <w:autoSpaceDN w:val="0"/>
              <w:adjustRightInd w:val="0"/>
              <w:spacing w:line="360" w:lineRule="auto"/>
              <w:rPr>
                <w:rFonts w:ascii="Arial" w:hAnsi="Arial" w:cs="Arial"/>
                <w:b/>
                <w:sz w:val="24"/>
                <w:szCs w:val="24"/>
                <w:u w:val="single"/>
              </w:rPr>
            </w:pPr>
          </w:p>
          <w:p w:rsidR="000D2F12" w:rsidRPr="006125C3" w:rsidRDefault="000D2F12" w:rsidP="006125C3">
            <w:pPr>
              <w:pStyle w:val="ListParagraph"/>
              <w:autoSpaceDE w:val="0"/>
              <w:autoSpaceDN w:val="0"/>
              <w:adjustRightInd w:val="0"/>
              <w:spacing w:line="360" w:lineRule="auto"/>
              <w:rPr>
                <w:rFonts w:ascii="Arial" w:hAnsi="Arial" w:cs="Arial"/>
                <w:b/>
                <w:sz w:val="24"/>
                <w:szCs w:val="24"/>
                <w:u w:val="single"/>
              </w:rPr>
            </w:pPr>
            <w:r w:rsidRPr="006125C3">
              <w:rPr>
                <w:rFonts w:ascii="Arial" w:hAnsi="Arial" w:cs="Arial"/>
                <w:b/>
                <w:sz w:val="24"/>
                <w:szCs w:val="24"/>
                <w:u w:val="single"/>
              </w:rPr>
              <w:t>How to Plan the Interview:</w:t>
            </w:r>
          </w:p>
          <w:p w:rsidR="000D2F12" w:rsidRPr="006125C3" w:rsidRDefault="000D2F12" w:rsidP="006125C3">
            <w:pPr>
              <w:pStyle w:val="ListParagraph"/>
              <w:autoSpaceDE w:val="0"/>
              <w:autoSpaceDN w:val="0"/>
              <w:adjustRightInd w:val="0"/>
              <w:spacing w:line="360" w:lineRule="auto"/>
              <w:rPr>
                <w:rFonts w:ascii="Arial" w:hAnsi="Arial" w:cs="Arial"/>
                <w:sz w:val="24"/>
                <w:szCs w:val="24"/>
                <w:u w:val="single"/>
              </w:rPr>
            </w:pPr>
          </w:p>
          <w:p w:rsidR="00AA09D6"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investigator has several options in terms of how to interview the witness. These include audio</w:t>
            </w:r>
            <w:r w:rsidR="00AA09D6" w:rsidRPr="006125C3">
              <w:rPr>
                <w:rFonts w:ascii="Arial" w:hAnsi="Arial" w:cs="Arial"/>
                <w:sz w:val="24"/>
                <w:szCs w:val="24"/>
              </w:rPr>
              <w:t xml:space="preserve"> </w:t>
            </w:r>
            <w:r w:rsidRPr="006125C3">
              <w:rPr>
                <w:rFonts w:ascii="Arial" w:hAnsi="Arial" w:cs="Arial"/>
                <w:sz w:val="24"/>
                <w:szCs w:val="24"/>
              </w:rPr>
              <w:t xml:space="preserve">taping, videotaping, and recording the interview steno graphically. While all three options are acceptable, the investigator must ensure that the interview is recorded. </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There are a number of reasons why interviews should be recorded. </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Firstly, recording protects the investigator, since no one will be able to attribute statements to the investigator that he/she did not make, and any accusations of threats made against the suspect can be swiftly dismissed.</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A defense attorney making a case against the voluntariness of a statement might use the videotape to observe the investigator’s proximity to the witness/suspect.</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Moreover, certain noises such as a palm slammed on the table or a dropped book may sound like intimidation tactics on audiotape; therefore it is helpful to record such incidents on video in order that the sounds might be accompanied by images.</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Recording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AA09D6"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Recordings run the risk of being misplaced, destroyed or altered, but they are much more durable and last much longer than an average person’s memory. </w:t>
            </w:r>
          </w:p>
          <w:p w:rsidR="00AA09D6" w:rsidRPr="006125C3" w:rsidRDefault="00AA09D6"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rPr>
                <w:rFonts w:ascii="Arial" w:hAnsi="Arial" w:cs="Arial"/>
                <w:sz w:val="24"/>
                <w:szCs w:val="24"/>
              </w:rPr>
            </w:pPr>
            <w:r w:rsidRPr="006125C3">
              <w:rPr>
                <w:rStyle w:val="Heading1Char"/>
                <w:rFonts w:ascii="Arial" w:hAnsi="Arial" w:cs="Arial"/>
                <w:sz w:val="24"/>
                <w:szCs w:val="24"/>
              </w:rPr>
              <w:drawing>
                <wp:inline distT="0" distB="0" distL="0" distR="0">
                  <wp:extent cx="2700670" cy="1529204"/>
                  <wp:effectExtent l="95250" t="95250" r="99695" b="901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1).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99855" cy="152874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6125C3">
              <w:rPr>
                <w:rFonts w:ascii="Arial" w:hAnsi="Arial" w:cs="Arial"/>
                <w:sz w:val="24"/>
                <w:szCs w:val="24"/>
              </w:rPr>
              <w:t xml:space="preserve">         </w:t>
            </w:r>
            <w:r w:rsidRPr="006125C3">
              <w:rPr>
                <w:rStyle w:val="Heading1Char"/>
                <w:rFonts w:ascii="Arial" w:hAnsi="Arial" w:cs="Arial"/>
                <w:sz w:val="24"/>
                <w:szCs w:val="24"/>
              </w:rPr>
              <w:drawing>
                <wp:inline distT="0" distB="0" distL="0" distR="0">
                  <wp:extent cx="2211572" cy="1573273"/>
                  <wp:effectExtent l="95250" t="95250" r="93980" b="1035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15342" cy="157595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ind w:firstLine="720"/>
              <w:rPr>
                <w:rFonts w:ascii="Arial" w:hAnsi="Arial" w:cs="Arial"/>
                <w:b/>
                <w:sz w:val="24"/>
                <w:szCs w:val="24"/>
                <w:u w:val="single"/>
              </w:rPr>
            </w:pPr>
            <w:r w:rsidRPr="006125C3">
              <w:rPr>
                <w:rFonts w:ascii="Arial" w:hAnsi="Arial" w:cs="Arial"/>
                <w:sz w:val="24"/>
                <w:szCs w:val="24"/>
                <w:u w:val="single"/>
              </w:rPr>
              <w:t xml:space="preserve">  </w:t>
            </w:r>
            <w:r w:rsidRPr="006125C3">
              <w:rPr>
                <w:rFonts w:ascii="Arial" w:hAnsi="Arial" w:cs="Arial"/>
                <w:b/>
                <w:sz w:val="24"/>
                <w:szCs w:val="24"/>
                <w:u w:val="single"/>
              </w:rPr>
              <w:t>VIDEO RECORDING</w:t>
            </w:r>
            <w:r w:rsidRPr="006125C3">
              <w:rPr>
                <w:rFonts w:ascii="Arial" w:hAnsi="Arial" w:cs="Arial"/>
                <w:sz w:val="24"/>
                <w:szCs w:val="24"/>
              </w:rPr>
              <w:tab/>
            </w:r>
            <w:r w:rsidRPr="006125C3">
              <w:rPr>
                <w:rFonts w:ascii="Arial" w:hAnsi="Arial" w:cs="Arial"/>
                <w:sz w:val="24"/>
                <w:szCs w:val="24"/>
              </w:rPr>
              <w:tab/>
            </w:r>
            <w:r w:rsidRPr="006125C3">
              <w:rPr>
                <w:rFonts w:ascii="Arial" w:hAnsi="Arial" w:cs="Arial"/>
                <w:sz w:val="24"/>
                <w:szCs w:val="24"/>
              </w:rPr>
              <w:tab/>
            </w:r>
            <w:r w:rsidRPr="006125C3">
              <w:rPr>
                <w:rFonts w:ascii="Arial" w:hAnsi="Arial" w:cs="Arial"/>
                <w:sz w:val="24"/>
                <w:szCs w:val="24"/>
              </w:rPr>
              <w:tab/>
              <w:t xml:space="preserve">  </w:t>
            </w:r>
            <w:r w:rsidRPr="006125C3">
              <w:rPr>
                <w:rFonts w:ascii="Arial" w:hAnsi="Arial" w:cs="Arial"/>
                <w:b/>
                <w:sz w:val="24"/>
                <w:szCs w:val="24"/>
                <w:u w:val="single"/>
              </w:rPr>
              <w:t>AUDIO RECORDING</w:t>
            </w:r>
          </w:p>
          <w:p w:rsidR="000D2F12" w:rsidRPr="006125C3" w:rsidRDefault="000D2F12" w:rsidP="006125C3">
            <w:pPr>
              <w:autoSpaceDE w:val="0"/>
              <w:autoSpaceDN w:val="0"/>
              <w:adjustRightInd w:val="0"/>
              <w:spacing w:line="360" w:lineRule="auto"/>
              <w:ind w:firstLine="720"/>
              <w:rPr>
                <w:rFonts w:ascii="Arial" w:hAnsi="Arial" w:cs="Arial"/>
                <w:sz w:val="24"/>
                <w:szCs w:val="24"/>
              </w:rPr>
            </w:pPr>
          </w:p>
          <w:p w:rsidR="000D2F12" w:rsidRPr="006125C3" w:rsidRDefault="000D2F12" w:rsidP="006125C3">
            <w:pPr>
              <w:autoSpaceDE w:val="0"/>
              <w:autoSpaceDN w:val="0"/>
              <w:adjustRightInd w:val="0"/>
              <w:spacing w:line="360" w:lineRule="auto"/>
              <w:ind w:firstLine="720"/>
              <w:rPr>
                <w:rFonts w:ascii="Arial" w:hAnsi="Arial" w:cs="Arial"/>
                <w:sz w:val="24"/>
                <w:szCs w:val="24"/>
              </w:rPr>
            </w:pPr>
          </w:p>
          <w:p w:rsidR="000D2F12" w:rsidRPr="006125C3" w:rsidRDefault="000D2F12" w:rsidP="006125C3">
            <w:pPr>
              <w:pStyle w:val="ListParagraph"/>
              <w:numPr>
                <w:ilvl w:val="0"/>
                <w:numId w:val="3"/>
              </w:num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ind w:firstLine="720"/>
              <w:rPr>
                <w:rFonts w:ascii="Arial" w:hAnsi="Arial" w:cs="Arial"/>
                <w:b/>
                <w:sz w:val="24"/>
                <w:szCs w:val="24"/>
                <w:u w:val="single"/>
              </w:rPr>
            </w:pPr>
          </w:p>
          <w:p w:rsidR="000D2F12" w:rsidRPr="006125C3" w:rsidRDefault="000D2F12" w:rsidP="006125C3">
            <w:pPr>
              <w:autoSpaceDE w:val="0"/>
              <w:autoSpaceDN w:val="0"/>
              <w:adjustRightInd w:val="0"/>
              <w:spacing w:line="360" w:lineRule="auto"/>
              <w:ind w:firstLine="720"/>
              <w:rPr>
                <w:rFonts w:ascii="Arial" w:hAnsi="Arial" w:cs="Arial"/>
                <w:b/>
                <w:sz w:val="24"/>
                <w:szCs w:val="24"/>
                <w:u w:val="single"/>
              </w:rPr>
            </w:pPr>
            <w:r w:rsidRPr="006125C3">
              <w:rPr>
                <w:rFonts w:ascii="Arial" w:hAnsi="Arial" w:cs="Arial"/>
                <w:b/>
                <w:sz w:val="24"/>
                <w:szCs w:val="24"/>
                <w:u w:val="single"/>
              </w:rPr>
              <w:t>Where to Plan the Interview:</w:t>
            </w:r>
          </w:p>
          <w:p w:rsidR="000D2F12" w:rsidRPr="006125C3" w:rsidRDefault="000D2F12" w:rsidP="006125C3">
            <w:pPr>
              <w:autoSpaceDE w:val="0"/>
              <w:autoSpaceDN w:val="0"/>
              <w:adjustRightInd w:val="0"/>
              <w:spacing w:line="360" w:lineRule="auto"/>
              <w:ind w:firstLine="720"/>
              <w:rPr>
                <w:rFonts w:ascii="Arial" w:hAnsi="Arial" w:cs="Arial"/>
                <w:sz w:val="24"/>
                <w:szCs w:val="24"/>
                <w:u w:val="single"/>
              </w:rPr>
            </w:pP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place where the interview is conducted is important and needs to be chosen carefully.</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 investigator may have several options such as the witness’s workplace, his/her home or some neutral venue. </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Each venue will have its own set of pros and cons. The role played by the witness in the crime will determine how comfortable the investigator wants the interviewee to feel. </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Investigators usually manipulate the psychological pressure on the suspect and use it to minimize the resistance to confession. As long as this practice is not abused, it can be an effective investigation tactic.</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Another tactic is to take the suspect out of their psychological comfort zone and place them in the investigator’s element. </w:t>
            </w:r>
          </w:p>
          <w:p w:rsidR="00AA09D6" w:rsidRPr="006125C3" w:rsidRDefault="00AA09D6"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The pressure on the suspect will be considerably higher in the investigator’s office, an attorney’s office or a police precinct.</w:t>
            </w:r>
          </w:p>
          <w:p w:rsidR="000D2F12" w:rsidRPr="006125C3" w:rsidRDefault="000D2F12" w:rsidP="006125C3">
            <w:pPr>
              <w:autoSpaceDE w:val="0"/>
              <w:autoSpaceDN w:val="0"/>
              <w:adjustRightInd w:val="0"/>
              <w:spacing w:line="360" w:lineRule="auto"/>
              <w:ind w:firstLine="720"/>
              <w:rPr>
                <w:rFonts w:ascii="Arial" w:hAnsi="Arial" w:cs="Arial"/>
                <w:sz w:val="24"/>
                <w:szCs w:val="24"/>
                <w:u w:val="single"/>
              </w:rPr>
            </w:pP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r w:rsidRPr="006125C3">
              <w:rPr>
                <w:rFonts w:ascii="Arial" w:hAnsi="Arial" w:cs="Arial"/>
                <w:noProof/>
                <w:sz w:val="24"/>
                <w:szCs w:val="24"/>
              </w:rPr>
              <w:drawing>
                <wp:inline distT="0" distB="0" distL="0" distR="0">
                  <wp:extent cx="4391247" cy="2462570"/>
                  <wp:effectExtent l="95250" t="95250" r="104775" b="9017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001.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98008" cy="24663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p>
          <w:p w:rsidR="008A61AE" w:rsidRPr="006125C3" w:rsidRDefault="008A61AE" w:rsidP="006125C3">
            <w:pPr>
              <w:autoSpaceDE w:val="0"/>
              <w:autoSpaceDN w:val="0"/>
              <w:adjustRightInd w:val="0"/>
              <w:spacing w:line="360" w:lineRule="auto"/>
              <w:ind w:left="720"/>
              <w:rPr>
                <w:rFonts w:ascii="Arial" w:hAnsi="Arial" w:cs="Arial"/>
                <w:sz w:val="24"/>
                <w:szCs w:val="24"/>
                <w:u w:val="single"/>
              </w:rPr>
            </w:pPr>
          </w:p>
          <w:p w:rsidR="008A61AE" w:rsidRPr="006125C3" w:rsidRDefault="008A61AE"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pStyle w:val="ListParagraph"/>
              <w:numPr>
                <w:ilvl w:val="0"/>
                <w:numId w:val="2"/>
              </w:num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u w:val="single"/>
              </w:rPr>
            </w:pPr>
            <w:r w:rsidRPr="006125C3">
              <w:rPr>
                <w:rFonts w:ascii="Arial" w:hAnsi="Arial" w:cs="Arial"/>
                <w:sz w:val="24"/>
                <w:szCs w:val="24"/>
                <w:u w:val="single"/>
              </w:rPr>
              <w:t>The stages involved in the interview planning procedure:</w:t>
            </w:r>
          </w:p>
          <w:p w:rsidR="000D2F12" w:rsidRPr="006125C3" w:rsidRDefault="000D2F12" w:rsidP="006125C3">
            <w:pPr>
              <w:pStyle w:val="ListParagraph"/>
              <w:autoSpaceDE w:val="0"/>
              <w:autoSpaceDN w:val="0"/>
              <w:adjustRightInd w:val="0"/>
              <w:spacing w:line="360" w:lineRule="auto"/>
              <w:rPr>
                <w:rFonts w:ascii="Arial" w:hAnsi="Arial" w:cs="Arial"/>
                <w:sz w:val="24"/>
                <w:szCs w:val="24"/>
                <w:u w:val="single"/>
              </w:rPr>
            </w:pPr>
          </w:p>
          <w:p w:rsidR="000D2F12" w:rsidRPr="006125C3" w:rsidRDefault="000D2F12" w:rsidP="006125C3">
            <w:pPr>
              <w:pStyle w:val="ListParagraph"/>
              <w:autoSpaceDE w:val="0"/>
              <w:autoSpaceDN w:val="0"/>
              <w:adjustRightInd w:val="0"/>
              <w:spacing w:line="360" w:lineRule="auto"/>
              <w:rPr>
                <w:rFonts w:ascii="Arial" w:hAnsi="Arial" w:cs="Arial"/>
                <w:b/>
                <w:sz w:val="24"/>
                <w:szCs w:val="24"/>
                <w:u w:val="single"/>
              </w:rPr>
            </w:pPr>
            <w:r w:rsidRPr="006125C3">
              <w:rPr>
                <w:rFonts w:ascii="Arial" w:hAnsi="Arial" w:cs="Arial"/>
                <w:b/>
                <w:sz w:val="24"/>
                <w:szCs w:val="24"/>
                <w:u w:val="single"/>
              </w:rPr>
              <w:t>INTRODUCTION:</w:t>
            </w:r>
          </w:p>
          <w:p w:rsidR="000D2F12" w:rsidRPr="006125C3" w:rsidRDefault="000D2F12" w:rsidP="006125C3">
            <w:pPr>
              <w:pStyle w:val="ListParagraph"/>
              <w:autoSpaceDE w:val="0"/>
              <w:autoSpaceDN w:val="0"/>
              <w:adjustRightInd w:val="0"/>
              <w:spacing w:line="360" w:lineRule="auto"/>
              <w:rPr>
                <w:rFonts w:ascii="Arial" w:hAnsi="Arial" w:cs="Arial"/>
                <w:sz w:val="24"/>
                <w:szCs w:val="24"/>
                <w:u w:val="single"/>
              </w:rPr>
            </w:pP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It is the investigator’s responsibility to overcome the barriers and separate important facts from unnecessary details. </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They cannot simply edit out or misunderstand data or information they do not understand, as these may be facts crucial to the investigation. </w:t>
            </w:r>
          </w:p>
          <w:p w:rsidR="000D2F12" w:rsidRPr="006125C3" w:rsidRDefault="000D2F12" w:rsidP="006125C3">
            <w:pPr>
              <w:pStyle w:val="ListParagraph"/>
              <w:numPr>
                <w:ilvl w:val="0"/>
                <w:numId w:val="8"/>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Therefore, it is important for the investigator to plan the interview in advance and embark on it properly prepared.</w:t>
            </w:r>
          </w:p>
          <w:p w:rsidR="000D2F12" w:rsidRPr="006125C3" w:rsidRDefault="000D2F12"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ind w:left="720"/>
              <w:rPr>
                <w:rFonts w:ascii="Arial" w:hAnsi="Arial" w:cs="Arial"/>
                <w:b/>
                <w:sz w:val="24"/>
                <w:szCs w:val="24"/>
                <w:u w:val="single"/>
              </w:rPr>
            </w:pPr>
            <w:r w:rsidRPr="006125C3">
              <w:rPr>
                <w:rFonts w:ascii="Arial" w:hAnsi="Arial" w:cs="Arial"/>
                <w:b/>
                <w:sz w:val="24"/>
                <w:szCs w:val="24"/>
                <w:u w:val="single"/>
              </w:rPr>
              <w:lastRenderedPageBreak/>
              <w:t>MAIN ANSWER:</w:t>
            </w:r>
          </w:p>
          <w:p w:rsidR="008A61AE" w:rsidRPr="006125C3" w:rsidRDefault="008A61AE"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r w:rsidRPr="006125C3">
              <w:rPr>
                <w:rFonts w:ascii="Arial" w:hAnsi="Arial" w:cs="Arial"/>
                <w:sz w:val="24"/>
                <w:szCs w:val="24"/>
                <w:u w:val="single"/>
              </w:rPr>
              <w:t>Planning the Interview:</w:t>
            </w: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autoSpaceDE w:val="0"/>
              <w:autoSpaceDN w:val="0"/>
              <w:adjustRightInd w:val="0"/>
              <w:spacing w:line="360" w:lineRule="auto"/>
              <w:ind w:left="450"/>
              <w:rPr>
                <w:rFonts w:ascii="Arial" w:hAnsi="Arial" w:cs="Arial"/>
                <w:sz w:val="24"/>
                <w:szCs w:val="24"/>
                <w:u w:val="single"/>
              </w:rPr>
            </w:pPr>
            <w:r w:rsidRPr="006125C3">
              <w:rPr>
                <w:rFonts w:ascii="Arial" w:hAnsi="Arial" w:cs="Arial"/>
                <w:noProof/>
                <w:sz w:val="24"/>
                <w:szCs w:val="24"/>
              </w:rPr>
              <w:drawing>
                <wp:inline distT="0" distB="0" distL="0" distR="0">
                  <wp:extent cx="5231219" cy="1318437"/>
                  <wp:effectExtent l="38100" t="0" r="45631"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pStyle w:val="ListParagraph"/>
              <w:numPr>
                <w:ilvl w:val="0"/>
                <w:numId w:val="9"/>
              </w:numPr>
              <w:autoSpaceDE w:val="0"/>
              <w:autoSpaceDN w:val="0"/>
              <w:adjustRightInd w:val="0"/>
              <w:spacing w:line="360" w:lineRule="auto"/>
              <w:rPr>
                <w:rFonts w:ascii="Arial" w:hAnsi="Arial" w:cs="Arial"/>
                <w:sz w:val="24"/>
                <w:szCs w:val="24"/>
                <w:u w:val="single"/>
              </w:rPr>
            </w:pPr>
            <w:r w:rsidRPr="006125C3">
              <w:rPr>
                <w:rFonts w:ascii="Arial" w:hAnsi="Arial" w:cs="Arial"/>
                <w:sz w:val="24"/>
                <w:szCs w:val="24"/>
                <w:u w:val="single"/>
              </w:rPr>
              <w:t>WHO?</w:t>
            </w:r>
            <w:r w:rsidRPr="006125C3">
              <w:rPr>
                <w:rFonts w:ascii="Arial" w:hAnsi="Arial" w:cs="Arial"/>
                <w:noProof/>
                <w:sz w:val="24"/>
                <w:szCs w:val="24"/>
              </w:rPr>
              <w:t xml:space="preserve"> </w:t>
            </w:r>
          </w:p>
          <w:p w:rsidR="000D2F12" w:rsidRPr="006125C3" w:rsidRDefault="000D2F12" w:rsidP="006125C3">
            <w:pPr>
              <w:pStyle w:val="ListParagraph"/>
              <w:autoSpaceDE w:val="0"/>
              <w:autoSpaceDN w:val="0"/>
              <w:adjustRightInd w:val="0"/>
              <w:spacing w:line="360" w:lineRule="auto"/>
              <w:rPr>
                <w:rFonts w:ascii="Arial" w:hAnsi="Arial" w:cs="Arial"/>
                <w:sz w:val="24"/>
                <w:szCs w:val="24"/>
                <w:u w:val="single"/>
              </w:rPr>
            </w:pPr>
            <w:r w:rsidRPr="006125C3">
              <w:rPr>
                <w:rFonts w:ascii="Arial" w:hAnsi="Arial" w:cs="Arial"/>
                <w:noProof/>
                <w:sz w:val="24"/>
                <w:szCs w:val="24"/>
              </w:rPr>
              <w:drawing>
                <wp:inline distT="0" distB="0" distL="0" distR="0">
                  <wp:extent cx="2190750" cy="2113610"/>
                  <wp:effectExtent l="95250" t="95250" r="95250" b="9619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3).jp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12524" cy="21346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09D6" w:rsidRPr="006125C3" w:rsidRDefault="00AA09D6" w:rsidP="006125C3">
            <w:pPr>
              <w:autoSpaceDE w:val="0"/>
              <w:autoSpaceDN w:val="0"/>
              <w:adjustRightInd w:val="0"/>
              <w:spacing w:line="360" w:lineRule="auto"/>
              <w:rPr>
                <w:rFonts w:ascii="Arial" w:hAnsi="Arial" w:cs="Arial"/>
                <w:sz w:val="24"/>
                <w:szCs w:val="24"/>
                <w:u w:val="single"/>
              </w:rPr>
            </w:pPr>
          </w:p>
          <w:p w:rsidR="000D2F12" w:rsidRPr="006125C3" w:rsidRDefault="000D2F12" w:rsidP="006125C3">
            <w:pPr>
              <w:pStyle w:val="ListParagraph"/>
              <w:numPr>
                <w:ilvl w:val="0"/>
                <w:numId w:val="1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 first step is to determine who will be interviewed. This is a fairly obvious choice in an investigational interview as opposed to scientific research where interviewers have to follow a methodology in order to select the interviewees. </w:t>
            </w:r>
          </w:p>
          <w:p w:rsidR="000D2F12" w:rsidRPr="006125C3" w:rsidRDefault="000D2F12" w:rsidP="006125C3">
            <w:pPr>
              <w:pStyle w:val="ListParagraph"/>
              <w:numPr>
                <w:ilvl w:val="0"/>
                <w:numId w:val="1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Financial crimes involve different kinds of evidence and witnesses from those involved in nonfinancial crimes. There are relatively fewer witnesses in financial crimes. This is because, firstly, financial crimes are usually committed in the form of fraud. </w:t>
            </w:r>
          </w:p>
          <w:p w:rsidR="000D2F12" w:rsidRPr="006125C3" w:rsidRDefault="000D2F12" w:rsidP="006125C3">
            <w:pPr>
              <w:pStyle w:val="ListParagraph"/>
              <w:numPr>
                <w:ilvl w:val="0"/>
                <w:numId w:val="10"/>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Fraud, by its very definition, is a crime committed in secrecy and with stealth. Fraudsters rely on the non-existence of eyewitnesses for their crime to be successful. </w:t>
            </w:r>
          </w:p>
          <w:p w:rsidR="008A61AE" w:rsidRPr="006125C3" w:rsidRDefault="008A61AE" w:rsidP="006125C3">
            <w:pPr>
              <w:pStyle w:val="ListParagraph"/>
              <w:autoSpaceDE w:val="0"/>
              <w:autoSpaceDN w:val="0"/>
              <w:adjustRightInd w:val="0"/>
              <w:spacing w:line="360" w:lineRule="auto"/>
              <w:rPr>
                <w:rFonts w:ascii="Arial" w:hAnsi="Arial" w:cs="Arial"/>
                <w:sz w:val="24"/>
                <w:szCs w:val="24"/>
              </w:rPr>
            </w:pPr>
          </w:p>
          <w:p w:rsidR="008A61AE" w:rsidRPr="006125C3" w:rsidRDefault="000D2F12" w:rsidP="006125C3">
            <w:pPr>
              <w:pStyle w:val="ListParagraph"/>
              <w:numPr>
                <w:ilvl w:val="0"/>
                <w:numId w:val="10"/>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On the other hand, non-financial crimes such as murder, burglary, assault or robbery involve a criminal act against an individual and are more likely to involve witnesses capable of providing a detailed account of the crime and the</w:t>
            </w:r>
          </w:p>
          <w:p w:rsidR="00AA09D6"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suspect.</w:t>
            </w:r>
          </w:p>
          <w:p w:rsidR="000D2F12" w:rsidRPr="006125C3" w:rsidRDefault="000D2F12" w:rsidP="006125C3">
            <w:pPr>
              <w:pStyle w:val="ListParagraph"/>
              <w:numPr>
                <w:ilvl w:val="0"/>
                <w:numId w:val="10"/>
              </w:numPr>
              <w:autoSpaceDE w:val="0"/>
              <w:autoSpaceDN w:val="0"/>
              <w:adjustRightInd w:val="0"/>
              <w:spacing w:line="360" w:lineRule="auto"/>
              <w:rPr>
                <w:rFonts w:ascii="Arial" w:hAnsi="Arial" w:cs="Arial"/>
                <w:sz w:val="24"/>
                <w:szCs w:val="24"/>
              </w:rPr>
            </w:pPr>
            <w:r w:rsidRPr="006125C3">
              <w:rPr>
                <w:rFonts w:ascii="Arial" w:hAnsi="Arial" w:cs="Arial"/>
                <w:sz w:val="24"/>
                <w:szCs w:val="24"/>
              </w:rPr>
              <w:t>Secondly, even if someone does witness the fraud being committed by the suspect, there is no certain way of knowing that a crime is occurring because the act will most probably look like a routine business activity.</w:t>
            </w:r>
          </w:p>
          <w:p w:rsidR="000D2F12" w:rsidRPr="006125C3" w:rsidRDefault="000D2F12" w:rsidP="006125C3">
            <w:pPr>
              <w:pStyle w:val="ListParagraph"/>
              <w:numPr>
                <w:ilvl w:val="0"/>
                <w:numId w:val="10"/>
              </w:numPr>
              <w:autoSpaceDE w:val="0"/>
              <w:autoSpaceDN w:val="0"/>
              <w:adjustRightInd w:val="0"/>
              <w:spacing w:line="360" w:lineRule="auto"/>
              <w:rPr>
                <w:rFonts w:ascii="Arial" w:hAnsi="Arial" w:cs="Arial"/>
                <w:sz w:val="24"/>
                <w:szCs w:val="24"/>
              </w:rPr>
            </w:pPr>
            <w:r w:rsidRPr="006125C3">
              <w:rPr>
                <w:rFonts w:ascii="Arial" w:hAnsi="Arial" w:cs="Arial"/>
                <w:sz w:val="24"/>
                <w:szCs w:val="24"/>
              </w:rPr>
              <w:t>Investigators should decide whom to interview with creativity and logic, as there cannot be a set list from which to choose. Potential interviewees would include- Victims, current workers, customers, relatives etc.</w:t>
            </w:r>
          </w:p>
          <w:p w:rsidR="000D2F12" w:rsidRPr="006125C3" w:rsidRDefault="000D2F12" w:rsidP="006125C3">
            <w:pPr>
              <w:pStyle w:val="ListParagraph"/>
              <w:autoSpaceDE w:val="0"/>
              <w:autoSpaceDN w:val="0"/>
              <w:adjustRightInd w:val="0"/>
              <w:spacing w:line="360" w:lineRule="auto"/>
              <w:rPr>
                <w:rFonts w:ascii="Arial" w:hAnsi="Arial" w:cs="Arial"/>
                <w:sz w:val="24"/>
                <w:szCs w:val="24"/>
                <w:u w:val="single"/>
              </w:rPr>
            </w:pPr>
          </w:p>
          <w:p w:rsidR="000D2F12" w:rsidRPr="006125C3" w:rsidRDefault="000D2F12" w:rsidP="006125C3">
            <w:pPr>
              <w:pStyle w:val="ListParagraph"/>
              <w:numPr>
                <w:ilvl w:val="0"/>
                <w:numId w:val="9"/>
              </w:numPr>
              <w:autoSpaceDE w:val="0"/>
              <w:autoSpaceDN w:val="0"/>
              <w:adjustRightInd w:val="0"/>
              <w:spacing w:line="360" w:lineRule="auto"/>
              <w:rPr>
                <w:rFonts w:ascii="Arial" w:hAnsi="Arial" w:cs="Arial"/>
                <w:sz w:val="24"/>
                <w:szCs w:val="24"/>
                <w:u w:val="single"/>
              </w:rPr>
            </w:pPr>
            <w:r w:rsidRPr="006125C3">
              <w:rPr>
                <w:rFonts w:ascii="Arial" w:hAnsi="Arial" w:cs="Arial"/>
                <w:sz w:val="24"/>
                <w:szCs w:val="24"/>
                <w:u w:val="single"/>
              </w:rPr>
              <w:t>WHAT?</w:t>
            </w: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r w:rsidRPr="006125C3">
              <w:rPr>
                <w:rFonts w:ascii="Arial" w:hAnsi="Arial" w:cs="Arial"/>
                <w:noProof/>
                <w:sz w:val="24"/>
                <w:szCs w:val="24"/>
              </w:rPr>
              <w:drawing>
                <wp:inline distT="0" distB="0" distL="0" distR="0">
                  <wp:extent cx="2857500" cy="1571625"/>
                  <wp:effectExtent l="95250" t="95250" r="95250" b="1047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4).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7500" cy="15716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autoSpaceDE w:val="0"/>
              <w:autoSpaceDN w:val="0"/>
              <w:adjustRightInd w:val="0"/>
              <w:spacing w:line="360" w:lineRule="auto"/>
              <w:ind w:left="720"/>
              <w:rPr>
                <w:rFonts w:ascii="Arial" w:hAnsi="Arial" w:cs="Arial"/>
                <w:sz w:val="24"/>
                <w:szCs w:val="24"/>
                <w:u w:val="single"/>
              </w:rPr>
            </w:pPr>
          </w:p>
          <w:p w:rsidR="000D2F12" w:rsidRPr="006125C3" w:rsidRDefault="000D2F12" w:rsidP="006125C3">
            <w:pPr>
              <w:pStyle w:val="ListParagraph"/>
              <w:numPr>
                <w:ilvl w:val="0"/>
                <w:numId w:val="11"/>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Once the investigators have determined whom to interview, they need to plan what they will ask the interviewees. The investigators should carefully consider what possible information the interviewee might provide them with. </w:t>
            </w:r>
          </w:p>
          <w:p w:rsidR="000D2F12" w:rsidRPr="006125C3" w:rsidRDefault="000D2F12" w:rsidP="006125C3">
            <w:pPr>
              <w:pStyle w:val="ListParagraph"/>
              <w:numPr>
                <w:ilvl w:val="0"/>
                <w:numId w:val="11"/>
              </w:numPr>
              <w:autoSpaceDE w:val="0"/>
              <w:autoSpaceDN w:val="0"/>
              <w:adjustRightInd w:val="0"/>
              <w:spacing w:line="360" w:lineRule="auto"/>
              <w:rPr>
                <w:rFonts w:ascii="Arial" w:hAnsi="Arial" w:cs="Arial"/>
                <w:sz w:val="24"/>
                <w:szCs w:val="24"/>
              </w:rPr>
            </w:pPr>
            <w:r w:rsidRPr="006125C3">
              <w:rPr>
                <w:rFonts w:ascii="Arial" w:hAnsi="Arial" w:cs="Arial"/>
                <w:sz w:val="24"/>
                <w:szCs w:val="24"/>
              </w:rPr>
              <w:t>Investigators with limited experience of financial crime investigations tend to assume that witnesses are able to provide them with eyewitness accounts of the crime.</w:t>
            </w:r>
          </w:p>
          <w:p w:rsidR="000D2F12" w:rsidRPr="006125C3" w:rsidRDefault="000D2F12" w:rsidP="006125C3">
            <w:pPr>
              <w:pStyle w:val="ListParagraph"/>
              <w:numPr>
                <w:ilvl w:val="0"/>
                <w:numId w:val="11"/>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While such a scenario would be extremely helpful for the case, it is unlikely considering the secretive nature of financial crimes. Therefore, investigators should aim at obtaining missing information from the witnesses in order to fill in the gaps in their case.</w:t>
            </w:r>
          </w:p>
          <w:p w:rsidR="000D2F12" w:rsidRPr="006125C3" w:rsidRDefault="000D2F12" w:rsidP="006125C3">
            <w:pPr>
              <w:pStyle w:val="ListParagraph"/>
              <w:numPr>
                <w:ilvl w:val="0"/>
                <w:numId w:val="11"/>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Witnesses who are far removed from the actual crime and the crime scene may be able to provide the most crucial information. </w:t>
            </w:r>
          </w:p>
          <w:p w:rsidR="008A61AE" w:rsidRPr="006125C3" w:rsidRDefault="008A61AE"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ind w:left="1095"/>
              <w:rPr>
                <w:rFonts w:ascii="Arial" w:hAnsi="Arial" w:cs="Arial"/>
                <w:sz w:val="24"/>
                <w:szCs w:val="24"/>
              </w:rPr>
            </w:pPr>
            <w:r w:rsidRPr="006125C3">
              <w:rPr>
                <w:rFonts w:ascii="Arial" w:hAnsi="Arial" w:cs="Arial"/>
                <w:sz w:val="24"/>
                <w:szCs w:val="24"/>
              </w:rPr>
              <w:lastRenderedPageBreak/>
              <w:t>For example, while a banker or a stockbroker will be unable to help prove that the Chief Accounts Officer manipulated the accounts receivables of the company, they may be able to provide more important information about where the money has gone.</w:t>
            </w:r>
          </w:p>
          <w:p w:rsidR="00AA09D6" w:rsidRPr="006125C3" w:rsidRDefault="00AA09D6" w:rsidP="006125C3">
            <w:pPr>
              <w:pStyle w:val="ListParagraph"/>
              <w:autoSpaceDE w:val="0"/>
              <w:autoSpaceDN w:val="0"/>
              <w:adjustRightInd w:val="0"/>
              <w:spacing w:line="360" w:lineRule="auto"/>
              <w:ind w:left="1095"/>
              <w:rPr>
                <w:rFonts w:ascii="Arial" w:hAnsi="Arial" w:cs="Arial"/>
                <w:sz w:val="24"/>
                <w:szCs w:val="24"/>
              </w:rPr>
            </w:pPr>
          </w:p>
          <w:p w:rsidR="000D2F12" w:rsidRPr="006125C3" w:rsidRDefault="000D2F12" w:rsidP="006125C3">
            <w:pPr>
              <w:pStyle w:val="ListParagraph"/>
              <w:numPr>
                <w:ilvl w:val="0"/>
                <w:numId w:val="12"/>
              </w:numPr>
              <w:autoSpaceDE w:val="0"/>
              <w:autoSpaceDN w:val="0"/>
              <w:adjustRightInd w:val="0"/>
              <w:spacing w:line="360" w:lineRule="auto"/>
              <w:rPr>
                <w:rFonts w:ascii="Arial" w:hAnsi="Arial" w:cs="Arial"/>
                <w:sz w:val="24"/>
                <w:szCs w:val="24"/>
              </w:rPr>
            </w:pPr>
            <w:r w:rsidRPr="006125C3">
              <w:rPr>
                <w:rFonts w:ascii="Arial" w:hAnsi="Arial" w:cs="Arial"/>
                <w:sz w:val="24"/>
                <w:szCs w:val="24"/>
              </w:rPr>
              <w:t>Financial crime investigations are all about ‘following the money’. Financial criminals usually put their embezzled money somewhere known to their banker.</w:t>
            </w:r>
          </w:p>
          <w:p w:rsidR="000D2F12" w:rsidRPr="006125C3" w:rsidRDefault="000D2F12" w:rsidP="006125C3">
            <w:pPr>
              <w:pStyle w:val="ListParagraph"/>
              <w:numPr>
                <w:ilvl w:val="0"/>
                <w:numId w:val="12"/>
              </w:numPr>
              <w:autoSpaceDE w:val="0"/>
              <w:autoSpaceDN w:val="0"/>
              <w:adjustRightInd w:val="0"/>
              <w:spacing w:line="360" w:lineRule="auto"/>
              <w:rPr>
                <w:rFonts w:ascii="Arial" w:hAnsi="Arial" w:cs="Arial"/>
                <w:sz w:val="24"/>
                <w:szCs w:val="24"/>
              </w:rPr>
            </w:pPr>
            <w:r w:rsidRPr="006125C3">
              <w:rPr>
                <w:rFonts w:ascii="Arial" w:hAnsi="Arial" w:cs="Arial"/>
                <w:sz w:val="24"/>
                <w:szCs w:val="24"/>
              </w:rPr>
              <w:t>Pre-planning what to ask the interviewee is helpful for organizing an interview. Witnesses who have collateral financial information should be dealt with carefully in order to avoid unnecessary work and even the need to re-interview the same witnesses.</w:t>
            </w:r>
          </w:p>
          <w:p w:rsidR="000D2F12" w:rsidRPr="006125C3" w:rsidRDefault="000D2F12" w:rsidP="006125C3">
            <w:pPr>
              <w:pStyle w:val="ListParagraph"/>
              <w:numPr>
                <w:ilvl w:val="0"/>
                <w:numId w:val="12"/>
              </w:numPr>
              <w:autoSpaceDE w:val="0"/>
              <w:autoSpaceDN w:val="0"/>
              <w:adjustRightInd w:val="0"/>
              <w:spacing w:line="360" w:lineRule="auto"/>
              <w:rPr>
                <w:rFonts w:ascii="Arial" w:hAnsi="Arial" w:cs="Arial"/>
                <w:sz w:val="24"/>
                <w:szCs w:val="24"/>
              </w:rPr>
            </w:pPr>
            <w:r w:rsidRPr="006125C3">
              <w:rPr>
                <w:rFonts w:ascii="Arial" w:hAnsi="Arial" w:cs="Arial"/>
                <w:sz w:val="24"/>
                <w:szCs w:val="24"/>
              </w:rPr>
              <w:t>Any investigator who embarks upon an interview with insufficient preparation may have to halt the process and re-schedule after obtaining a subpoena.</w:t>
            </w: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9"/>
              </w:numPr>
              <w:autoSpaceDE w:val="0"/>
              <w:autoSpaceDN w:val="0"/>
              <w:adjustRightInd w:val="0"/>
              <w:spacing w:line="360" w:lineRule="auto"/>
              <w:rPr>
                <w:rFonts w:ascii="Arial" w:hAnsi="Arial" w:cs="Arial"/>
                <w:sz w:val="24"/>
                <w:szCs w:val="24"/>
                <w:u w:val="single"/>
              </w:rPr>
            </w:pPr>
            <w:r w:rsidRPr="006125C3">
              <w:rPr>
                <w:rFonts w:ascii="Arial" w:hAnsi="Arial" w:cs="Arial"/>
                <w:sz w:val="24"/>
                <w:szCs w:val="24"/>
                <w:u w:val="single"/>
              </w:rPr>
              <w:t>WHY?</w:t>
            </w:r>
          </w:p>
          <w:p w:rsidR="000D2F12" w:rsidRPr="006125C3" w:rsidRDefault="000D2F12" w:rsidP="006125C3">
            <w:pPr>
              <w:autoSpaceDE w:val="0"/>
              <w:autoSpaceDN w:val="0"/>
              <w:adjustRightInd w:val="0"/>
              <w:spacing w:line="360" w:lineRule="auto"/>
              <w:ind w:left="720"/>
              <w:rPr>
                <w:rFonts w:ascii="Arial" w:hAnsi="Arial" w:cs="Arial"/>
                <w:sz w:val="24"/>
                <w:szCs w:val="24"/>
              </w:rPr>
            </w:pPr>
            <w:r w:rsidRPr="006125C3">
              <w:rPr>
                <w:rFonts w:ascii="Arial" w:hAnsi="Arial" w:cs="Arial"/>
                <w:noProof/>
                <w:sz w:val="24"/>
                <w:szCs w:val="24"/>
              </w:rPr>
              <w:drawing>
                <wp:inline distT="0" distB="0" distL="0" distR="0">
                  <wp:extent cx="2028825" cy="1524000"/>
                  <wp:effectExtent l="95250" t="95250" r="104775" b="952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2).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28825" cy="1524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autoSpaceDE w:val="0"/>
              <w:autoSpaceDN w:val="0"/>
              <w:adjustRightInd w:val="0"/>
              <w:spacing w:line="360" w:lineRule="auto"/>
              <w:ind w:left="720"/>
              <w:rPr>
                <w:rFonts w:ascii="Arial" w:hAnsi="Arial" w:cs="Arial"/>
                <w:sz w:val="24"/>
                <w:szCs w:val="24"/>
              </w:rPr>
            </w:pPr>
          </w:p>
          <w:p w:rsidR="000D2F12" w:rsidRPr="006125C3" w:rsidRDefault="000D2F12" w:rsidP="006125C3">
            <w:pPr>
              <w:pStyle w:val="ListParagraph"/>
              <w:numPr>
                <w:ilvl w:val="0"/>
                <w:numId w:val="13"/>
              </w:numPr>
              <w:autoSpaceDE w:val="0"/>
              <w:autoSpaceDN w:val="0"/>
              <w:adjustRightInd w:val="0"/>
              <w:spacing w:line="360" w:lineRule="auto"/>
              <w:rPr>
                <w:rFonts w:ascii="Arial" w:hAnsi="Arial" w:cs="Arial"/>
                <w:sz w:val="24"/>
                <w:szCs w:val="24"/>
              </w:rPr>
            </w:pPr>
            <w:r w:rsidRPr="006125C3">
              <w:rPr>
                <w:rFonts w:ascii="Arial" w:hAnsi="Arial" w:cs="Arial"/>
                <w:iCs/>
                <w:sz w:val="24"/>
                <w:szCs w:val="24"/>
              </w:rPr>
              <w:t>Why</w:t>
            </w:r>
            <w:r w:rsidRPr="006125C3">
              <w:rPr>
                <w:rFonts w:ascii="Arial" w:hAnsi="Arial" w:cs="Arial"/>
                <w:i/>
                <w:iCs/>
                <w:sz w:val="24"/>
                <w:szCs w:val="24"/>
              </w:rPr>
              <w:t xml:space="preserve"> </w:t>
            </w:r>
            <w:r w:rsidRPr="006125C3">
              <w:rPr>
                <w:rFonts w:ascii="Arial" w:hAnsi="Arial" w:cs="Arial"/>
                <w:sz w:val="24"/>
                <w:szCs w:val="24"/>
              </w:rPr>
              <w:t xml:space="preserve">has a close relation to </w:t>
            </w:r>
            <w:r w:rsidRPr="006125C3">
              <w:rPr>
                <w:rFonts w:ascii="Arial" w:hAnsi="Arial" w:cs="Arial"/>
                <w:iCs/>
                <w:sz w:val="24"/>
                <w:szCs w:val="24"/>
              </w:rPr>
              <w:t>who</w:t>
            </w:r>
            <w:r w:rsidRPr="006125C3">
              <w:rPr>
                <w:rFonts w:ascii="Arial" w:hAnsi="Arial" w:cs="Arial"/>
                <w:i/>
                <w:iCs/>
                <w:sz w:val="24"/>
                <w:szCs w:val="24"/>
              </w:rPr>
              <w:t xml:space="preserve"> </w:t>
            </w:r>
            <w:r w:rsidRPr="006125C3">
              <w:rPr>
                <w:rFonts w:ascii="Arial" w:hAnsi="Arial" w:cs="Arial"/>
                <w:sz w:val="24"/>
                <w:szCs w:val="24"/>
              </w:rPr>
              <w:t xml:space="preserve">and </w:t>
            </w:r>
            <w:proofErr w:type="gramStart"/>
            <w:r w:rsidRPr="006125C3">
              <w:rPr>
                <w:rFonts w:ascii="Arial" w:hAnsi="Arial" w:cs="Arial"/>
                <w:iCs/>
                <w:sz w:val="24"/>
                <w:szCs w:val="24"/>
              </w:rPr>
              <w:t>what</w:t>
            </w:r>
            <w:r w:rsidRPr="006125C3">
              <w:rPr>
                <w:rFonts w:ascii="Arial" w:hAnsi="Arial" w:cs="Arial"/>
                <w:sz w:val="24"/>
                <w:szCs w:val="24"/>
              </w:rPr>
              <w:t>.</w:t>
            </w:r>
            <w:proofErr w:type="gramEnd"/>
            <w:r w:rsidRPr="006125C3">
              <w:rPr>
                <w:rFonts w:ascii="Arial" w:hAnsi="Arial" w:cs="Arial"/>
                <w:sz w:val="24"/>
                <w:szCs w:val="24"/>
              </w:rPr>
              <w:t xml:space="preserve"> Determining the reason to interview a witness is associated with who they are and what information they possess. </w:t>
            </w:r>
          </w:p>
          <w:p w:rsidR="000D2F12" w:rsidRPr="006125C3" w:rsidRDefault="000D2F12" w:rsidP="006125C3">
            <w:pPr>
              <w:pStyle w:val="ListParagraph"/>
              <w:numPr>
                <w:ilvl w:val="0"/>
                <w:numId w:val="13"/>
              </w:numPr>
              <w:autoSpaceDE w:val="0"/>
              <w:autoSpaceDN w:val="0"/>
              <w:adjustRightInd w:val="0"/>
              <w:spacing w:line="360" w:lineRule="auto"/>
              <w:rPr>
                <w:rFonts w:ascii="Arial" w:hAnsi="Arial" w:cs="Arial"/>
                <w:sz w:val="24"/>
                <w:szCs w:val="24"/>
              </w:rPr>
            </w:pPr>
            <w:r w:rsidRPr="006125C3">
              <w:rPr>
                <w:rFonts w:ascii="Arial" w:hAnsi="Arial" w:cs="Arial"/>
                <w:sz w:val="24"/>
                <w:szCs w:val="24"/>
              </w:rPr>
              <w:t>Once the investigator establishes what kind of information a witness may be able to provide, he/she can easily explain the importance of interviewing them.</w:t>
            </w:r>
          </w:p>
          <w:p w:rsidR="008A61AE" w:rsidRPr="006125C3" w:rsidRDefault="008A61AE" w:rsidP="006125C3">
            <w:pPr>
              <w:pStyle w:val="ListParagraph"/>
              <w:autoSpaceDE w:val="0"/>
              <w:autoSpaceDN w:val="0"/>
              <w:adjustRightInd w:val="0"/>
              <w:spacing w:line="360" w:lineRule="auto"/>
              <w:rPr>
                <w:rFonts w:ascii="Arial" w:hAnsi="Arial" w:cs="Arial"/>
                <w:sz w:val="24"/>
                <w:szCs w:val="24"/>
              </w:rPr>
            </w:pPr>
          </w:p>
          <w:p w:rsidR="008A61AE" w:rsidRPr="006125C3" w:rsidRDefault="008A61AE"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13"/>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 xml:space="preserve">In justifying why a witness should be interviewed, it is important to determine the order in which interviews will take place. In other words, </w:t>
            </w:r>
            <w:r w:rsidRPr="006125C3">
              <w:rPr>
                <w:rFonts w:ascii="Arial" w:hAnsi="Arial" w:cs="Arial"/>
                <w:iCs/>
                <w:sz w:val="24"/>
                <w:szCs w:val="24"/>
              </w:rPr>
              <w:t>timing</w:t>
            </w:r>
            <w:r w:rsidRPr="006125C3">
              <w:rPr>
                <w:rFonts w:ascii="Arial" w:hAnsi="Arial" w:cs="Arial"/>
                <w:i/>
                <w:iCs/>
                <w:sz w:val="24"/>
                <w:szCs w:val="24"/>
              </w:rPr>
              <w:t xml:space="preserve"> </w:t>
            </w:r>
            <w:r w:rsidRPr="006125C3">
              <w:rPr>
                <w:rFonts w:ascii="Arial" w:hAnsi="Arial" w:cs="Arial"/>
                <w:sz w:val="24"/>
                <w:szCs w:val="24"/>
              </w:rPr>
              <w:t>is part of the justification for interviewing a witness.</w:t>
            </w:r>
          </w:p>
          <w:p w:rsidR="000D2F12" w:rsidRPr="006125C3" w:rsidRDefault="000D2F12" w:rsidP="006125C3">
            <w:pPr>
              <w:pStyle w:val="ListParagraph"/>
              <w:numPr>
                <w:ilvl w:val="0"/>
                <w:numId w:val="13"/>
              </w:numPr>
              <w:autoSpaceDE w:val="0"/>
              <w:autoSpaceDN w:val="0"/>
              <w:adjustRightInd w:val="0"/>
              <w:spacing w:line="360" w:lineRule="auto"/>
              <w:rPr>
                <w:rFonts w:ascii="Arial" w:hAnsi="Arial" w:cs="Arial"/>
                <w:sz w:val="24"/>
                <w:szCs w:val="24"/>
              </w:rPr>
            </w:pPr>
            <w:r w:rsidRPr="006125C3">
              <w:rPr>
                <w:rFonts w:ascii="Arial" w:hAnsi="Arial" w:cs="Arial"/>
                <w:sz w:val="24"/>
                <w:szCs w:val="24"/>
              </w:rPr>
              <w:t>Some witnesses should be interviewed during the intelligence-gathering phase because of their ability to provide background information, while others are more important for providing the finer points.</w:t>
            </w:r>
          </w:p>
          <w:p w:rsidR="008A61AE" w:rsidRPr="006125C3" w:rsidRDefault="000D2F12" w:rsidP="006125C3">
            <w:pPr>
              <w:pStyle w:val="ListParagraph"/>
              <w:autoSpaceDE w:val="0"/>
              <w:autoSpaceDN w:val="0"/>
              <w:adjustRightInd w:val="0"/>
              <w:spacing w:line="360" w:lineRule="auto"/>
              <w:ind w:left="1155"/>
              <w:rPr>
                <w:rFonts w:ascii="Arial" w:hAnsi="Arial" w:cs="Arial"/>
                <w:sz w:val="24"/>
                <w:szCs w:val="24"/>
              </w:rPr>
            </w:pPr>
            <w:r w:rsidRPr="006125C3">
              <w:rPr>
                <w:rFonts w:ascii="Arial" w:hAnsi="Arial" w:cs="Arial"/>
                <w:sz w:val="24"/>
                <w:szCs w:val="24"/>
              </w:rPr>
              <w:t xml:space="preserve">For example, accountants, bankers and stockbrokers may provide a larger perspective and more background information than the accounts payable clerk, who will be able to provide the fine details of individual transactions. </w:t>
            </w:r>
          </w:p>
          <w:p w:rsidR="000D2F12"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t>Both kinds of information are equally important but they should be obtained in a particular order.</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9"/>
              </w:numPr>
              <w:autoSpaceDE w:val="0"/>
              <w:autoSpaceDN w:val="0"/>
              <w:adjustRightInd w:val="0"/>
              <w:spacing w:line="360" w:lineRule="auto"/>
              <w:rPr>
                <w:rFonts w:ascii="Arial" w:hAnsi="Arial" w:cs="Arial"/>
                <w:sz w:val="24"/>
                <w:szCs w:val="24"/>
                <w:u w:val="single"/>
              </w:rPr>
            </w:pPr>
            <w:r w:rsidRPr="006125C3">
              <w:rPr>
                <w:rFonts w:ascii="Arial" w:hAnsi="Arial" w:cs="Arial"/>
                <w:sz w:val="24"/>
                <w:szCs w:val="24"/>
                <w:u w:val="single"/>
              </w:rPr>
              <w:t>WHEN?</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drawing>
                <wp:inline distT="0" distB="0" distL="0" distR="0">
                  <wp:extent cx="2219325" cy="1362075"/>
                  <wp:effectExtent l="95250" t="95250" r="104775" b="1047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5).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19325" cy="13620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Determining when to interview a witness (as opposed to merely determining the order of interviews) is another aspect of planning an interview. It is important to consider the time of day when the interview is to be conducted and determine the perfect time for it. </w:t>
            </w:r>
          </w:p>
          <w:p w:rsidR="000D2F12"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Although there is no “perfect” time for an interview, sometimes are better than others. Suppose the interviewee is a CFO. </w:t>
            </w:r>
          </w:p>
          <w:p w:rsidR="000D2F12"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t>He/she is bound to have a busy schedule; therefore, the interview time should take this into consideration. On the other hand, bankers and stockbrokers may have flexible timings or relaxed schedules at certain times of the week; hence, these would be appropriate times for which to schedule the interview.</w:t>
            </w: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It is the investigator’s responsibility to recognize the most hectic, and therefore the worst, times for scheduling an interview and make efforts to create a friendly or relaxed atmosphere for the witness.</w:t>
            </w:r>
          </w:p>
          <w:p w:rsidR="00AA09D6"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Professionals who agree to meetings during lunch hours or at the last moment will probably consider it a waste of time answering questions about another person’s finances. </w:t>
            </w:r>
          </w:p>
          <w:p w:rsidR="000D2F12" w:rsidRPr="006125C3" w:rsidRDefault="000D2F12" w:rsidP="006125C3">
            <w:pPr>
              <w:pStyle w:val="ListParagraph"/>
              <w:numPr>
                <w:ilvl w:val="0"/>
                <w:numId w:val="14"/>
              </w:numPr>
              <w:autoSpaceDE w:val="0"/>
              <w:autoSpaceDN w:val="0"/>
              <w:adjustRightInd w:val="0"/>
              <w:spacing w:line="360" w:lineRule="auto"/>
              <w:rPr>
                <w:rFonts w:ascii="Arial" w:hAnsi="Arial" w:cs="Arial"/>
                <w:sz w:val="24"/>
                <w:szCs w:val="24"/>
              </w:rPr>
            </w:pPr>
            <w:r w:rsidRPr="006125C3">
              <w:rPr>
                <w:rFonts w:ascii="Arial" w:hAnsi="Arial" w:cs="Arial"/>
                <w:sz w:val="24"/>
                <w:szCs w:val="24"/>
              </w:rPr>
              <w:t>This is when investigators need to be patient and ensure that the atmosphere does not become too strained. It is wise to avoid hectic time slots for interviewing witnesses; rather, the witnesses should be asked which time suits them best and the interviews scheduled accordingly.</w:t>
            </w:r>
          </w:p>
          <w:p w:rsidR="000D2F12" w:rsidRPr="006125C3" w:rsidRDefault="000D2F12"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9"/>
              </w:numPr>
              <w:autoSpaceDE w:val="0"/>
              <w:autoSpaceDN w:val="0"/>
              <w:adjustRightInd w:val="0"/>
              <w:spacing w:line="360" w:lineRule="auto"/>
              <w:rPr>
                <w:rFonts w:ascii="Arial" w:hAnsi="Arial" w:cs="Arial"/>
                <w:sz w:val="24"/>
                <w:szCs w:val="24"/>
                <w:u w:val="single"/>
              </w:rPr>
            </w:pPr>
            <w:r w:rsidRPr="006125C3">
              <w:rPr>
                <w:rFonts w:ascii="Arial" w:hAnsi="Arial" w:cs="Arial"/>
                <w:bCs/>
                <w:sz w:val="24"/>
                <w:szCs w:val="24"/>
                <w:u w:val="single"/>
              </w:rPr>
              <w:t>WHERE?</w:t>
            </w:r>
          </w:p>
          <w:p w:rsidR="000D2F12" w:rsidRPr="006125C3" w:rsidRDefault="000D2F12" w:rsidP="006125C3">
            <w:pPr>
              <w:pStyle w:val="ListParagraph"/>
              <w:autoSpaceDE w:val="0"/>
              <w:autoSpaceDN w:val="0"/>
              <w:adjustRightInd w:val="0"/>
              <w:spacing w:line="360" w:lineRule="auto"/>
              <w:rPr>
                <w:rFonts w:ascii="Arial" w:hAnsi="Arial" w:cs="Arial"/>
                <w:color w:val="000000"/>
                <w:sz w:val="24"/>
                <w:szCs w:val="24"/>
              </w:rPr>
            </w:pPr>
            <w:r w:rsidRPr="006125C3">
              <w:rPr>
                <w:rFonts w:ascii="Arial" w:hAnsi="Arial" w:cs="Arial"/>
                <w:noProof/>
                <w:color w:val="000000"/>
                <w:sz w:val="24"/>
                <w:szCs w:val="24"/>
              </w:rPr>
              <w:drawing>
                <wp:inline distT="0" distB="0" distL="0" distR="0">
                  <wp:extent cx="2857500" cy="1447800"/>
                  <wp:effectExtent l="95250" t="95250" r="95250" b="952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6).jp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7500" cy="1447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pStyle w:val="ListParagraph"/>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numPr>
                <w:ilvl w:val="0"/>
                <w:numId w:val="1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The place where the interview is conducted is important and needs to be chosen carefully. The investigator may have several options such as the witness’s workplace, his/her home or some neutral venue. </w:t>
            </w:r>
          </w:p>
          <w:p w:rsidR="000D2F12" w:rsidRPr="006125C3" w:rsidRDefault="000D2F12" w:rsidP="006125C3">
            <w:pPr>
              <w:pStyle w:val="ListParagraph"/>
              <w:numPr>
                <w:ilvl w:val="0"/>
                <w:numId w:val="1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Each venue will have its own set of pros and cons. The role played by the witness in the crime will determine how comfortable the investigator wants the interviewee to feel. </w:t>
            </w:r>
          </w:p>
          <w:p w:rsidR="000D2F12" w:rsidRPr="006125C3" w:rsidRDefault="000D2F12" w:rsidP="006125C3">
            <w:pPr>
              <w:pStyle w:val="ListParagraph"/>
              <w:numPr>
                <w:ilvl w:val="0"/>
                <w:numId w:val="1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No-party bankers, brokers and professionals may want to be interviewed in their own offices; similarly, suspects may also want to be interviewed on ‘their own turf’. </w:t>
            </w:r>
          </w:p>
          <w:p w:rsidR="000D2F12" w:rsidRPr="006125C3" w:rsidRDefault="000D2F12" w:rsidP="006125C3">
            <w:pPr>
              <w:pStyle w:val="ListParagraph"/>
              <w:numPr>
                <w:ilvl w:val="0"/>
                <w:numId w:val="1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The investigator may decide that interviewing the suspect in a location where they feel comfortable may not be the best idea strategically.</w:t>
            </w:r>
          </w:p>
          <w:p w:rsidR="008A61AE" w:rsidRPr="006125C3" w:rsidRDefault="008A61AE" w:rsidP="006125C3">
            <w:pPr>
              <w:autoSpaceDE w:val="0"/>
              <w:autoSpaceDN w:val="0"/>
              <w:adjustRightInd w:val="0"/>
              <w:spacing w:line="360" w:lineRule="auto"/>
              <w:rPr>
                <w:rFonts w:ascii="Arial" w:hAnsi="Arial" w:cs="Arial"/>
                <w:color w:val="000000"/>
                <w:sz w:val="24"/>
                <w:szCs w:val="24"/>
              </w:rPr>
            </w:pPr>
          </w:p>
          <w:p w:rsidR="008A61AE" w:rsidRPr="006125C3" w:rsidRDefault="008A61AE"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numPr>
                <w:ilvl w:val="0"/>
                <w:numId w:val="1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lastRenderedPageBreak/>
              <w:t>Investigators usually manipulate the psychological pressure on the suspect and use it to minimize the resistance to confession. As long as this practice is not abused, it can be an effective investigation tactic.</w:t>
            </w:r>
          </w:p>
          <w:p w:rsidR="000D2F12" w:rsidRPr="006125C3" w:rsidRDefault="000D2F12" w:rsidP="006125C3">
            <w:pPr>
              <w:pStyle w:val="ListParagraph"/>
              <w:numPr>
                <w:ilvl w:val="0"/>
                <w:numId w:val="15"/>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Another tactic is to take the suspect out of their psychological comfort zone and place them in the investigator’s element. The pressure on the suspect will be considerably higher in the investigator’s office, an attorney’s office or a police precinct.</w:t>
            </w:r>
          </w:p>
          <w:p w:rsidR="00AA09D6" w:rsidRPr="006125C3" w:rsidRDefault="00AA09D6"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numPr>
                <w:ilvl w:val="0"/>
                <w:numId w:val="9"/>
              </w:numPr>
              <w:autoSpaceDE w:val="0"/>
              <w:autoSpaceDN w:val="0"/>
              <w:adjustRightInd w:val="0"/>
              <w:spacing w:line="360" w:lineRule="auto"/>
              <w:rPr>
                <w:rFonts w:ascii="Arial" w:hAnsi="Arial" w:cs="Arial"/>
                <w:color w:val="000000"/>
                <w:sz w:val="24"/>
                <w:szCs w:val="24"/>
                <w:u w:val="single"/>
              </w:rPr>
            </w:pPr>
            <w:r w:rsidRPr="006125C3">
              <w:rPr>
                <w:rFonts w:ascii="Arial" w:hAnsi="Arial" w:cs="Arial"/>
                <w:color w:val="000000"/>
                <w:sz w:val="24"/>
                <w:szCs w:val="24"/>
                <w:u w:val="single"/>
              </w:rPr>
              <w:t>HOW?</w:t>
            </w:r>
          </w:p>
          <w:p w:rsidR="000D2F12" w:rsidRPr="006125C3" w:rsidRDefault="000D2F12" w:rsidP="006125C3">
            <w:pPr>
              <w:pStyle w:val="ListParagraph"/>
              <w:autoSpaceDE w:val="0"/>
              <w:autoSpaceDN w:val="0"/>
              <w:adjustRightInd w:val="0"/>
              <w:spacing w:line="360" w:lineRule="auto"/>
              <w:rPr>
                <w:rFonts w:ascii="Arial" w:hAnsi="Arial" w:cs="Arial"/>
                <w:color w:val="000000"/>
                <w:sz w:val="24"/>
                <w:szCs w:val="24"/>
                <w:u w:val="single"/>
              </w:rPr>
            </w:pPr>
            <w:r w:rsidRPr="006125C3">
              <w:rPr>
                <w:rFonts w:ascii="Arial" w:hAnsi="Arial" w:cs="Arial"/>
                <w:noProof/>
                <w:sz w:val="24"/>
                <w:szCs w:val="24"/>
              </w:rPr>
              <w:drawing>
                <wp:inline distT="0" distB="0" distL="0" distR="0">
                  <wp:extent cx="2828925" cy="1485900"/>
                  <wp:effectExtent l="95250" t="95250" r="104775" b="952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rding-instructor1.jp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28925" cy="14859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pStyle w:val="ListParagraph"/>
              <w:autoSpaceDE w:val="0"/>
              <w:autoSpaceDN w:val="0"/>
              <w:adjustRightInd w:val="0"/>
              <w:spacing w:line="360" w:lineRule="auto"/>
              <w:rPr>
                <w:rFonts w:ascii="Arial" w:hAnsi="Arial" w:cs="Arial"/>
                <w:color w:val="000000"/>
                <w:sz w:val="24"/>
                <w:szCs w:val="24"/>
                <w:u w:val="single"/>
              </w:rPr>
            </w:pP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 investigator has several options in terms of how to interview the witness. These include </w:t>
            </w:r>
            <w:r w:rsidR="00AA09D6" w:rsidRPr="006125C3">
              <w:rPr>
                <w:rFonts w:ascii="Arial" w:hAnsi="Arial" w:cs="Arial"/>
                <w:sz w:val="24"/>
                <w:szCs w:val="24"/>
              </w:rPr>
              <w:t>audio taping</w:t>
            </w:r>
            <w:r w:rsidRPr="006125C3">
              <w:rPr>
                <w:rFonts w:ascii="Arial" w:hAnsi="Arial" w:cs="Arial"/>
                <w:sz w:val="24"/>
                <w:szCs w:val="24"/>
              </w:rPr>
              <w:t xml:space="preserve">, videotaping, and recording the interview steno graphically. While all three options are acceptable, the investigator must ensure that the interview is recorded. </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There are a number of reasons why interviews should be recorded. </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Firstly, recording protects the investigator, since no one will be able to attribute statements to the investigator that he/she did not make, and any accusations of threats made against the suspect can be swiftly dismissed.</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A defense attorney making a case against the voluntariness of a statement might use the videotape to observe the investigator’s proximity to the witness/suspect.</w:t>
            </w:r>
          </w:p>
          <w:p w:rsidR="008A61AE" w:rsidRPr="006125C3" w:rsidRDefault="008A61AE"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Moreover, certain noises such as a palm slammed on the table or a dropped book may sound like intimidation tactics on audiotape; therefore it is helpful to record such incidents on video in order that the sounds might be accompanied by images.</w:t>
            </w:r>
          </w:p>
          <w:p w:rsidR="00AA09D6"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Recording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0D2F12" w:rsidRPr="006125C3" w:rsidRDefault="000D2F12" w:rsidP="006125C3">
            <w:pPr>
              <w:pStyle w:val="ListParagraph"/>
              <w:numPr>
                <w:ilvl w:val="0"/>
                <w:numId w:val="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Recordings run the risk of being misplaced, destroyed or altered, but they are much more durable and last much longer than an average person’s memory. </w:t>
            </w:r>
          </w:p>
          <w:p w:rsidR="000D2F12" w:rsidRPr="006125C3" w:rsidRDefault="000D2F12"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numPr>
                <w:ilvl w:val="0"/>
                <w:numId w:val="2"/>
              </w:numPr>
              <w:autoSpaceDE w:val="0"/>
              <w:autoSpaceDN w:val="0"/>
              <w:adjustRightInd w:val="0"/>
              <w:spacing w:line="360" w:lineRule="auto"/>
              <w:rPr>
                <w:rFonts w:ascii="Arial" w:hAnsi="Arial" w:cs="Arial"/>
                <w:color w:val="000000"/>
                <w:sz w:val="24"/>
                <w:szCs w:val="24"/>
              </w:rPr>
            </w:pPr>
          </w:p>
          <w:p w:rsidR="000D2F12" w:rsidRPr="006125C3" w:rsidRDefault="000D2F12" w:rsidP="006125C3">
            <w:pPr>
              <w:autoSpaceDE w:val="0"/>
              <w:autoSpaceDN w:val="0"/>
              <w:adjustRightInd w:val="0"/>
              <w:spacing w:line="360" w:lineRule="auto"/>
              <w:ind w:firstLine="720"/>
              <w:rPr>
                <w:rFonts w:ascii="Arial" w:hAnsi="Arial" w:cs="Arial"/>
                <w:bCs/>
                <w:sz w:val="24"/>
                <w:szCs w:val="24"/>
                <w:u w:val="single"/>
              </w:rPr>
            </w:pPr>
            <w:r w:rsidRPr="006125C3">
              <w:rPr>
                <w:rFonts w:ascii="Arial" w:hAnsi="Arial" w:cs="Arial"/>
                <w:bCs/>
                <w:sz w:val="24"/>
                <w:szCs w:val="24"/>
                <w:u w:val="single"/>
              </w:rPr>
              <w:t>The Interview Process</w:t>
            </w:r>
          </w:p>
          <w:p w:rsidR="000D2F12" w:rsidRPr="006125C3" w:rsidRDefault="000D2F12" w:rsidP="006125C3">
            <w:pPr>
              <w:autoSpaceDE w:val="0"/>
              <w:autoSpaceDN w:val="0"/>
              <w:adjustRightInd w:val="0"/>
              <w:spacing w:line="360" w:lineRule="auto"/>
              <w:ind w:firstLine="720"/>
              <w:rPr>
                <w:rFonts w:ascii="Arial" w:hAnsi="Arial" w:cs="Arial"/>
                <w:bCs/>
                <w:color w:val="EE7D31"/>
                <w:sz w:val="24"/>
                <w:szCs w:val="24"/>
                <w:u w:val="single"/>
              </w:rPr>
            </w:pPr>
          </w:p>
          <w:p w:rsidR="000D2F12" w:rsidRPr="006125C3" w:rsidRDefault="000D2F12" w:rsidP="006125C3">
            <w:pPr>
              <w:autoSpaceDE w:val="0"/>
              <w:autoSpaceDN w:val="0"/>
              <w:adjustRightInd w:val="0"/>
              <w:spacing w:line="360" w:lineRule="auto"/>
              <w:ind w:firstLine="720"/>
              <w:rPr>
                <w:rFonts w:ascii="Arial" w:hAnsi="Arial" w:cs="Arial"/>
                <w:b/>
                <w:color w:val="000000"/>
                <w:sz w:val="24"/>
                <w:szCs w:val="24"/>
                <w:u w:val="single"/>
              </w:rPr>
            </w:pPr>
            <w:r w:rsidRPr="006125C3">
              <w:rPr>
                <w:rFonts w:ascii="Arial" w:hAnsi="Arial" w:cs="Arial"/>
                <w:b/>
                <w:color w:val="000000"/>
                <w:sz w:val="24"/>
                <w:szCs w:val="24"/>
                <w:u w:val="single"/>
              </w:rPr>
              <w:t>INTRODUCTION:</w:t>
            </w:r>
          </w:p>
          <w:p w:rsidR="000D2F12" w:rsidRPr="006125C3" w:rsidRDefault="000D2F12" w:rsidP="006125C3">
            <w:pPr>
              <w:autoSpaceDE w:val="0"/>
              <w:autoSpaceDN w:val="0"/>
              <w:adjustRightInd w:val="0"/>
              <w:spacing w:line="360" w:lineRule="auto"/>
              <w:ind w:firstLine="720"/>
              <w:rPr>
                <w:rFonts w:ascii="Arial" w:hAnsi="Arial" w:cs="Arial"/>
                <w:b/>
                <w:color w:val="000000"/>
                <w:sz w:val="24"/>
                <w:szCs w:val="24"/>
                <w:u w:val="single"/>
              </w:rPr>
            </w:pP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 xml:space="preserve">Interviews can be divided into two categories: suspect and witness. The distinguishing factor between these two categories is the use of the terms “interview” and “interrogation”, as “interview” implies non suspect and “interrogation” signifies suspect. Interrogations are interviews with a person or persons who are suspected of committing or being involved in a crime. </w:t>
            </w: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color w:val="000000"/>
                <w:sz w:val="24"/>
                <w:szCs w:val="24"/>
              </w:rPr>
            </w:pPr>
            <w:r w:rsidRPr="006125C3">
              <w:rPr>
                <w:rFonts w:ascii="Arial" w:hAnsi="Arial" w:cs="Arial"/>
                <w:color w:val="000000"/>
                <w:sz w:val="24"/>
                <w:szCs w:val="24"/>
              </w:rPr>
              <w:t>Witness interviews, on the other hand, are of a different nature.</w:t>
            </w:r>
          </w:p>
          <w:p w:rsidR="000D2F12" w:rsidRPr="006125C3" w:rsidRDefault="000D2F12"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color w:val="000000"/>
                <w:sz w:val="24"/>
                <w:szCs w:val="24"/>
              </w:rPr>
            </w:pPr>
            <w:r w:rsidRPr="006125C3">
              <w:rPr>
                <w:rFonts w:ascii="Arial" w:hAnsi="Arial" w:cs="Arial"/>
                <w:noProof/>
                <w:color w:val="000000"/>
                <w:sz w:val="24"/>
                <w:szCs w:val="24"/>
              </w:rPr>
              <w:drawing>
                <wp:inline distT="0" distB="0" distL="0" distR="0">
                  <wp:extent cx="4550735" cy="1690576"/>
                  <wp:effectExtent l="0" t="0" r="0" b="4874"/>
                  <wp:docPr id="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0D2F12" w:rsidRPr="006125C3" w:rsidRDefault="000D2F12" w:rsidP="006125C3">
            <w:pPr>
              <w:autoSpaceDE w:val="0"/>
              <w:autoSpaceDN w:val="0"/>
              <w:adjustRightInd w:val="0"/>
              <w:spacing w:line="360" w:lineRule="auto"/>
              <w:rPr>
                <w:rFonts w:ascii="Arial" w:hAnsi="Arial" w:cs="Arial"/>
                <w:color w:val="000000"/>
                <w:sz w:val="24"/>
                <w:szCs w:val="24"/>
              </w:rPr>
            </w:pPr>
          </w:p>
          <w:p w:rsidR="008A61AE" w:rsidRPr="006125C3" w:rsidRDefault="008A61AE" w:rsidP="006125C3">
            <w:pPr>
              <w:autoSpaceDE w:val="0"/>
              <w:autoSpaceDN w:val="0"/>
              <w:adjustRightInd w:val="0"/>
              <w:spacing w:line="360" w:lineRule="auto"/>
              <w:rPr>
                <w:rFonts w:ascii="Arial" w:hAnsi="Arial" w:cs="Arial"/>
                <w:color w:val="000000"/>
                <w:sz w:val="24"/>
                <w:szCs w:val="24"/>
              </w:rPr>
            </w:pP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Interviews can take different forms from open-ended to pre determined. The</w:t>
            </w:r>
          </w:p>
          <w:p w:rsidR="00AA09D6"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Semi-structured interview is the most common form.</w:t>
            </w:r>
          </w:p>
          <w:p w:rsidR="00AA09D6" w:rsidRPr="006125C3" w:rsidRDefault="00AA09D6"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b/>
                <w:sz w:val="24"/>
                <w:szCs w:val="24"/>
                <w:u w:val="single"/>
              </w:rPr>
            </w:pPr>
            <w:r w:rsidRPr="006125C3">
              <w:rPr>
                <w:rFonts w:ascii="Arial" w:hAnsi="Arial" w:cs="Arial"/>
                <w:b/>
                <w:sz w:val="24"/>
                <w:szCs w:val="24"/>
                <w:u w:val="single"/>
              </w:rPr>
              <w:t>MAIN ANSWER:</w:t>
            </w:r>
          </w:p>
          <w:p w:rsidR="000D2F12" w:rsidRPr="006125C3" w:rsidRDefault="000D2F12" w:rsidP="006125C3">
            <w:pPr>
              <w:pStyle w:val="ListParagraph"/>
              <w:autoSpaceDE w:val="0"/>
              <w:autoSpaceDN w:val="0"/>
              <w:adjustRightInd w:val="0"/>
              <w:spacing w:line="360" w:lineRule="auto"/>
              <w:rPr>
                <w:rFonts w:ascii="Arial" w:hAnsi="Arial" w:cs="Arial"/>
                <w:b/>
                <w:sz w:val="24"/>
                <w:szCs w:val="24"/>
                <w:u w:val="single"/>
              </w:rPr>
            </w:pPr>
          </w:p>
          <w:p w:rsidR="000D2F12" w:rsidRPr="006125C3" w:rsidRDefault="000D2F12" w:rsidP="006125C3">
            <w:pPr>
              <w:pStyle w:val="ListParagraph"/>
              <w:autoSpaceDE w:val="0"/>
              <w:autoSpaceDN w:val="0"/>
              <w:adjustRightInd w:val="0"/>
              <w:spacing w:line="360" w:lineRule="auto"/>
              <w:rPr>
                <w:rFonts w:ascii="Arial" w:hAnsi="Arial" w:cs="Arial"/>
                <w:bCs/>
                <w:sz w:val="24"/>
                <w:szCs w:val="24"/>
                <w:u w:val="single"/>
              </w:rPr>
            </w:pPr>
            <w:r w:rsidRPr="006125C3">
              <w:rPr>
                <w:rFonts w:ascii="Arial" w:hAnsi="Arial" w:cs="Arial"/>
                <w:bCs/>
                <w:sz w:val="24"/>
                <w:szCs w:val="24"/>
                <w:u w:val="single"/>
              </w:rPr>
              <w:t>The Cognitive Interview:</w:t>
            </w:r>
          </w:p>
          <w:p w:rsidR="000D2F12" w:rsidRPr="006125C3" w:rsidRDefault="000D2F12" w:rsidP="006125C3">
            <w:pPr>
              <w:pStyle w:val="ListParagraph"/>
              <w:autoSpaceDE w:val="0"/>
              <w:autoSpaceDN w:val="0"/>
              <w:adjustRightInd w:val="0"/>
              <w:spacing w:line="360" w:lineRule="auto"/>
              <w:rPr>
                <w:rFonts w:ascii="Arial" w:hAnsi="Arial" w:cs="Arial"/>
                <w:bCs/>
                <w:sz w:val="24"/>
                <w:szCs w:val="24"/>
                <w:u w:val="single"/>
              </w:rPr>
            </w:pPr>
          </w:p>
          <w:p w:rsidR="000D2F12" w:rsidRPr="006125C3" w:rsidRDefault="000D2F12" w:rsidP="006125C3">
            <w:pPr>
              <w:autoSpaceDE w:val="0"/>
              <w:autoSpaceDN w:val="0"/>
              <w:adjustRightInd w:val="0"/>
              <w:spacing w:line="360" w:lineRule="auto"/>
              <w:rPr>
                <w:rFonts w:ascii="Arial" w:hAnsi="Arial" w:cs="Arial"/>
                <w:bCs/>
                <w:sz w:val="24"/>
                <w:szCs w:val="24"/>
              </w:rPr>
            </w:pPr>
            <w:r w:rsidRPr="006125C3">
              <w:rPr>
                <w:rFonts w:ascii="Arial" w:hAnsi="Arial" w:cs="Arial"/>
                <w:bCs/>
                <w:sz w:val="24"/>
                <w:szCs w:val="24"/>
              </w:rPr>
              <w:tab/>
            </w:r>
            <w:r w:rsidRPr="006125C3">
              <w:rPr>
                <w:rFonts w:ascii="Arial" w:hAnsi="Arial" w:cs="Arial"/>
                <w:bCs/>
                <w:noProof/>
                <w:sz w:val="24"/>
                <w:szCs w:val="24"/>
              </w:rPr>
              <w:drawing>
                <wp:inline distT="0" distB="0" distL="0" distR="0">
                  <wp:extent cx="2171700" cy="1676400"/>
                  <wp:effectExtent l="95250" t="95250" r="95250" b="952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7).jp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71700" cy="16764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D2F12" w:rsidRPr="006125C3" w:rsidRDefault="000D2F12" w:rsidP="006125C3">
            <w:pPr>
              <w:autoSpaceDE w:val="0"/>
              <w:autoSpaceDN w:val="0"/>
              <w:adjustRightInd w:val="0"/>
              <w:spacing w:line="360" w:lineRule="auto"/>
              <w:rPr>
                <w:rFonts w:ascii="Arial" w:hAnsi="Arial" w:cs="Arial"/>
                <w:bCs/>
                <w:sz w:val="24"/>
                <w:szCs w:val="24"/>
              </w:rPr>
            </w:pP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Dr R. Edward Geiselman, a professor of psychology at UCLA in 1984, and </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Dr Ronald .Fisher, Dr Geiselman’s associate, along with their colleagues, developed the theory underlying </w:t>
            </w:r>
            <w:r w:rsidRPr="006125C3">
              <w:rPr>
                <w:rFonts w:ascii="Arial" w:hAnsi="Arial" w:cs="Arial"/>
                <w:sz w:val="24"/>
                <w:szCs w:val="24"/>
                <w:u w:val="single"/>
              </w:rPr>
              <w:t>cognitive interviewing</w:t>
            </w:r>
            <w:r w:rsidRPr="006125C3">
              <w:rPr>
                <w:rFonts w:ascii="Arial" w:hAnsi="Arial" w:cs="Arial"/>
                <w:sz w:val="24"/>
                <w:szCs w:val="24"/>
              </w:rPr>
              <w:t xml:space="preserve"> tactics. They also developed a breakthrough in the interviewing technique, known as </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sz w:val="24"/>
                <w:szCs w:val="24"/>
                <w:u w:val="single"/>
              </w:rPr>
              <w:t>Structured Interview (SI</w:t>
            </w:r>
            <w:r w:rsidRPr="006125C3">
              <w:rPr>
                <w:rFonts w:ascii="Arial" w:hAnsi="Arial" w:cs="Arial"/>
                <w:sz w:val="24"/>
                <w:szCs w:val="24"/>
              </w:rPr>
              <w:t xml:space="preserve">). </w:t>
            </w: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 cognitive interview is basically an expansion of SI, as it includes additional strategies designed to enhance the witness’s memory. The strategies underlying cognitive interview are based on certain theories and hypotheses. </w:t>
            </w: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 first hypothesis is that remembered, or encoded, information is stored as discrete units or records that contain data relevant to the observed event. These data are indexed by headings and the matching record can be found through descriptions. </w:t>
            </w:r>
          </w:p>
          <w:p w:rsidR="000D2F12" w:rsidRPr="006125C3" w:rsidRDefault="000D2F12" w:rsidP="006125C3">
            <w:pPr>
              <w:pStyle w:val="ListParagraph"/>
              <w:numPr>
                <w:ilvl w:val="0"/>
                <w:numId w:val="16"/>
              </w:numPr>
              <w:autoSpaceDE w:val="0"/>
              <w:autoSpaceDN w:val="0"/>
              <w:adjustRightInd w:val="0"/>
              <w:spacing w:line="360" w:lineRule="auto"/>
              <w:rPr>
                <w:rFonts w:ascii="Arial" w:hAnsi="Arial" w:cs="Arial"/>
                <w:sz w:val="24"/>
                <w:szCs w:val="24"/>
              </w:rPr>
            </w:pPr>
            <w:r w:rsidRPr="006125C3">
              <w:rPr>
                <w:rFonts w:ascii="Arial" w:hAnsi="Arial" w:cs="Arial"/>
                <w:sz w:val="24"/>
                <w:szCs w:val="24"/>
              </w:rPr>
              <w:t>Part of this description is the context, or the environment in which the event was recorded. The recreation of environment and the context helps the individual to access the record and details related to it.</w:t>
            </w: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0D2F12" w:rsidP="006125C3">
            <w:pPr>
              <w:pStyle w:val="ListParagraph"/>
              <w:numPr>
                <w:ilvl w:val="0"/>
                <w:numId w:val="16"/>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The second hypothesis states that our memories comprise a network of associations rather than discrete units. Therefore, it is possible to access memories through different paths.</w:t>
            </w:r>
          </w:p>
          <w:p w:rsidR="000D2F12" w:rsidRPr="006125C3" w:rsidRDefault="000D2F12" w:rsidP="006125C3">
            <w:pPr>
              <w:pStyle w:val="ListParagraph"/>
              <w:autoSpaceDE w:val="0"/>
              <w:autoSpaceDN w:val="0"/>
              <w:adjustRightInd w:val="0"/>
              <w:spacing w:line="360" w:lineRule="auto"/>
              <w:ind w:left="1500"/>
              <w:rPr>
                <w:rFonts w:ascii="Arial" w:hAnsi="Arial" w:cs="Arial"/>
                <w:sz w:val="24"/>
                <w:szCs w:val="24"/>
              </w:rPr>
            </w:pPr>
            <w:r w:rsidRPr="006125C3">
              <w:rPr>
                <w:rFonts w:ascii="Arial" w:hAnsi="Arial" w:cs="Arial"/>
                <w:sz w:val="24"/>
                <w:szCs w:val="24"/>
                <w:u w:val="single"/>
              </w:rPr>
              <w:t>For example</w:t>
            </w:r>
            <w:r w:rsidRPr="006125C3">
              <w:rPr>
                <w:rFonts w:ascii="Arial" w:hAnsi="Arial" w:cs="Arial"/>
                <w:sz w:val="24"/>
                <w:szCs w:val="24"/>
              </w:rPr>
              <w:t xml:space="preserve">, shifting the temporal perspective, such as starting from the end of    an event and working backwards, may trigger a memory. </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The schema theory is the third model of the cognitive interview process. According to this theory, a script guides the encoding of familiar events in our brains. When a familiar event is observed, it is organized into a hierarchy of slots depending on the script. </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New events are assigned slots based on the familiar slots that have already been scripted by the brain. This enables the brain to encode information based.</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process of conducting cognitive interviews involves a multiphase approach and incorporates several techniques in order to enhance communication. Phase one is free report, phase two involves questioning, and phase three is referred to as second retrieval.</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During this process the investigator employs memory recall techniques that are consistent with the cognitive approach. Phase one involves transferring emotional control to the witness. </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Phase two involves a basic line of questioning based on the witness’s recollection of the event. </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Phase three is the process where the interviewer, having asked all the basic questions, now directs the witness to make a second attempt to retrieve the information that they could not recall during the first report. </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During all three phases, it is important that the interviewer use cognitive techniques to enable witnesses to recall the relevant information. </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While the interviewer encourages the witness to visually recreate the event, the witness recalls the context within which the event occurred. This retrieval enhancement technique is consistent with the first model of memory encoding, as it helps the witness recall hidden details and increases the overlap between the event and its context.</w:t>
            </w: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After the witness has recreated the scene, the interviewer might further probe about the particulars of the scene such as asking about the description of the room, the people in the room, and the physical sensations that the witnesses felt.</w: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b/>
                <w:sz w:val="24"/>
                <w:szCs w:val="24"/>
                <w:u w:val="single"/>
              </w:rPr>
            </w:pPr>
            <w:r w:rsidRPr="006125C3">
              <w:rPr>
                <w:rFonts w:ascii="Arial" w:hAnsi="Arial" w:cs="Arial"/>
                <w:b/>
                <w:sz w:val="24"/>
                <w:szCs w:val="24"/>
                <w:u w:val="single"/>
              </w:rPr>
              <w:t>TECHNIQUE</w:t>
            </w:r>
          </w:p>
          <w:p w:rsidR="000D2F12" w:rsidRPr="006125C3" w:rsidRDefault="000D2F12" w:rsidP="006125C3">
            <w:pPr>
              <w:pStyle w:val="ListParagraph"/>
              <w:autoSpaceDE w:val="0"/>
              <w:autoSpaceDN w:val="0"/>
              <w:adjustRightInd w:val="0"/>
              <w:spacing w:line="360" w:lineRule="auto"/>
              <w:rPr>
                <w:rFonts w:ascii="Arial" w:hAnsi="Arial" w:cs="Arial"/>
                <w:b/>
                <w:sz w:val="24"/>
                <w:szCs w:val="24"/>
                <w:u w:val="single"/>
              </w:rPr>
            </w:pPr>
          </w:p>
          <w:p w:rsidR="000D2F12" w:rsidRPr="006125C3" w:rsidRDefault="000014BE" w:rsidP="006125C3">
            <w:pPr>
              <w:pStyle w:val="ListParagraph"/>
              <w:autoSpaceDE w:val="0"/>
              <w:autoSpaceDN w:val="0"/>
              <w:adjustRightInd w:val="0"/>
              <w:spacing w:line="360" w:lineRule="auto"/>
              <w:rPr>
                <w:rFonts w:ascii="Arial" w:hAnsi="Arial" w:cs="Arial"/>
                <w:b/>
                <w:sz w:val="24"/>
                <w:szCs w:val="24"/>
                <w:u w:val="single"/>
              </w:rPr>
            </w:pPr>
            <w:r w:rsidRPr="006125C3">
              <w:rPr>
                <w:rFonts w:ascii="Arial" w:hAnsi="Arial" w:cs="Arial"/>
                <w:noProof/>
                <w:sz w:val="24"/>
                <w:szCs w:val="24"/>
              </w:rPr>
              <w:pict>
                <v:rect id="_x0000_s1052" style="position:absolute;left:0;text-align:left;margin-left:164.35pt;margin-top:11.9pt;width:136.2pt;height:66.2pt;z-index:251685888">
                  <v:textbox style="mso-next-textbox:#_x0000_s1052">
                    <w:txbxContent>
                      <w:p w:rsidR="000014BE" w:rsidRPr="000014BE" w:rsidRDefault="000014BE" w:rsidP="000014BE">
                        <w:pPr>
                          <w:pStyle w:val="NoSpacing"/>
                          <w:rPr>
                            <w:rFonts w:ascii="Arial" w:hAnsi="Arial" w:cs="Arial"/>
                            <w:sz w:val="24"/>
                            <w:szCs w:val="24"/>
                          </w:rPr>
                        </w:pPr>
                        <w:r w:rsidRPr="000014BE">
                          <w:rPr>
                            <w:rFonts w:ascii="Arial" w:hAnsi="Arial" w:cs="Arial"/>
                            <w:sz w:val="24"/>
                            <w:szCs w:val="24"/>
                          </w:rPr>
                          <w:t>Retrieving Challenges</w:t>
                        </w:r>
                      </w:p>
                      <w:p w:rsidR="000014BE" w:rsidRPr="000014BE" w:rsidRDefault="000014BE" w:rsidP="000014BE">
                        <w:pPr>
                          <w:pStyle w:val="NoSpacing"/>
                          <w:numPr>
                            <w:ilvl w:val="0"/>
                            <w:numId w:val="23"/>
                          </w:numPr>
                          <w:rPr>
                            <w:rFonts w:ascii="Arial" w:hAnsi="Arial" w:cs="Arial"/>
                            <w:sz w:val="24"/>
                            <w:szCs w:val="24"/>
                          </w:rPr>
                        </w:pPr>
                        <w:r w:rsidRPr="000014BE">
                          <w:rPr>
                            <w:rFonts w:ascii="Arial" w:hAnsi="Arial" w:cs="Arial"/>
                            <w:sz w:val="24"/>
                            <w:szCs w:val="24"/>
                          </w:rPr>
                          <w:t>Scripts</w:t>
                        </w:r>
                      </w:p>
                      <w:p w:rsidR="000014BE" w:rsidRPr="000014BE" w:rsidRDefault="000014BE" w:rsidP="000014BE">
                        <w:pPr>
                          <w:pStyle w:val="NoSpacing"/>
                          <w:numPr>
                            <w:ilvl w:val="0"/>
                            <w:numId w:val="23"/>
                          </w:numPr>
                          <w:rPr>
                            <w:rFonts w:ascii="Arial" w:hAnsi="Arial" w:cs="Arial"/>
                            <w:sz w:val="24"/>
                            <w:szCs w:val="24"/>
                          </w:rPr>
                        </w:pPr>
                        <w:r w:rsidRPr="000014BE">
                          <w:rPr>
                            <w:rFonts w:ascii="Arial" w:hAnsi="Arial" w:cs="Arial"/>
                            <w:sz w:val="24"/>
                            <w:szCs w:val="24"/>
                          </w:rPr>
                          <w:t>Emotional Fac</w:t>
                        </w:r>
                        <w:r>
                          <w:rPr>
                            <w:rFonts w:ascii="Arial" w:hAnsi="Arial" w:cs="Arial"/>
                            <w:sz w:val="24"/>
                            <w:szCs w:val="24"/>
                          </w:rPr>
                          <w:t>t</w:t>
                        </w:r>
                        <w:r w:rsidRPr="000014BE">
                          <w:rPr>
                            <w:rFonts w:ascii="Arial" w:hAnsi="Arial" w:cs="Arial"/>
                            <w:sz w:val="24"/>
                            <w:szCs w:val="24"/>
                          </w:rPr>
                          <w:t>ors</w:t>
                        </w:r>
                      </w:p>
                    </w:txbxContent>
                  </v:textbox>
                </v:rect>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014BE"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left:0;text-align:left;margin-left:204.8pt;margin-top:16pt;width:28.5pt;height:32.65pt;z-index:251658240">
                  <v:textbox style="layout-flow:vertical-ideographic"/>
                </v:shape>
              </w:pict>
            </w:r>
            <w:r w:rsidR="000D2F12" w:rsidRPr="006125C3">
              <w:rPr>
                <w:rFonts w:ascii="Arial" w:hAnsi="Arial" w:cs="Arial"/>
                <w:noProof/>
                <w:sz w:val="24"/>
                <w:szCs w:val="24"/>
              </w:rPr>
              <w:pict>
                <v:rect id="_x0000_s1034" style="position:absolute;left:0;text-align:left;margin-left:335.65pt;margin-top:5.35pt;width:116.45pt;height:191.1pt;z-index:251668480">
                  <v:textbox style="mso-next-textbox:#_x0000_s1034">
                    <w:txbxContent>
                      <w:p w:rsidR="000D2F12" w:rsidRPr="000D2F12" w:rsidRDefault="000D2F12" w:rsidP="000D2F12">
                        <w:pPr>
                          <w:rPr>
                            <w:rFonts w:ascii="Arial" w:hAnsi="Arial" w:cs="Arial"/>
                            <w:sz w:val="24"/>
                            <w:szCs w:val="24"/>
                          </w:rPr>
                        </w:pPr>
                        <w:r w:rsidRPr="000D2F12">
                          <w:rPr>
                            <w:rFonts w:ascii="Arial" w:hAnsi="Arial" w:cs="Arial"/>
                            <w:sz w:val="24"/>
                            <w:szCs w:val="24"/>
                          </w:rPr>
                          <w:t>Investigator Challenges</w:t>
                        </w:r>
                      </w:p>
                      <w:p w:rsidR="000D2F12" w:rsidRPr="000D2F12" w:rsidRDefault="000D2F12" w:rsidP="000D2F12">
                        <w:pPr>
                          <w:pStyle w:val="NoSpacing"/>
                          <w:rPr>
                            <w:rFonts w:ascii="Arial" w:hAnsi="Arial" w:cs="Arial"/>
                            <w:sz w:val="24"/>
                            <w:szCs w:val="24"/>
                          </w:rPr>
                        </w:pPr>
                        <w:r w:rsidRPr="000D2F12">
                          <w:rPr>
                            <w:rFonts w:ascii="Arial" w:hAnsi="Arial" w:cs="Arial"/>
                            <w:sz w:val="24"/>
                            <w:szCs w:val="24"/>
                          </w:rPr>
                          <w:t>1.  Interview Style</w:t>
                        </w:r>
                      </w:p>
                      <w:p w:rsidR="000D2F12" w:rsidRPr="000D2F12" w:rsidRDefault="000D2F12" w:rsidP="000D2F12">
                        <w:pPr>
                          <w:pStyle w:val="NoSpacing"/>
                          <w:rPr>
                            <w:rFonts w:ascii="Arial" w:hAnsi="Arial" w:cs="Arial"/>
                            <w:sz w:val="24"/>
                            <w:szCs w:val="24"/>
                          </w:rPr>
                        </w:pPr>
                        <w:r w:rsidRPr="000D2F12">
                          <w:rPr>
                            <w:rFonts w:ascii="Arial" w:hAnsi="Arial" w:cs="Arial"/>
                            <w:sz w:val="24"/>
                            <w:szCs w:val="24"/>
                          </w:rPr>
                          <w:t>2.   Type of Question</w:t>
                        </w:r>
                      </w:p>
                      <w:p w:rsidR="000D2F12" w:rsidRPr="000D2F12" w:rsidRDefault="000D2F12" w:rsidP="000D2F12">
                        <w:pPr>
                          <w:pStyle w:val="NoSpacing"/>
                          <w:rPr>
                            <w:rFonts w:ascii="Arial" w:hAnsi="Arial" w:cs="Arial"/>
                            <w:sz w:val="24"/>
                            <w:szCs w:val="24"/>
                          </w:rPr>
                        </w:pPr>
                        <w:r w:rsidRPr="000D2F12">
                          <w:rPr>
                            <w:rFonts w:ascii="Arial" w:hAnsi="Arial" w:cs="Arial"/>
                            <w:sz w:val="24"/>
                            <w:szCs w:val="24"/>
                          </w:rPr>
                          <w:t>3. Body Language</w:t>
                        </w:r>
                      </w:p>
                      <w:p w:rsidR="000D2F12" w:rsidRPr="000D2F12" w:rsidRDefault="000D2F12" w:rsidP="000D2F12">
                        <w:pPr>
                          <w:pStyle w:val="NoSpacing"/>
                          <w:rPr>
                            <w:rFonts w:ascii="Arial" w:hAnsi="Arial" w:cs="Arial"/>
                            <w:sz w:val="24"/>
                            <w:szCs w:val="24"/>
                          </w:rPr>
                        </w:pPr>
                        <w:r w:rsidRPr="000D2F12">
                          <w:rPr>
                            <w:rFonts w:ascii="Arial" w:hAnsi="Arial" w:cs="Arial"/>
                            <w:sz w:val="24"/>
                            <w:szCs w:val="24"/>
                          </w:rPr>
                          <w:t>4. Emotions</w:t>
                        </w:r>
                      </w:p>
                      <w:p w:rsidR="000D2F12" w:rsidRPr="000D2F12" w:rsidRDefault="000D2F12" w:rsidP="000D2F12">
                        <w:pPr>
                          <w:pStyle w:val="NoSpacing"/>
                          <w:rPr>
                            <w:rFonts w:ascii="Arial" w:hAnsi="Arial" w:cs="Arial"/>
                            <w:sz w:val="24"/>
                            <w:szCs w:val="24"/>
                          </w:rPr>
                        </w:pPr>
                        <w:r w:rsidRPr="000D2F12">
                          <w:rPr>
                            <w:rFonts w:ascii="Arial" w:hAnsi="Arial" w:cs="Arial"/>
                            <w:sz w:val="24"/>
                            <w:szCs w:val="24"/>
                          </w:rPr>
                          <w:t>5. Scripting</w:t>
                        </w:r>
                      </w:p>
                      <w:p w:rsidR="000D2F12" w:rsidRPr="000D2F12" w:rsidRDefault="000D2F12" w:rsidP="000D2F12">
                        <w:pPr>
                          <w:pStyle w:val="NoSpacing"/>
                          <w:rPr>
                            <w:rFonts w:ascii="Arial" w:hAnsi="Arial" w:cs="Arial"/>
                            <w:sz w:val="24"/>
                            <w:szCs w:val="24"/>
                          </w:rPr>
                        </w:pPr>
                        <w:r w:rsidRPr="000D2F12">
                          <w:rPr>
                            <w:rFonts w:ascii="Arial" w:hAnsi="Arial" w:cs="Arial"/>
                            <w:sz w:val="24"/>
                            <w:szCs w:val="24"/>
                          </w:rPr>
                          <w:t>6. Assumptions       Hypotheses</w:t>
                        </w:r>
                      </w:p>
                      <w:p w:rsidR="000D2F12" w:rsidRPr="00577C84" w:rsidRDefault="000D2F12" w:rsidP="000D2F12">
                        <w:pPr>
                          <w:pStyle w:val="NoSpacing"/>
                          <w:rPr>
                            <w:rFonts w:ascii="Arial" w:hAnsi="Arial" w:cs="Arial"/>
                            <w:sz w:val="24"/>
                            <w:szCs w:val="24"/>
                          </w:rPr>
                        </w:pPr>
                      </w:p>
                    </w:txbxContent>
                  </v:textbox>
                </v:rect>
              </w:pict>
            </w:r>
            <w:r w:rsidR="000D2F12" w:rsidRPr="006125C3">
              <w:rPr>
                <w:rFonts w:ascii="Arial" w:hAnsi="Arial" w:cs="Arial"/>
                <w:noProof/>
                <w:sz w:val="24"/>
                <w:szCs w:val="24"/>
              </w:rPr>
              <w:pict>
                <v:rect id="_x0000_s1028" style="position:absolute;left:0;text-align:left;margin-left:-.95pt;margin-top:-42.1pt;width:139.7pt;height:103.7pt;z-index:251662336">
                  <v:textbox style="mso-next-textbox:#_x0000_s1028">
                    <w:txbxContent>
                      <w:p w:rsidR="000D2F12" w:rsidRDefault="000D2F12" w:rsidP="000D2F12">
                        <w:pPr>
                          <w:pStyle w:val="NoSpacing"/>
                          <w:rPr>
                            <w:rFonts w:ascii="Arial" w:hAnsi="Arial" w:cs="Arial"/>
                            <w:sz w:val="24"/>
                            <w:szCs w:val="24"/>
                          </w:rPr>
                        </w:pPr>
                        <w:r w:rsidRPr="00646574">
                          <w:rPr>
                            <w:rFonts w:ascii="Arial" w:hAnsi="Arial" w:cs="Arial"/>
                            <w:sz w:val="24"/>
                            <w:szCs w:val="24"/>
                          </w:rPr>
                          <w:t>Encoding Challenges</w:t>
                        </w:r>
                      </w:p>
                      <w:p w:rsidR="000D2F12" w:rsidRPr="00646574" w:rsidRDefault="000D2F12" w:rsidP="000D2F12">
                        <w:pPr>
                          <w:pStyle w:val="NoSpacing"/>
                          <w:rPr>
                            <w:rFonts w:ascii="Arial" w:hAnsi="Arial" w:cs="Arial"/>
                            <w:sz w:val="24"/>
                            <w:szCs w:val="24"/>
                          </w:rPr>
                        </w:pPr>
                      </w:p>
                      <w:p w:rsidR="000D2F12" w:rsidRPr="00646574" w:rsidRDefault="000D2F12" w:rsidP="000D2F12">
                        <w:pPr>
                          <w:pStyle w:val="NoSpacing"/>
                          <w:rPr>
                            <w:rFonts w:ascii="Arial" w:hAnsi="Arial" w:cs="Arial"/>
                            <w:sz w:val="24"/>
                            <w:szCs w:val="24"/>
                          </w:rPr>
                        </w:pPr>
                        <w:r w:rsidRPr="00646574">
                          <w:rPr>
                            <w:rFonts w:ascii="Arial" w:hAnsi="Arial" w:cs="Arial"/>
                            <w:sz w:val="24"/>
                            <w:szCs w:val="24"/>
                          </w:rPr>
                          <w:t>1. Nature of Snapshot</w:t>
                        </w:r>
                      </w:p>
                      <w:p w:rsidR="000D2F12" w:rsidRPr="00646574" w:rsidRDefault="000D2F12" w:rsidP="000D2F12">
                        <w:pPr>
                          <w:pStyle w:val="NoSpacing"/>
                          <w:rPr>
                            <w:rFonts w:ascii="Arial" w:hAnsi="Arial" w:cs="Arial"/>
                            <w:sz w:val="24"/>
                            <w:szCs w:val="24"/>
                          </w:rPr>
                        </w:pPr>
                        <w:r w:rsidRPr="00646574">
                          <w:rPr>
                            <w:rFonts w:ascii="Arial" w:hAnsi="Arial" w:cs="Arial"/>
                            <w:sz w:val="24"/>
                            <w:szCs w:val="24"/>
                          </w:rPr>
                          <w:t>2. Choice</w:t>
                        </w:r>
                      </w:p>
                      <w:p w:rsidR="000D2F12" w:rsidRPr="00646574" w:rsidRDefault="000D2F12" w:rsidP="000D2F12">
                        <w:pPr>
                          <w:pStyle w:val="NoSpacing"/>
                          <w:rPr>
                            <w:rFonts w:ascii="Arial" w:hAnsi="Arial" w:cs="Arial"/>
                            <w:sz w:val="24"/>
                            <w:szCs w:val="24"/>
                          </w:rPr>
                        </w:pPr>
                        <w:r w:rsidRPr="00646574">
                          <w:rPr>
                            <w:rFonts w:ascii="Arial" w:hAnsi="Arial" w:cs="Arial"/>
                            <w:sz w:val="24"/>
                            <w:szCs w:val="24"/>
                          </w:rPr>
                          <w:t>3. Sensitivity</w:t>
                        </w:r>
                      </w:p>
                      <w:p w:rsidR="000D2F12" w:rsidRPr="00646574" w:rsidRDefault="000D2F12" w:rsidP="000D2F12">
                        <w:pPr>
                          <w:pStyle w:val="NoSpacing"/>
                          <w:rPr>
                            <w:rFonts w:ascii="Arial" w:hAnsi="Arial" w:cs="Arial"/>
                            <w:sz w:val="24"/>
                            <w:szCs w:val="24"/>
                          </w:rPr>
                        </w:pPr>
                        <w:r w:rsidRPr="00646574">
                          <w:rPr>
                            <w:rFonts w:ascii="Arial" w:hAnsi="Arial" w:cs="Arial"/>
                            <w:sz w:val="24"/>
                            <w:szCs w:val="24"/>
                          </w:rPr>
                          <w:t>4. Stress Guilt</w:t>
                        </w:r>
                      </w:p>
                      <w:p w:rsidR="000D2F12" w:rsidRPr="00646574" w:rsidRDefault="000D2F12" w:rsidP="000D2F12">
                        <w:pPr>
                          <w:pStyle w:val="NoSpacing"/>
                          <w:rPr>
                            <w:rFonts w:ascii="Arial" w:hAnsi="Arial" w:cs="Arial"/>
                            <w:sz w:val="24"/>
                            <w:szCs w:val="24"/>
                          </w:rPr>
                        </w:pPr>
                        <w:r w:rsidRPr="00646574">
                          <w:rPr>
                            <w:rFonts w:ascii="Arial" w:hAnsi="Arial" w:cs="Arial"/>
                            <w:sz w:val="24"/>
                            <w:szCs w:val="24"/>
                          </w:rPr>
                          <w:t>5. Distractions.</w:t>
                        </w:r>
                      </w:p>
                      <w:p w:rsidR="000D2F12" w:rsidRPr="00646574" w:rsidRDefault="000D2F12" w:rsidP="000D2F12">
                        <w:pPr>
                          <w:pStyle w:val="NoSpacing"/>
                          <w:rPr>
                            <w:rFonts w:ascii="Arial" w:hAnsi="Arial" w:cs="Arial"/>
                            <w:sz w:val="24"/>
                            <w:szCs w:val="24"/>
                          </w:rPr>
                        </w:pPr>
                      </w:p>
                      <w:p w:rsidR="000D2F12" w:rsidRDefault="000D2F12" w:rsidP="000D2F12">
                        <w:pPr>
                          <w:pStyle w:val="NoSpacing"/>
                        </w:pPr>
                      </w:p>
                      <w:p w:rsidR="000D2F12" w:rsidRDefault="000D2F12" w:rsidP="000D2F12"/>
                      <w:p w:rsidR="000D2F12" w:rsidRDefault="000D2F12" w:rsidP="000D2F12">
                        <w:pPr>
                          <w:pStyle w:val="ListParagraph"/>
                          <w:numPr>
                            <w:ilvl w:val="0"/>
                            <w:numId w:val="18"/>
                          </w:numPr>
                          <w:spacing w:after="0"/>
                        </w:pPr>
                      </w:p>
                      <w:p w:rsidR="000D2F12" w:rsidRDefault="000D2F12" w:rsidP="000D2F12">
                        <w:pPr>
                          <w:pStyle w:val="ListParagraph"/>
                          <w:numPr>
                            <w:ilvl w:val="0"/>
                            <w:numId w:val="18"/>
                          </w:numPr>
                        </w:pPr>
                      </w:p>
                    </w:txbxContent>
                  </v:textbox>
                </v:rect>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rect id="_x0000_s1045" style="position:absolute;left:0;text-align:left;margin-left:190.05pt;margin-top:7.25pt;width:79.35pt;height:37.9pt;z-index:251679744">
                  <v:textbox style="mso-next-textbox:#_x0000_s1045">
                    <w:txbxContent>
                      <w:p w:rsidR="000D2F12" w:rsidRPr="00577C84" w:rsidRDefault="000D2F12" w:rsidP="000D2F12">
                        <w:pPr>
                          <w:rPr>
                            <w:rFonts w:ascii="Arial" w:hAnsi="Arial" w:cs="Arial"/>
                            <w:sz w:val="24"/>
                            <w:szCs w:val="24"/>
                          </w:rPr>
                        </w:pPr>
                        <w:r w:rsidRPr="00577C84">
                          <w:rPr>
                            <w:rFonts w:ascii="Arial" w:hAnsi="Arial" w:cs="Arial"/>
                            <w:sz w:val="24"/>
                            <w:szCs w:val="24"/>
                          </w:rPr>
                          <w:t>Received Information</w:t>
                        </w:r>
                      </w:p>
                    </w:txbxContent>
                  </v:textbox>
                </v:rect>
              </w:pict>
            </w:r>
            <w:r w:rsidRPr="006125C3">
              <w:rPr>
                <w:rFonts w:ascii="Arial" w:hAnsi="Arial" w:cs="Arial"/>
                <w:noProof/>
                <w:sz w:val="24"/>
                <w:szCs w:val="24"/>
              </w:rPr>
              <w:pict>
                <v:shape id="_x0000_s1029" type="#_x0000_t67" style="position:absolute;left:0;text-align:left;margin-left:50.4pt;margin-top:19.9pt;width:22.4pt;height:32.65pt;z-index:251663360">
                  <v:textbox style="layout-flow:vertical-ideographic"/>
                </v:shape>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rect id="_x0000_s1043" style="position:absolute;left:0;text-align:left;margin-left:111.9pt;margin-top:6pt;width:218.8pt;height:116.65pt;z-index:251677696"/>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rect id="_x0000_s1046" style="position:absolute;left:0;text-align:left;margin-left:250.1pt;margin-top:4pt;width:80.6pt;height:62.95pt;z-index:251680768">
                  <v:textbox style="mso-next-textbox:#_x0000_s1046">
                    <w:txbxContent>
                      <w:p w:rsidR="000D2F12" w:rsidRPr="00577C84" w:rsidRDefault="000D2F12" w:rsidP="000D2F12">
                        <w:pPr>
                          <w:rPr>
                            <w:rFonts w:ascii="Arial" w:hAnsi="Arial" w:cs="Arial"/>
                            <w:sz w:val="24"/>
                            <w:szCs w:val="24"/>
                          </w:rPr>
                        </w:pPr>
                        <w:r w:rsidRPr="00577C84">
                          <w:rPr>
                            <w:rFonts w:ascii="Arial" w:hAnsi="Arial" w:cs="Arial"/>
                            <w:sz w:val="24"/>
                            <w:szCs w:val="24"/>
                          </w:rPr>
                          <w:t>Interview Strategy</w:t>
                        </w:r>
                      </w:p>
                    </w:txbxContent>
                  </v:textbox>
                </v:rect>
              </w:pict>
            </w:r>
            <w:r w:rsidRPr="006125C3">
              <w:rPr>
                <w:rFonts w:ascii="Arial" w:hAnsi="Arial" w:cs="Arial"/>
                <w:noProof/>
                <w:sz w:val="24"/>
                <w:szCs w:val="24"/>
              </w:rPr>
              <w:pict>
                <v:rect id="_x0000_s1044" style="position:absolute;left:0;text-align:left;margin-left:111.9pt;margin-top:3.75pt;width:78.15pt;height:70.7pt;z-index:251678720">
                  <v:textbox style="mso-next-textbox:#_x0000_s1044">
                    <w:txbxContent>
                      <w:p w:rsidR="000D2F12" w:rsidRPr="00577C84" w:rsidRDefault="000D2F12" w:rsidP="000D2F12">
                        <w:pPr>
                          <w:rPr>
                            <w:rFonts w:ascii="Arial" w:hAnsi="Arial" w:cs="Arial"/>
                            <w:sz w:val="24"/>
                            <w:szCs w:val="24"/>
                          </w:rPr>
                        </w:pPr>
                        <w:r w:rsidRPr="00577C84">
                          <w:rPr>
                            <w:rFonts w:ascii="Arial" w:hAnsi="Arial" w:cs="Arial"/>
                            <w:sz w:val="24"/>
                            <w:szCs w:val="24"/>
                          </w:rPr>
                          <w:t>Stored Information</w:t>
                        </w:r>
                      </w:p>
                    </w:txbxContent>
                  </v:textbox>
                </v:rect>
              </w:pict>
            </w:r>
            <w:r w:rsidRPr="006125C3">
              <w:rPr>
                <w:rFonts w:ascii="Arial" w:hAnsi="Arial" w:cs="Arial"/>
                <w:noProof/>
                <w:sz w:val="24"/>
                <w:szCs w:val="24"/>
              </w:rPr>
              <w:pict>
                <v:rect id="_x0000_s1030" style="position:absolute;left:0;text-align:left;margin-left:24pt;margin-top:8.6pt;width:75.75pt;height:49.65pt;z-index:251664384">
                  <v:textbox style="mso-next-textbox:#_x0000_s1030">
                    <w:txbxContent>
                      <w:p w:rsidR="000D2F12" w:rsidRPr="00577C84" w:rsidRDefault="000D2F12" w:rsidP="000D2F12">
                        <w:pPr>
                          <w:rPr>
                            <w:rFonts w:ascii="Arial" w:hAnsi="Arial" w:cs="Arial"/>
                            <w:sz w:val="24"/>
                            <w:szCs w:val="24"/>
                          </w:rPr>
                        </w:pPr>
                        <w:r w:rsidRPr="00577C84">
                          <w:rPr>
                            <w:rFonts w:ascii="Arial" w:hAnsi="Arial" w:cs="Arial"/>
                            <w:sz w:val="24"/>
                            <w:szCs w:val="24"/>
                          </w:rPr>
                          <w:t>Encoded Information</w:t>
                        </w:r>
                      </w:p>
                    </w:txbxContent>
                  </v:textbox>
                </v:rect>
              </w:pict>
            </w:r>
            <w:r w:rsidRPr="006125C3">
              <w:rPr>
                <w:rFonts w:ascii="Arial" w:hAnsi="Arial" w:cs="Arial"/>
                <w:noProof/>
                <w:sz w:val="24"/>
                <w:szCs w:val="24"/>
              </w:rPr>
              <w:pict>
                <v:rect id="_x0000_s1042" style="position:absolute;left:0;text-align:left;margin-left:286.65pt;margin-top:11.95pt;width:38.05pt;height:55pt;z-index:251676672"/>
              </w:pict>
            </w:r>
            <w:r w:rsidRPr="006125C3">
              <w:rPr>
                <w:rFonts w:ascii="Arial" w:hAnsi="Arial" w:cs="Arial"/>
                <w:noProof/>
                <w:sz w:val="24"/>
                <w:szCs w:val="24"/>
              </w:rPr>
              <w:pict>
                <v:rect id="_x0000_s1041" style="position:absolute;left:0;text-align:left;margin-left:213.3pt;margin-top:11.95pt;width:54.3pt;height:40.05pt;z-index:251675648"/>
              </w:pict>
            </w:r>
            <w:r w:rsidRPr="006125C3">
              <w:rPr>
                <w:rFonts w:ascii="Arial" w:hAnsi="Arial" w:cs="Arial"/>
                <w:noProof/>
                <w:sz w:val="24"/>
                <w:szCs w:val="24"/>
              </w:rPr>
              <w:pict>
                <v:rect id="_x0000_s1040" style="position:absolute;left:0;text-align:left;margin-left:164.35pt;margin-top:11.95pt;width:35.35pt;height:40.05pt;z-index:251674624"/>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049" type="#_x0000_t104" style="position:absolute;left:0;text-align:left;margin-left:88.65pt;margin-top:12.25pt;width:81.85pt;height:40.8pt;z-index:251683840" adj=",,7192"/>
              </w:pict>
            </w:r>
            <w:r w:rsidRPr="006125C3">
              <w:rPr>
                <w:rFonts w:ascii="Arial" w:hAnsi="Arial" w:cs="Arial"/>
                <w:noProof/>
                <w:sz w:val="24"/>
                <w:szCs w:val="24"/>
              </w:rPr>
              <w:pict>
                <v:shape id="_x0000_s1048" type="#_x0000_t104" style="position:absolute;left:0;text-align:left;margin-left:13.3pt;margin-top:10.6pt;width:66.75pt;height:46.1pt;z-index:251682816"/>
              </w:pict>
            </w:r>
          </w:p>
          <w:p w:rsidR="000D2F12" w:rsidRPr="006125C3" w:rsidRDefault="000014BE"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50" type="#_x0000_t105" style="position:absolute;left:0;text-align:left;margin-left:250.1pt;margin-top:4.85pt;width:109.9pt;height:43.7pt;rotation:13413026fd;z-index:251684864"/>
              </w:pict>
            </w:r>
          </w:p>
          <w:p w:rsidR="000D2F12" w:rsidRPr="006125C3" w:rsidRDefault="000014BE"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213.25pt;margin-top:16.6pt;width:.05pt;height:35.05pt;z-index:251681792" o:connectortype="straight">
                  <v:stroke endarrow="block"/>
                </v:shape>
              </w:pict>
            </w:r>
            <w:r w:rsidR="000D2F12" w:rsidRPr="006125C3">
              <w:rPr>
                <w:rFonts w:ascii="Arial" w:hAnsi="Arial" w:cs="Arial"/>
                <w:noProof/>
                <w:sz w:val="24"/>
                <w:szCs w:val="24"/>
              </w:rPr>
              <w:pict>
                <v:rect id="_x0000_s1031" style="position:absolute;left:0;text-align:left;margin-left:-.95pt;margin-top:11.65pt;width:63.25pt;height:43.4pt;z-index:251665408">
                  <v:textbox style="mso-next-textbox:#_x0000_s1031">
                    <w:txbxContent>
                      <w:p w:rsidR="000D2F12" w:rsidRPr="00577C84" w:rsidRDefault="000D2F12" w:rsidP="000D2F12">
                        <w:pPr>
                          <w:rPr>
                            <w:rFonts w:ascii="Arial" w:hAnsi="Arial" w:cs="Arial"/>
                            <w:sz w:val="24"/>
                            <w:szCs w:val="24"/>
                          </w:rPr>
                        </w:pPr>
                        <w:r w:rsidRPr="00577C84">
                          <w:rPr>
                            <w:rFonts w:ascii="Arial" w:hAnsi="Arial" w:cs="Arial"/>
                            <w:sz w:val="24"/>
                            <w:szCs w:val="24"/>
                          </w:rPr>
                          <w:t>The Incident</w:t>
                        </w:r>
                      </w:p>
                    </w:txbxContent>
                  </v:textbox>
                </v:rect>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roundrect id="_x0000_s1039" style="position:absolute;left:0;text-align:left;margin-left:367.25pt;margin-top:10.3pt;width:77.3pt;height:42.1pt;z-index:251673600" arcsize="10923f">
                  <v:textbox style="mso-next-textbox:#_x0000_s1039">
                    <w:txbxContent>
                      <w:p w:rsidR="000D2F12" w:rsidRPr="00577C84" w:rsidRDefault="000D2F12" w:rsidP="000D2F12">
                        <w:pPr>
                          <w:rPr>
                            <w:rFonts w:ascii="Arial" w:hAnsi="Arial" w:cs="Arial"/>
                            <w:sz w:val="24"/>
                            <w:szCs w:val="24"/>
                          </w:rPr>
                        </w:pPr>
                        <w:r w:rsidRPr="00577C84">
                          <w:rPr>
                            <w:rFonts w:ascii="Arial" w:hAnsi="Arial" w:cs="Arial"/>
                            <w:sz w:val="24"/>
                            <w:szCs w:val="24"/>
                          </w:rPr>
                          <w:t>Written Report</w:t>
                        </w:r>
                      </w:p>
                    </w:txbxContent>
                  </v:textbox>
                </v:roundrect>
              </w:pict>
            </w:r>
            <w:r w:rsidRPr="006125C3">
              <w:rPr>
                <w:rFonts w:ascii="Arial" w:hAnsi="Arial" w:cs="Arial"/>
                <w:noProof/>
                <w:sz w:val="24"/>
                <w:szCs w:val="24"/>
              </w:rPr>
              <w:pict>
                <v:roundrect id="_x0000_s1037" style="position:absolute;left:0;text-align:left;margin-left:255.75pt;margin-top:13.7pt;width:84.9pt;height:38.7pt;z-index:251671552" arcsize="10923f">
                  <v:textbox style="mso-next-textbox:#_x0000_s1037">
                    <w:txbxContent>
                      <w:p w:rsidR="000D2F12" w:rsidRDefault="000D2F12" w:rsidP="000D2F12">
                        <w:r w:rsidRPr="00577C84">
                          <w:rPr>
                            <w:rFonts w:ascii="Arial" w:hAnsi="Arial" w:cs="Arial"/>
                            <w:sz w:val="24"/>
                            <w:szCs w:val="24"/>
                          </w:rPr>
                          <w:t>Recalled Information</w:t>
                        </w:r>
                      </w:p>
                    </w:txbxContent>
                  </v:textbox>
                </v:roundrect>
              </w:pict>
            </w:r>
            <w:r w:rsidRPr="006125C3">
              <w:rPr>
                <w:rFonts w:ascii="Arial" w:hAnsi="Arial" w:cs="Arial"/>
                <w:noProof/>
                <w:sz w:val="24"/>
                <w:szCs w:val="24"/>
              </w:rPr>
              <w:pict>
                <v:roundrect id="_x0000_s1035" style="position:absolute;left:0;text-align:left;margin-left:147.05pt;margin-top:10.3pt;width:86.25pt;height:42.1pt;z-index:251669504" arcsize="10923f">
                  <v:textbox style="mso-next-textbox:#_x0000_s1035">
                    <w:txbxContent>
                      <w:p w:rsidR="000D2F12" w:rsidRPr="00577C84" w:rsidRDefault="000D2F12" w:rsidP="000D2F12">
                        <w:pPr>
                          <w:rPr>
                            <w:rFonts w:ascii="Arial" w:hAnsi="Arial" w:cs="Arial"/>
                            <w:sz w:val="24"/>
                            <w:szCs w:val="24"/>
                          </w:rPr>
                        </w:pPr>
                        <w:r w:rsidRPr="00577C84">
                          <w:rPr>
                            <w:rFonts w:ascii="Arial" w:hAnsi="Arial" w:cs="Arial"/>
                            <w:sz w:val="24"/>
                            <w:szCs w:val="24"/>
                          </w:rPr>
                          <w:t>Stored Information</w:t>
                        </w:r>
                      </w:p>
                    </w:txbxContent>
                  </v:textbox>
                </v:roundrect>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8" type="#_x0000_t13" style="position:absolute;left:0;text-align:left;margin-left:341.4pt;margin-top:2.05pt;width:25.85pt;height:12.2pt;z-index:251672576"/>
              </w:pict>
            </w:r>
            <w:r w:rsidRPr="006125C3">
              <w:rPr>
                <w:rFonts w:ascii="Arial" w:hAnsi="Arial" w:cs="Arial"/>
                <w:noProof/>
                <w:sz w:val="24"/>
                <w:szCs w:val="24"/>
              </w:rPr>
              <w:pict>
                <v:shape id="_x0000_s1036" type="#_x0000_t13" style="position:absolute;left:0;text-align:left;margin-left:233.3pt;margin-top:2.05pt;width:22.45pt;height:12.2pt;z-index:251670528"/>
              </w:pict>
            </w:r>
          </w:p>
          <w:p w:rsidR="000D2F12" w:rsidRPr="006125C3" w:rsidRDefault="000D2F12" w:rsidP="006125C3">
            <w:pPr>
              <w:pStyle w:val="ListParagraph"/>
              <w:autoSpaceDE w:val="0"/>
              <w:autoSpaceDN w:val="0"/>
              <w:adjustRightInd w:val="0"/>
              <w:spacing w:line="360" w:lineRule="auto"/>
              <w:rPr>
                <w:rFonts w:ascii="Arial" w:hAnsi="Arial" w:cs="Arial"/>
                <w:sz w:val="24"/>
                <w:szCs w:val="24"/>
              </w:rPr>
            </w:pPr>
          </w:p>
          <w:p w:rsidR="008A61AE" w:rsidRPr="006125C3" w:rsidRDefault="008A61AE" w:rsidP="006125C3">
            <w:pPr>
              <w:pStyle w:val="ListParagraph"/>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interviewer might explore alternative memory access routes while guiding the witness through the recall process. This technique uses the schema and multiple trace models to retrieve memory through different paths and make the witness approach the memory with a different perspective.</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The interviewer might also encourage the witness to rearrange the event temporally. Asking the witness to rearrange the chronological order of the event and start from end may run counter to context reconstruction.</w:t>
            </w:r>
          </w:p>
          <w:p w:rsidR="008A61AE" w:rsidRPr="006125C3" w:rsidRDefault="008A61AE" w:rsidP="006125C3">
            <w:pPr>
              <w:autoSpaceDE w:val="0"/>
              <w:autoSpaceDN w:val="0"/>
              <w:adjustRightInd w:val="0"/>
              <w:spacing w:line="360" w:lineRule="auto"/>
              <w:rPr>
                <w:rFonts w:ascii="Arial" w:hAnsi="Arial" w:cs="Arial"/>
                <w:sz w:val="24"/>
                <w:szCs w:val="24"/>
              </w:rPr>
            </w:pPr>
          </w:p>
          <w:p w:rsidR="008A61AE" w:rsidRPr="006125C3" w:rsidRDefault="008A61AE" w:rsidP="006125C3">
            <w:pPr>
              <w:autoSpaceDE w:val="0"/>
              <w:autoSpaceDN w:val="0"/>
              <w:adjustRightInd w:val="0"/>
              <w:spacing w:line="360" w:lineRule="auto"/>
              <w:rPr>
                <w:rFonts w:ascii="Arial" w:hAnsi="Arial" w:cs="Arial"/>
                <w:sz w:val="24"/>
                <w:szCs w:val="24"/>
              </w:rPr>
            </w:pP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lastRenderedPageBreak/>
              <w:t>Although these techniques can be hugely successful, there is always a possibility of error in recalling events.</w:t>
            </w:r>
          </w:p>
          <w:p w:rsidR="008A61AE"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A technique that leads to a lot of information being recalled also increases the possibility of error in recollection. While this is a risk associated with every </w:t>
            </w:r>
          </w:p>
          <w:p w:rsidR="000D2F12" w:rsidRPr="006125C3" w:rsidRDefault="008A61AE" w:rsidP="006125C3">
            <w:pPr>
              <w:pStyle w:val="ListParagraph"/>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Memory </w:t>
            </w:r>
            <w:r w:rsidR="000D2F12" w:rsidRPr="006125C3">
              <w:rPr>
                <w:rFonts w:ascii="Arial" w:hAnsi="Arial" w:cs="Arial"/>
                <w:sz w:val="24"/>
                <w:szCs w:val="24"/>
              </w:rPr>
              <w:t>enhancing technique, it is the interviewer’s responsibility to minimize the impact of error.</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One way of doing this is to use memory enhancing techniques as investigative tools only. Supporting evidence should reinforce any evidence that the interviewer obtains during witness interviews.</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Documentary evidence might be used to corroborate the evidence obtained during interviews in financial crime investigations.</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Moreover, according to research, children under eight may have a higher rate of error when exposed to cognitive interview techniques. The rapport-building phase of the interview involves the interviewer building a level of trust with the witness.</w:t>
            </w:r>
          </w:p>
          <w:p w:rsidR="000D2F12" w:rsidRPr="006125C3" w:rsidRDefault="000D2F12" w:rsidP="006125C3">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Two things must occur during this phase: the interviewer must assess and analyze the verbal and non-verbal cues indicating the witness’s behaviour pattern, and there should be a comfort level between the interviewer and the witness that sets the tone for the conversation.</w:t>
            </w:r>
          </w:p>
          <w:p w:rsidR="00CC2FB3" w:rsidRPr="00137466" w:rsidRDefault="000D2F12" w:rsidP="00137466">
            <w:pPr>
              <w:pStyle w:val="ListParagraph"/>
              <w:numPr>
                <w:ilvl w:val="0"/>
                <w:numId w:val="17"/>
              </w:numPr>
              <w:autoSpaceDE w:val="0"/>
              <w:autoSpaceDN w:val="0"/>
              <w:adjustRightInd w:val="0"/>
              <w:spacing w:line="360" w:lineRule="auto"/>
              <w:rPr>
                <w:rFonts w:ascii="Arial" w:hAnsi="Arial" w:cs="Arial"/>
                <w:sz w:val="24"/>
                <w:szCs w:val="24"/>
              </w:rPr>
            </w:pPr>
            <w:r w:rsidRPr="006125C3">
              <w:rPr>
                <w:rFonts w:ascii="Arial" w:hAnsi="Arial" w:cs="Arial"/>
                <w:sz w:val="24"/>
                <w:szCs w:val="24"/>
              </w:rPr>
              <w:t xml:space="preserve"> These things can be accomplished by applying a communication model called </w:t>
            </w:r>
            <w:r w:rsidRPr="006125C3">
              <w:rPr>
                <w:rFonts w:ascii="Arial" w:hAnsi="Arial" w:cs="Arial"/>
                <w:sz w:val="24"/>
                <w:szCs w:val="24"/>
                <w:u w:val="single"/>
              </w:rPr>
              <w:t>Neuro Linguistic Programming (NLP).</w:t>
            </w:r>
          </w:p>
          <w:p w:rsidR="00137466" w:rsidRPr="00137466" w:rsidRDefault="00137466" w:rsidP="00137466">
            <w:pPr>
              <w:pStyle w:val="ListParagraph"/>
              <w:numPr>
                <w:ilvl w:val="0"/>
                <w:numId w:val="17"/>
              </w:numPr>
              <w:autoSpaceDE w:val="0"/>
              <w:autoSpaceDN w:val="0"/>
              <w:adjustRightInd w:val="0"/>
              <w:spacing w:line="360" w:lineRule="auto"/>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A61AE" w:rsidRDefault="008A61AE" w:rsidP="00A851DA">
      <w:pPr>
        <w:autoSpaceDE w:val="0"/>
        <w:autoSpaceDN w:val="0"/>
        <w:adjustRightInd w:val="0"/>
        <w:spacing w:after="0" w:line="240" w:lineRule="auto"/>
        <w:rPr>
          <w:rFonts w:cs="CalvertMT-Bold"/>
          <w:b/>
          <w:bCs/>
          <w:color w:val="002060"/>
          <w:sz w:val="28"/>
          <w:lang w:val="en-US"/>
        </w:rPr>
      </w:pPr>
    </w:p>
    <w:p w:rsidR="008A61AE" w:rsidRPr="00B0415E" w:rsidRDefault="008A61A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7466" w:rsidP="00A851DA">
            <w:pPr>
              <w:rPr>
                <w:rFonts w:cs="Bliss-Regular"/>
                <w:color w:val="000000"/>
              </w:rPr>
            </w:pPr>
            <w:r w:rsidRPr="00137466">
              <w:rPr>
                <w:rFonts w:cs="Bliss-Regular"/>
                <w:color w:val="000000"/>
              </w:rPr>
              <w:drawing>
                <wp:inline distT="0" distB="0" distL="0" distR="0">
                  <wp:extent cx="923925" cy="428625"/>
                  <wp:effectExtent l="19050" t="0" r="952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7466" w:rsidP="00A851DA">
            <w:pPr>
              <w:rPr>
                <w:rFonts w:cs="Bliss-Regular"/>
                <w:color w:val="000000"/>
              </w:rPr>
            </w:pPr>
            <w:r>
              <w:rPr>
                <w:rFonts w:cs="Bliss-Regular"/>
                <w:color w:val="000000"/>
              </w:rPr>
              <w:t>27-07-2016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026" w:rsidRDefault="00941026" w:rsidP="00CB4D0A">
      <w:pPr>
        <w:spacing w:after="0" w:line="240" w:lineRule="auto"/>
      </w:pPr>
      <w:r>
        <w:separator/>
      </w:r>
    </w:p>
  </w:endnote>
  <w:endnote w:type="continuationSeparator" w:id="0">
    <w:p w:rsidR="00941026" w:rsidRDefault="0094102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026" w:rsidRDefault="00941026" w:rsidP="00CB4D0A">
      <w:pPr>
        <w:spacing w:after="0" w:line="240" w:lineRule="auto"/>
      </w:pPr>
      <w:r>
        <w:separator/>
      </w:r>
    </w:p>
  </w:footnote>
  <w:footnote w:type="continuationSeparator" w:id="0">
    <w:p w:rsidR="00941026" w:rsidRDefault="0094102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775B9"/>
    <w:multiLevelType w:val="hybridMultilevel"/>
    <w:tmpl w:val="C59ECE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337404"/>
    <w:multiLevelType w:val="hybridMultilevel"/>
    <w:tmpl w:val="A382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EC03B6"/>
    <w:multiLevelType w:val="hybridMultilevel"/>
    <w:tmpl w:val="3D8C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27A9E"/>
    <w:multiLevelType w:val="hybridMultilevel"/>
    <w:tmpl w:val="65247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9E027C"/>
    <w:multiLevelType w:val="hybridMultilevel"/>
    <w:tmpl w:val="5C9ADC32"/>
    <w:lvl w:ilvl="0" w:tplc="0409000B">
      <w:start w:val="1"/>
      <w:numFmt w:val="bullet"/>
      <w:lvlText w:val=""/>
      <w:lvlJc w:val="left"/>
      <w:pPr>
        <w:ind w:left="1440" w:hanging="360"/>
      </w:pPr>
      <w:rPr>
        <w:rFonts w:ascii="Wingdings" w:hAnsi="Wingdings" w:hint="default"/>
      </w:rPr>
    </w:lvl>
    <w:lvl w:ilvl="1" w:tplc="8E9425BE">
      <w:numFmt w:val="bullet"/>
      <w:lvlText w:val="•"/>
      <w:lvlJc w:val="left"/>
      <w:pPr>
        <w:ind w:left="2160" w:hanging="360"/>
      </w:pPr>
      <w:rPr>
        <w:rFonts w:ascii="Calibri" w:eastAsia="Times New Roman"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8A5BF2"/>
    <w:multiLevelType w:val="hybridMultilevel"/>
    <w:tmpl w:val="C726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862EF4"/>
    <w:multiLevelType w:val="hybridMultilevel"/>
    <w:tmpl w:val="F6ACBC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0D0594"/>
    <w:multiLevelType w:val="hybridMultilevel"/>
    <w:tmpl w:val="4012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651E3D"/>
    <w:multiLevelType w:val="hybridMultilevel"/>
    <w:tmpl w:val="A3381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9C069B"/>
    <w:multiLevelType w:val="hybridMultilevel"/>
    <w:tmpl w:val="58040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014437"/>
    <w:multiLevelType w:val="hybridMultilevel"/>
    <w:tmpl w:val="0FE4F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AF3D99"/>
    <w:multiLevelType w:val="hybridMultilevel"/>
    <w:tmpl w:val="9B34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2D1B91"/>
    <w:multiLevelType w:val="hybridMultilevel"/>
    <w:tmpl w:val="4996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B7597D"/>
    <w:multiLevelType w:val="hybridMultilevel"/>
    <w:tmpl w:val="424013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E05030"/>
    <w:multiLevelType w:val="hybridMultilevel"/>
    <w:tmpl w:val="001E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9F21F4"/>
    <w:multiLevelType w:val="hybridMultilevel"/>
    <w:tmpl w:val="7468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307AD8"/>
    <w:multiLevelType w:val="hybridMultilevel"/>
    <w:tmpl w:val="16064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3D514F"/>
    <w:multiLevelType w:val="hybridMultilevel"/>
    <w:tmpl w:val="71343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20171D"/>
    <w:multiLevelType w:val="hybridMultilevel"/>
    <w:tmpl w:val="ED36C5F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0">
    <w:nsid w:val="792E34DF"/>
    <w:multiLevelType w:val="hybridMultilevel"/>
    <w:tmpl w:val="1B222C4C"/>
    <w:lvl w:ilvl="0" w:tplc="3912E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887D1C"/>
    <w:multiLevelType w:val="hybridMultilevel"/>
    <w:tmpl w:val="FBA814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8407AB"/>
    <w:multiLevelType w:val="hybridMultilevel"/>
    <w:tmpl w:val="FCA4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0"/>
  </w:num>
  <w:num w:numId="4">
    <w:abstractNumId w:val="8"/>
  </w:num>
  <w:num w:numId="5">
    <w:abstractNumId w:val="11"/>
  </w:num>
  <w:num w:numId="6">
    <w:abstractNumId w:val="4"/>
  </w:num>
  <w:num w:numId="7">
    <w:abstractNumId w:val="9"/>
  </w:num>
  <w:num w:numId="8">
    <w:abstractNumId w:val="2"/>
  </w:num>
  <w:num w:numId="9">
    <w:abstractNumId w:val="13"/>
  </w:num>
  <w:num w:numId="10">
    <w:abstractNumId w:val="5"/>
  </w:num>
  <w:num w:numId="11">
    <w:abstractNumId w:val="1"/>
  </w:num>
  <w:num w:numId="12">
    <w:abstractNumId w:val="19"/>
  </w:num>
  <w:num w:numId="13">
    <w:abstractNumId w:val="12"/>
  </w:num>
  <w:num w:numId="14">
    <w:abstractNumId w:val="3"/>
  </w:num>
  <w:num w:numId="15">
    <w:abstractNumId w:val="18"/>
  </w:num>
  <w:num w:numId="16">
    <w:abstractNumId w:val="7"/>
  </w:num>
  <w:num w:numId="17">
    <w:abstractNumId w:val="22"/>
  </w:num>
  <w:num w:numId="18">
    <w:abstractNumId w:val="10"/>
  </w:num>
  <w:num w:numId="19">
    <w:abstractNumId w:val="14"/>
  </w:num>
  <w:num w:numId="20">
    <w:abstractNumId w:val="16"/>
  </w:num>
  <w:num w:numId="21">
    <w:abstractNumId w:val="21"/>
  </w:num>
  <w:num w:numId="22">
    <w:abstractNumId w:val="20"/>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014BE"/>
    <w:rsid w:val="000158F9"/>
    <w:rsid w:val="00035CDD"/>
    <w:rsid w:val="00040083"/>
    <w:rsid w:val="00055992"/>
    <w:rsid w:val="000820E8"/>
    <w:rsid w:val="000D2F12"/>
    <w:rsid w:val="001175EE"/>
    <w:rsid w:val="00137466"/>
    <w:rsid w:val="00157CF6"/>
    <w:rsid w:val="00182416"/>
    <w:rsid w:val="00187EB4"/>
    <w:rsid w:val="001F0481"/>
    <w:rsid w:val="00200C92"/>
    <w:rsid w:val="0020451E"/>
    <w:rsid w:val="00206B9D"/>
    <w:rsid w:val="00217B6C"/>
    <w:rsid w:val="0023259C"/>
    <w:rsid w:val="002B0BD7"/>
    <w:rsid w:val="002B573D"/>
    <w:rsid w:val="002C5CB2"/>
    <w:rsid w:val="002F779F"/>
    <w:rsid w:val="00371885"/>
    <w:rsid w:val="003E2B87"/>
    <w:rsid w:val="00402786"/>
    <w:rsid w:val="00405895"/>
    <w:rsid w:val="004058DF"/>
    <w:rsid w:val="00443E6F"/>
    <w:rsid w:val="0048367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5C3"/>
    <w:rsid w:val="00617BB3"/>
    <w:rsid w:val="00645CDD"/>
    <w:rsid w:val="006823A7"/>
    <w:rsid w:val="00687EE8"/>
    <w:rsid w:val="0070347F"/>
    <w:rsid w:val="0070678E"/>
    <w:rsid w:val="00831C11"/>
    <w:rsid w:val="008A60B4"/>
    <w:rsid w:val="008A61AE"/>
    <w:rsid w:val="008B3C31"/>
    <w:rsid w:val="008B64FE"/>
    <w:rsid w:val="00935BF7"/>
    <w:rsid w:val="00941026"/>
    <w:rsid w:val="0095442C"/>
    <w:rsid w:val="00983942"/>
    <w:rsid w:val="009C37E0"/>
    <w:rsid w:val="009E41F4"/>
    <w:rsid w:val="00A14B66"/>
    <w:rsid w:val="00A65CF7"/>
    <w:rsid w:val="00A81AB4"/>
    <w:rsid w:val="00A851DA"/>
    <w:rsid w:val="00AA09D6"/>
    <w:rsid w:val="00AC7D5B"/>
    <w:rsid w:val="00AE1481"/>
    <w:rsid w:val="00B0415E"/>
    <w:rsid w:val="00B04678"/>
    <w:rsid w:val="00BC46DF"/>
    <w:rsid w:val="00C03577"/>
    <w:rsid w:val="00C53029"/>
    <w:rsid w:val="00C65FEA"/>
    <w:rsid w:val="00C80C56"/>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rules v:ext="edit">
        <o:r id="V:Rule1"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AA09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D2F12"/>
    <w:pPr>
      <w:spacing w:after="0" w:line="240" w:lineRule="auto"/>
    </w:pPr>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AA09D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image" Target="media/image6.jpeg"/><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diagramQuickStyle" Target="diagrams/quickStyle2.xml"/><Relationship Id="rId34" Type="http://schemas.microsoft.com/office/2007/relationships/diagramDrawing" Target="diagrams/drawing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jpeg"/><Relationship Id="rId25" Type="http://schemas.openxmlformats.org/officeDocument/2006/relationships/image" Target="media/image8.jpeg"/><Relationship Id="rId33" Type="http://schemas.openxmlformats.org/officeDocument/2006/relationships/diagramColors" Target="diagrams/colors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diagramLayout" Target="diagrams/layout2.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7.jpeg"/><Relationship Id="rId32" Type="http://schemas.openxmlformats.org/officeDocument/2006/relationships/diagramQuickStyle" Target="diagrams/quickStyle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07/relationships/diagramDrawing" Target="diagrams/drawing2.xml"/><Relationship Id="rId28" Type="http://schemas.openxmlformats.org/officeDocument/2006/relationships/image" Target="media/image11.jpeg"/><Relationship Id="rId36" Type="http://schemas.openxmlformats.org/officeDocument/2006/relationships/image" Target="media/image14.png"/><Relationship Id="rId10" Type="http://schemas.openxmlformats.org/officeDocument/2006/relationships/diagramLayout" Target="diagrams/layout1.xml"/><Relationship Id="rId19" Type="http://schemas.openxmlformats.org/officeDocument/2006/relationships/diagramData" Target="diagrams/data2.xml"/><Relationship Id="rId31"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gif"/><Relationship Id="rId22" Type="http://schemas.openxmlformats.org/officeDocument/2006/relationships/diagramColors" Target="diagrams/colors2.xml"/><Relationship Id="rId27" Type="http://schemas.openxmlformats.org/officeDocument/2006/relationships/image" Target="media/image10.jpeg"/><Relationship Id="rId30" Type="http://schemas.openxmlformats.org/officeDocument/2006/relationships/diagramData" Target="diagrams/data3.xml"/><Relationship Id="rId35"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5B793B-CFF8-4860-BB56-9BF059326581}"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en-US"/>
        </a:p>
      </dgm:t>
    </dgm:pt>
    <dgm:pt modelId="{0ABA113A-6CF8-46B8-9B8F-6B0037FC3F98}">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b="1">
              <a:latin typeface="Arial" pitchFamily="34" charset="0"/>
              <a:cs typeface="Arial" pitchFamily="34" charset="0"/>
            </a:rPr>
            <a:t>Interview</a:t>
          </a:r>
        </a:p>
      </dgm:t>
    </dgm:pt>
    <dgm:pt modelId="{2D1214E7-694C-4D42-83FA-D10B195E6472}" type="parTrans" cxnId="{6EBB71E4-5301-4369-9BB8-5E038EA40AAC}">
      <dgm:prSet/>
      <dgm:spPr/>
      <dgm:t>
        <a:bodyPr/>
        <a:lstStyle/>
        <a:p>
          <a:endParaRPr lang="en-US"/>
        </a:p>
      </dgm:t>
    </dgm:pt>
    <dgm:pt modelId="{90FB50E7-C58C-44B6-AB0D-A5BB563756FC}" type="sibTrans" cxnId="{6EBB71E4-5301-4369-9BB8-5E038EA40AAC}">
      <dgm:prSet/>
      <dgm:spPr/>
      <dgm:t>
        <a:bodyPr/>
        <a:lstStyle/>
        <a:p>
          <a:endParaRPr lang="en-US"/>
        </a:p>
      </dgm:t>
    </dgm:pt>
    <dgm:pt modelId="{CE6BE82D-C183-4CEC-A8BE-14DB4C83B3AF}">
      <dgm:prSet phldrT="[Text]" custT="1">
        <dgm:style>
          <a:lnRef idx="2">
            <a:schemeClr val="dk1"/>
          </a:lnRef>
          <a:fillRef idx="1">
            <a:schemeClr val="lt1"/>
          </a:fillRef>
          <a:effectRef idx="0">
            <a:schemeClr val="dk1"/>
          </a:effectRef>
          <a:fontRef idx="minor">
            <a:schemeClr val="dk1"/>
          </a:fontRef>
        </dgm:style>
      </dgm:prSet>
      <dgm:spPr>
        <a:ln/>
      </dgm:spPr>
      <dgm:t>
        <a:bodyPr/>
        <a:lstStyle/>
        <a:p>
          <a:r>
            <a:rPr lang="en-US" sz="1200" b="1">
              <a:latin typeface="Arial" pitchFamily="34" charset="0"/>
              <a:cs typeface="Arial" pitchFamily="34" charset="0"/>
            </a:rPr>
            <a:t>Suspect</a:t>
          </a:r>
        </a:p>
      </dgm:t>
    </dgm:pt>
    <dgm:pt modelId="{AE0B820E-F5FE-4E46-BE19-200DC8EA641E}" type="parTrans" cxnId="{041E343F-864A-48AF-B7B0-AD1EFEC1C462}">
      <dgm:prSet/>
      <dgm:spPr/>
      <dgm:t>
        <a:bodyPr/>
        <a:lstStyle/>
        <a:p>
          <a:endParaRPr lang="en-US"/>
        </a:p>
      </dgm:t>
    </dgm:pt>
    <dgm:pt modelId="{4B9A2C22-2A9E-4658-B229-8D07EADC06FD}" type="sibTrans" cxnId="{041E343F-864A-48AF-B7B0-AD1EFEC1C462}">
      <dgm:prSet/>
      <dgm:spPr/>
      <dgm:t>
        <a:bodyPr/>
        <a:lstStyle/>
        <a:p>
          <a:endParaRPr lang="en-US"/>
        </a:p>
      </dgm:t>
    </dgm:pt>
    <dgm:pt modelId="{3FA8D8FF-DB78-430B-A6D5-AB3F34136E6B}">
      <dgm:prSet phldrT="[Text]" custT="1">
        <dgm:style>
          <a:lnRef idx="2">
            <a:schemeClr val="dk1"/>
          </a:lnRef>
          <a:fillRef idx="1">
            <a:schemeClr val="lt1"/>
          </a:fillRef>
          <a:effectRef idx="0">
            <a:schemeClr val="dk1"/>
          </a:effectRef>
          <a:fontRef idx="minor">
            <a:schemeClr val="dk1"/>
          </a:fontRef>
        </dgm:style>
      </dgm:prSet>
      <dgm:spPr>
        <a:ln/>
      </dgm:spPr>
      <dgm:t>
        <a:bodyPr/>
        <a:lstStyle/>
        <a:p>
          <a:r>
            <a:rPr lang="en-US" sz="1200" b="1">
              <a:latin typeface="Arial" pitchFamily="34" charset="0"/>
              <a:cs typeface="Arial" pitchFamily="34" charset="0"/>
            </a:rPr>
            <a:t>Witness</a:t>
          </a:r>
        </a:p>
      </dgm:t>
    </dgm:pt>
    <dgm:pt modelId="{3908D634-41B2-4BE3-AA28-7B712B38C447}" type="parTrans" cxnId="{4ED38129-2736-4764-AC12-2E019DA25456}">
      <dgm:prSet/>
      <dgm:spPr/>
      <dgm:t>
        <a:bodyPr/>
        <a:lstStyle/>
        <a:p>
          <a:endParaRPr lang="en-US"/>
        </a:p>
      </dgm:t>
    </dgm:pt>
    <dgm:pt modelId="{65405610-4F5B-4CAB-A389-36FA13781DDA}" type="sibTrans" cxnId="{4ED38129-2736-4764-AC12-2E019DA25456}">
      <dgm:prSet/>
      <dgm:spPr/>
      <dgm:t>
        <a:bodyPr/>
        <a:lstStyle/>
        <a:p>
          <a:endParaRPr lang="en-US"/>
        </a:p>
      </dgm:t>
    </dgm:pt>
    <dgm:pt modelId="{7A7CEA18-C64C-427A-9433-42F2DC3608DC}" type="pres">
      <dgm:prSet presAssocID="{C55B793B-CFF8-4860-BB56-9BF059326581}" presName="hierChild1" presStyleCnt="0">
        <dgm:presLayoutVars>
          <dgm:orgChart val="1"/>
          <dgm:chPref val="1"/>
          <dgm:dir/>
          <dgm:animOne val="branch"/>
          <dgm:animLvl val="lvl"/>
          <dgm:resizeHandles/>
        </dgm:presLayoutVars>
      </dgm:prSet>
      <dgm:spPr/>
      <dgm:t>
        <a:bodyPr/>
        <a:lstStyle/>
        <a:p>
          <a:endParaRPr lang="en-US"/>
        </a:p>
      </dgm:t>
    </dgm:pt>
    <dgm:pt modelId="{0A1028F6-D4A6-4DCF-82B2-0B11E26D43BD}" type="pres">
      <dgm:prSet presAssocID="{0ABA113A-6CF8-46B8-9B8F-6B0037FC3F98}" presName="hierRoot1" presStyleCnt="0">
        <dgm:presLayoutVars>
          <dgm:hierBranch val="init"/>
        </dgm:presLayoutVars>
      </dgm:prSet>
      <dgm:spPr/>
    </dgm:pt>
    <dgm:pt modelId="{51AC0A57-EB64-4AA7-B8C5-9CCAA993AFE2}" type="pres">
      <dgm:prSet presAssocID="{0ABA113A-6CF8-46B8-9B8F-6B0037FC3F98}" presName="rootComposite1" presStyleCnt="0"/>
      <dgm:spPr/>
    </dgm:pt>
    <dgm:pt modelId="{CC549155-60D4-4A52-BCFB-CA38E8EC83BC}" type="pres">
      <dgm:prSet presAssocID="{0ABA113A-6CF8-46B8-9B8F-6B0037FC3F98}" presName="rootText1" presStyleLbl="node0" presStyleIdx="0" presStyleCnt="1">
        <dgm:presLayoutVars>
          <dgm:chPref val="3"/>
        </dgm:presLayoutVars>
      </dgm:prSet>
      <dgm:spPr/>
      <dgm:t>
        <a:bodyPr/>
        <a:lstStyle/>
        <a:p>
          <a:endParaRPr lang="en-US"/>
        </a:p>
      </dgm:t>
    </dgm:pt>
    <dgm:pt modelId="{5A4916E0-EE17-43BC-9EDB-5DE5504C8CDD}" type="pres">
      <dgm:prSet presAssocID="{0ABA113A-6CF8-46B8-9B8F-6B0037FC3F98}" presName="rootConnector1" presStyleLbl="node1" presStyleIdx="0" presStyleCnt="0"/>
      <dgm:spPr/>
      <dgm:t>
        <a:bodyPr/>
        <a:lstStyle/>
        <a:p>
          <a:endParaRPr lang="en-US"/>
        </a:p>
      </dgm:t>
    </dgm:pt>
    <dgm:pt modelId="{E028F0D4-3BEC-4FFE-BCB2-030AC1BB846B}" type="pres">
      <dgm:prSet presAssocID="{0ABA113A-6CF8-46B8-9B8F-6B0037FC3F98}" presName="hierChild2" presStyleCnt="0"/>
      <dgm:spPr/>
    </dgm:pt>
    <dgm:pt modelId="{CC495041-DECF-487B-971A-E37C4D55426A}" type="pres">
      <dgm:prSet presAssocID="{AE0B820E-F5FE-4E46-BE19-200DC8EA641E}" presName="Name37" presStyleLbl="parChTrans1D2" presStyleIdx="0" presStyleCnt="2"/>
      <dgm:spPr/>
      <dgm:t>
        <a:bodyPr/>
        <a:lstStyle/>
        <a:p>
          <a:endParaRPr lang="en-US"/>
        </a:p>
      </dgm:t>
    </dgm:pt>
    <dgm:pt modelId="{FCCEE663-ACF9-4BC9-9953-DB1E8CED880A}" type="pres">
      <dgm:prSet presAssocID="{CE6BE82D-C183-4CEC-A8BE-14DB4C83B3AF}" presName="hierRoot2" presStyleCnt="0">
        <dgm:presLayoutVars>
          <dgm:hierBranch val="init"/>
        </dgm:presLayoutVars>
      </dgm:prSet>
      <dgm:spPr/>
    </dgm:pt>
    <dgm:pt modelId="{CBA5268D-F336-4512-BA99-50AB9236F3ED}" type="pres">
      <dgm:prSet presAssocID="{CE6BE82D-C183-4CEC-A8BE-14DB4C83B3AF}" presName="rootComposite" presStyleCnt="0"/>
      <dgm:spPr/>
    </dgm:pt>
    <dgm:pt modelId="{1DCB6932-B337-4299-BAE8-2AF754EBFD5F}" type="pres">
      <dgm:prSet presAssocID="{CE6BE82D-C183-4CEC-A8BE-14DB4C83B3AF}" presName="rootText" presStyleLbl="node2" presStyleIdx="0" presStyleCnt="2">
        <dgm:presLayoutVars>
          <dgm:chPref val="3"/>
        </dgm:presLayoutVars>
      </dgm:prSet>
      <dgm:spPr/>
      <dgm:t>
        <a:bodyPr/>
        <a:lstStyle/>
        <a:p>
          <a:endParaRPr lang="en-US"/>
        </a:p>
      </dgm:t>
    </dgm:pt>
    <dgm:pt modelId="{4A0617EE-34B4-428D-9380-994AB1024669}" type="pres">
      <dgm:prSet presAssocID="{CE6BE82D-C183-4CEC-A8BE-14DB4C83B3AF}" presName="rootConnector" presStyleLbl="node2" presStyleIdx="0" presStyleCnt="2"/>
      <dgm:spPr/>
      <dgm:t>
        <a:bodyPr/>
        <a:lstStyle/>
        <a:p>
          <a:endParaRPr lang="en-US"/>
        </a:p>
      </dgm:t>
    </dgm:pt>
    <dgm:pt modelId="{A81B6B9A-B9C7-4339-8ED1-11A7BA79A6AF}" type="pres">
      <dgm:prSet presAssocID="{CE6BE82D-C183-4CEC-A8BE-14DB4C83B3AF}" presName="hierChild4" presStyleCnt="0"/>
      <dgm:spPr/>
    </dgm:pt>
    <dgm:pt modelId="{D4655C21-5892-407C-B353-0DF94D72B5A6}" type="pres">
      <dgm:prSet presAssocID="{CE6BE82D-C183-4CEC-A8BE-14DB4C83B3AF}" presName="hierChild5" presStyleCnt="0"/>
      <dgm:spPr/>
    </dgm:pt>
    <dgm:pt modelId="{798A1FCB-44FC-4D3A-AD80-BA946E954C78}" type="pres">
      <dgm:prSet presAssocID="{3908D634-41B2-4BE3-AA28-7B712B38C447}" presName="Name37" presStyleLbl="parChTrans1D2" presStyleIdx="1" presStyleCnt="2"/>
      <dgm:spPr/>
      <dgm:t>
        <a:bodyPr/>
        <a:lstStyle/>
        <a:p>
          <a:endParaRPr lang="en-US"/>
        </a:p>
      </dgm:t>
    </dgm:pt>
    <dgm:pt modelId="{1B8D4FD8-B6BA-451B-8069-1E6364006E6E}" type="pres">
      <dgm:prSet presAssocID="{3FA8D8FF-DB78-430B-A6D5-AB3F34136E6B}" presName="hierRoot2" presStyleCnt="0">
        <dgm:presLayoutVars>
          <dgm:hierBranch val="init"/>
        </dgm:presLayoutVars>
      </dgm:prSet>
      <dgm:spPr/>
    </dgm:pt>
    <dgm:pt modelId="{D089B2EE-6198-4FFF-B0A8-246DA155D0FA}" type="pres">
      <dgm:prSet presAssocID="{3FA8D8FF-DB78-430B-A6D5-AB3F34136E6B}" presName="rootComposite" presStyleCnt="0"/>
      <dgm:spPr/>
    </dgm:pt>
    <dgm:pt modelId="{AB8C9987-D3B4-4E82-AB65-F8FB0862A13E}" type="pres">
      <dgm:prSet presAssocID="{3FA8D8FF-DB78-430B-A6D5-AB3F34136E6B}" presName="rootText" presStyleLbl="node2" presStyleIdx="1" presStyleCnt="2">
        <dgm:presLayoutVars>
          <dgm:chPref val="3"/>
        </dgm:presLayoutVars>
      </dgm:prSet>
      <dgm:spPr/>
      <dgm:t>
        <a:bodyPr/>
        <a:lstStyle/>
        <a:p>
          <a:endParaRPr lang="en-US"/>
        </a:p>
      </dgm:t>
    </dgm:pt>
    <dgm:pt modelId="{8FC9E65C-EC41-4A42-99BE-9DC41C0191AB}" type="pres">
      <dgm:prSet presAssocID="{3FA8D8FF-DB78-430B-A6D5-AB3F34136E6B}" presName="rootConnector" presStyleLbl="node2" presStyleIdx="1" presStyleCnt="2"/>
      <dgm:spPr/>
      <dgm:t>
        <a:bodyPr/>
        <a:lstStyle/>
        <a:p>
          <a:endParaRPr lang="en-US"/>
        </a:p>
      </dgm:t>
    </dgm:pt>
    <dgm:pt modelId="{64EE9560-0BBE-427F-AAC2-8CF4DCE05DB4}" type="pres">
      <dgm:prSet presAssocID="{3FA8D8FF-DB78-430B-A6D5-AB3F34136E6B}" presName="hierChild4" presStyleCnt="0"/>
      <dgm:spPr/>
    </dgm:pt>
    <dgm:pt modelId="{AA1B9B7E-01D5-4BE8-9B12-7779094371B0}" type="pres">
      <dgm:prSet presAssocID="{3FA8D8FF-DB78-430B-A6D5-AB3F34136E6B}" presName="hierChild5" presStyleCnt="0"/>
      <dgm:spPr/>
    </dgm:pt>
    <dgm:pt modelId="{51E9F1C2-CE0B-4EBC-B5C4-9B5BBB66482D}" type="pres">
      <dgm:prSet presAssocID="{0ABA113A-6CF8-46B8-9B8F-6B0037FC3F98}" presName="hierChild3" presStyleCnt="0"/>
      <dgm:spPr/>
    </dgm:pt>
  </dgm:ptLst>
  <dgm:cxnLst>
    <dgm:cxn modelId="{3C6EDE31-F3EE-40B6-A637-A5AD10FA8BDF}" type="presOf" srcId="{CE6BE82D-C183-4CEC-A8BE-14DB4C83B3AF}" destId="{4A0617EE-34B4-428D-9380-994AB1024669}" srcOrd="1" destOrd="0" presId="urn:microsoft.com/office/officeart/2005/8/layout/orgChart1"/>
    <dgm:cxn modelId="{3CE84DCF-F7BA-437B-8F92-1BF81CC3C31F}" type="presOf" srcId="{3FA8D8FF-DB78-430B-A6D5-AB3F34136E6B}" destId="{8FC9E65C-EC41-4A42-99BE-9DC41C0191AB}" srcOrd="1" destOrd="0" presId="urn:microsoft.com/office/officeart/2005/8/layout/orgChart1"/>
    <dgm:cxn modelId="{6EBB71E4-5301-4369-9BB8-5E038EA40AAC}" srcId="{C55B793B-CFF8-4860-BB56-9BF059326581}" destId="{0ABA113A-6CF8-46B8-9B8F-6B0037FC3F98}" srcOrd="0" destOrd="0" parTransId="{2D1214E7-694C-4D42-83FA-D10B195E6472}" sibTransId="{90FB50E7-C58C-44B6-AB0D-A5BB563756FC}"/>
    <dgm:cxn modelId="{97E25015-2253-4339-9C06-3BE2A2763697}" type="presOf" srcId="{3FA8D8FF-DB78-430B-A6D5-AB3F34136E6B}" destId="{AB8C9987-D3B4-4E82-AB65-F8FB0862A13E}" srcOrd="0" destOrd="0" presId="urn:microsoft.com/office/officeart/2005/8/layout/orgChart1"/>
    <dgm:cxn modelId="{9ACE7746-C084-41A2-8BD8-BE599F3DD96F}" type="presOf" srcId="{C55B793B-CFF8-4860-BB56-9BF059326581}" destId="{7A7CEA18-C64C-427A-9433-42F2DC3608DC}" srcOrd="0" destOrd="0" presId="urn:microsoft.com/office/officeart/2005/8/layout/orgChart1"/>
    <dgm:cxn modelId="{72F73914-2E04-4BBC-89E9-BB8781546F60}" type="presOf" srcId="{AE0B820E-F5FE-4E46-BE19-200DC8EA641E}" destId="{CC495041-DECF-487B-971A-E37C4D55426A}" srcOrd="0" destOrd="0" presId="urn:microsoft.com/office/officeart/2005/8/layout/orgChart1"/>
    <dgm:cxn modelId="{11E572B3-BDB1-4476-B1E9-DB504A6E5238}" type="presOf" srcId="{3908D634-41B2-4BE3-AA28-7B712B38C447}" destId="{798A1FCB-44FC-4D3A-AD80-BA946E954C78}" srcOrd="0" destOrd="0" presId="urn:microsoft.com/office/officeart/2005/8/layout/orgChart1"/>
    <dgm:cxn modelId="{4ED38129-2736-4764-AC12-2E019DA25456}" srcId="{0ABA113A-6CF8-46B8-9B8F-6B0037FC3F98}" destId="{3FA8D8FF-DB78-430B-A6D5-AB3F34136E6B}" srcOrd="1" destOrd="0" parTransId="{3908D634-41B2-4BE3-AA28-7B712B38C447}" sibTransId="{65405610-4F5B-4CAB-A389-36FA13781DDA}"/>
    <dgm:cxn modelId="{68AFBF95-5ACD-4057-A592-BC52911D6100}" type="presOf" srcId="{0ABA113A-6CF8-46B8-9B8F-6B0037FC3F98}" destId="{5A4916E0-EE17-43BC-9EDB-5DE5504C8CDD}" srcOrd="1" destOrd="0" presId="urn:microsoft.com/office/officeart/2005/8/layout/orgChart1"/>
    <dgm:cxn modelId="{1A8874B9-828F-4C2D-9EBA-9CB4FD33FD7D}" type="presOf" srcId="{CE6BE82D-C183-4CEC-A8BE-14DB4C83B3AF}" destId="{1DCB6932-B337-4299-BAE8-2AF754EBFD5F}" srcOrd="0" destOrd="0" presId="urn:microsoft.com/office/officeart/2005/8/layout/orgChart1"/>
    <dgm:cxn modelId="{CCDA2754-8462-49D3-AD52-05A11E8DCCD1}" type="presOf" srcId="{0ABA113A-6CF8-46B8-9B8F-6B0037FC3F98}" destId="{CC549155-60D4-4A52-BCFB-CA38E8EC83BC}" srcOrd="0" destOrd="0" presId="urn:microsoft.com/office/officeart/2005/8/layout/orgChart1"/>
    <dgm:cxn modelId="{041E343F-864A-48AF-B7B0-AD1EFEC1C462}" srcId="{0ABA113A-6CF8-46B8-9B8F-6B0037FC3F98}" destId="{CE6BE82D-C183-4CEC-A8BE-14DB4C83B3AF}" srcOrd="0" destOrd="0" parTransId="{AE0B820E-F5FE-4E46-BE19-200DC8EA641E}" sibTransId="{4B9A2C22-2A9E-4658-B229-8D07EADC06FD}"/>
    <dgm:cxn modelId="{91159AC7-4F05-44F4-948D-E76E53F573B5}" type="presParOf" srcId="{7A7CEA18-C64C-427A-9433-42F2DC3608DC}" destId="{0A1028F6-D4A6-4DCF-82B2-0B11E26D43BD}" srcOrd="0" destOrd="0" presId="urn:microsoft.com/office/officeart/2005/8/layout/orgChart1"/>
    <dgm:cxn modelId="{3B7B0DB9-3F2D-4A6B-BD73-024B39501B6F}" type="presParOf" srcId="{0A1028F6-D4A6-4DCF-82B2-0B11E26D43BD}" destId="{51AC0A57-EB64-4AA7-B8C5-9CCAA993AFE2}" srcOrd="0" destOrd="0" presId="urn:microsoft.com/office/officeart/2005/8/layout/orgChart1"/>
    <dgm:cxn modelId="{563746B4-EDA8-4462-BC71-70A019CC3896}" type="presParOf" srcId="{51AC0A57-EB64-4AA7-B8C5-9CCAA993AFE2}" destId="{CC549155-60D4-4A52-BCFB-CA38E8EC83BC}" srcOrd="0" destOrd="0" presId="urn:microsoft.com/office/officeart/2005/8/layout/orgChart1"/>
    <dgm:cxn modelId="{80CDFE07-558A-4A00-8EC6-DD2C412CB686}" type="presParOf" srcId="{51AC0A57-EB64-4AA7-B8C5-9CCAA993AFE2}" destId="{5A4916E0-EE17-43BC-9EDB-5DE5504C8CDD}" srcOrd="1" destOrd="0" presId="urn:microsoft.com/office/officeart/2005/8/layout/orgChart1"/>
    <dgm:cxn modelId="{2D126C74-27E8-4C45-A144-783CA5CE3C2D}" type="presParOf" srcId="{0A1028F6-D4A6-4DCF-82B2-0B11E26D43BD}" destId="{E028F0D4-3BEC-4FFE-BCB2-030AC1BB846B}" srcOrd="1" destOrd="0" presId="urn:microsoft.com/office/officeart/2005/8/layout/orgChart1"/>
    <dgm:cxn modelId="{F7BBBDE9-EBF0-4354-AFFC-3957FBC631D8}" type="presParOf" srcId="{E028F0D4-3BEC-4FFE-BCB2-030AC1BB846B}" destId="{CC495041-DECF-487B-971A-E37C4D55426A}" srcOrd="0" destOrd="0" presId="urn:microsoft.com/office/officeart/2005/8/layout/orgChart1"/>
    <dgm:cxn modelId="{5F4D2A88-941D-49A2-BA57-84D25564F05F}" type="presParOf" srcId="{E028F0D4-3BEC-4FFE-BCB2-030AC1BB846B}" destId="{FCCEE663-ACF9-4BC9-9953-DB1E8CED880A}" srcOrd="1" destOrd="0" presId="urn:microsoft.com/office/officeart/2005/8/layout/orgChart1"/>
    <dgm:cxn modelId="{6279B22F-4D73-438F-9CA5-1485A31E9590}" type="presParOf" srcId="{FCCEE663-ACF9-4BC9-9953-DB1E8CED880A}" destId="{CBA5268D-F336-4512-BA99-50AB9236F3ED}" srcOrd="0" destOrd="0" presId="urn:microsoft.com/office/officeart/2005/8/layout/orgChart1"/>
    <dgm:cxn modelId="{85408569-9E2B-4043-ABC0-177B486CEED6}" type="presParOf" srcId="{CBA5268D-F336-4512-BA99-50AB9236F3ED}" destId="{1DCB6932-B337-4299-BAE8-2AF754EBFD5F}" srcOrd="0" destOrd="0" presId="urn:microsoft.com/office/officeart/2005/8/layout/orgChart1"/>
    <dgm:cxn modelId="{52E901F1-FCA1-4F44-886B-87DFD6914533}" type="presParOf" srcId="{CBA5268D-F336-4512-BA99-50AB9236F3ED}" destId="{4A0617EE-34B4-428D-9380-994AB1024669}" srcOrd="1" destOrd="0" presId="urn:microsoft.com/office/officeart/2005/8/layout/orgChart1"/>
    <dgm:cxn modelId="{7C3075EA-57CA-4B81-9B6C-A4561FADF9A1}" type="presParOf" srcId="{FCCEE663-ACF9-4BC9-9953-DB1E8CED880A}" destId="{A81B6B9A-B9C7-4339-8ED1-11A7BA79A6AF}" srcOrd="1" destOrd="0" presId="urn:microsoft.com/office/officeart/2005/8/layout/orgChart1"/>
    <dgm:cxn modelId="{7F7278C0-BFD6-4FCF-94CA-D0F5C7AE26EE}" type="presParOf" srcId="{FCCEE663-ACF9-4BC9-9953-DB1E8CED880A}" destId="{D4655C21-5892-407C-B353-0DF94D72B5A6}" srcOrd="2" destOrd="0" presId="urn:microsoft.com/office/officeart/2005/8/layout/orgChart1"/>
    <dgm:cxn modelId="{8DE7C52A-2A0F-4E0D-AEDE-6B30700ECB99}" type="presParOf" srcId="{E028F0D4-3BEC-4FFE-BCB2-030AC1BB846B}" destId="{798A1FCB-44FC-4D3A-AD80-BA946E954C78}" srcOrd="2" destOrd="0" presId="urn:microsoft.com/office/officeart/2005/8/layout/orgChart1"/>
    <dgm:cxn modelId="{2466D5B9-CD75-42D2-8DE9-4678078ACBAC}" type="presParOf" srcId="{E028F0D4-3BEC-4FFE-BCB2-030AC1BB846B}" destId="{1B8D4FD8-B6BA-451B-8069-1E6364006E6E}" srcOrd="3" destOrd="0" presId="urn:microsoft.com/office/officeart/2005/8/layout/orgChart1"/>
    <dgm:cxn modelId="{079B8A88-0861-4B3B-A1BA-E1EA65ECD646}" type="presParOf" srcId="{1B8D4FD8-B6BA-451B-8069-1E6364006E6E}" destId="{D089B2EE-6198-4FFF-B0A8-246DA155D0FA}" srcOrd="0" destOrd="0" presId="urn:microsoft.com/office/officeart/2005/8/layout/orgChart1"/>
    <dgm:cxn modelId="{4605ED55-AB78-4089-BDB8-075DF2761C32}" type="presParOf" srcId="{D089B2EE-6198-4FFF-B0A8-246DA155D0FA}" destId="{AB8C9987-D3B4-4E82-AB65-F8FB0862A13E}" srcOrd="0" destOrd="0" presId="urn:microsoft.com/office/officeart/2005/8/layout/orgChart1"/>
    <dgm:cxn modelId="{D1B419C1-5E19-4CBA-8A11-AFB259837884}" type="presParOf" srcId="{D089B2EE-6198-4FFF-B0A8-246DA155D0FA}" destId="{8FC9E65C-EC41-4A42-99BE-9DC41C0191AB}" srcOrd="1" destOrd="0" presId="urn:microsoft.com/office/officeart/2005/8/layout/orgChart1"/>
    <dgm:cxn modelId="{096EDAD7-1824-4484-89DD-029D1E38888B}" type="presParOf" srcId="{1B8D4FD8-B6BA-451B-8069-1E6364006E6E}" destId="{64EE9560-0BBE-427F-AAC2-8CF4DCE05DB4}" srcOrd="1" destOrd="0" presId="urn:microsoft.com/office/officeart/2005/8/layout/orgChart1"/>
    <dgm:cxn modelId="{0D898189-811F-4286-922C-B98323BA4205}" type="presParOf" srcId="{1B8D4FD8-B6BA-451B-8069-1E6364006E6E}" destId="{AA1B9B7E-01D5-4BE8-9B12-7779094371B0}" srcOrd="2" destOrd="0" presId="urn:microsoft.com/office/officeart/2005/8/layout/orgChart1"/>
    <dgm:cxn modelId="{DB573D62-25BC-4328-8372-434E263B1F2D}" type="presParOf" srcId="{0A1028F6-D4A6-4DCF-82B2-0B11E26D43BD}" destId="{51E9F1C2-CE0B-4EBC-B5C4-9B5BBB66482D}" srcOrd="2" destOrd="0" presId="urn:microsoft.com/office/officeart/2005/8/layout/orgChar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278FCE-E8CE-4A8A-A7DE-2D4F3F5E74CC}" type="doc">
      <dgm:prSet loTypeId="urn:microsoft.com/office/officeart/2005/8/layout/hProcess4" loCatId="process" qsTypeId="urn:microsoft.com/office/officeart/2005/8/quickstyle/simple4" qsCatId="simple" csTypeId="urn:microsoft.com/office/officeart/2005/8/colors/accent1_2" csCatId="accent1" phldr="1"/>
      <dgm:spPr/>
    </dgm:pt>
    <dgm:pt modelId="{D5906D97-A2FD-4A8C-BD07-6312EAABB4C9}">
      <dgm:prSet phldrT="[Text]"/>
      <dgm:spPr/>
      <dgm:t>
        <a:bodyPr/>
        <a:lstStyle/>
        <a:p>
          <a:r>
            <a:rPr lang="en-US">
              <a:solidFill>
                <a:schemeClr val="bg1"/>
              </a:solidFill>
            </a:rPr>
            <a:t>Who</a:t>
          </a:r>
        </a:p>
      </dgm:t>
    </dgm:pt>
    <dgm:pt modelId="{AB636BCD-8019-4FE0-8184-5F2AC6757F33}" type="parTrans" cxnId="{CCFBC261-E6FB-49E4-AF2D-6D8B0719B49E}">
      <dgm:prSet/>
      <dgm:spPr/>
      <dgm:t>
        <a:bodyPr/>
        <a:lstStyle/>
        <a:p>
          <a:endParaRPr lang="en-US">
            <a:solidFill>
              <a:schemeClr val="bg1"/>
            </a:solidFill>
          </a:endParaRPr>
        </a:p>
      </dgm:t>
    </dgm:pt>
    <dgm:pt modelId="{3233B6B2-25E6-4CC5-BA7A-6CFD4BE1A151}" type="sibTrans" cxnId="{CCFBC261-E6FB-49E4-AF2D-6D8B0719B49E}">
      <dgm:prSet/>
      <dgm:spPr/>
      <dgm:t>
        <a:bodyPr/>
        <a:lstStyle/>
        <a:p>
          <a:endParaRPr lang="en-US">
            <a:solidFill>
              <a:schemeClr val="bg1"/>
            </a:solidFill>
          </a:endParaRPr>
        </a:p>
      </dgm:t>
    </dgm:pt>
    <dgm:pt modelId="{9E1DF8D7-A418-4BC3-944A-40AED7D0840A}">
      <dgm:prSet phldrT="[Text]"/>
      <dgm:spPr/>
      <dgm:t>
        <a:bodyPr/>
        <a:lstStyle/>
        <a:p>
          <a:r>
            <a:rPr lang="en-US">
              <a:solidFill>
                <a:schemeClr val="bg1"/>
              </a:solidFill>
            </a:rPr>
            <a:t>What	</a:t>
          </a:r>
        </a:p>
      </dgm:t>
    </dgm:pt>
    <dgm:pt modelId="{33395E31-6536-416C-BEC0-8D4808F52FFF}" type="parTrans" cxnId="{7AE63FCC-6A76-4451-A66C-EF570ED6CDCF}">
      <dgm:prSet/>
      <dgm:spPr/>
      <dgm:t>
        <a:bodyPr/>
        <a:lstStyle/>
        <a:p>
          <a:endParaRPr lang="en-US">
            <a:solidFill>
              <a:schemeClr val="bg1"/>
            </a:solidFill>
          </a:endParaRPr>
        </a:p>
      </dgm:t>
    </dgm:pt>
    <dgm:pt modelId="{D741069A-D926-4D63-992C-FBEACF9F2F10}" type="sibTrans" cxnId="{7AE63FCC-6A76-4451-A66C-EF570ED6CDCF}">
      <dgm:prSet/>
      <dgm:spPr/>
      <dgm:t>
        <a:bodyPr/>
        <a:lstStyle/>
        <a:p>
          <a:endParaRPr lang="en-US">
            <a:solidFill>
              <a:schemeClr val="bg1"/>
            </a:solidFill>
          </a:endParaRPr>
        </a:p>
      </dgm:t>
    </dgm:pt>
    <dgm:pt modelId="{9A3876A5-B03A-4E17-A46B-107BD70D3CE3}">
      <dgm:prSet phldrT="[Text]"/>
      <dgm:spPr/>
      <dgm:t>
        <a:bodyPr/>
        <a:lstStyle/>
        <a:p>
          <a:r>
            <a:rPr lang="en-US">
              <a:solidFill>
                <a:schemeClr val="bg1"/>
              </a:solidFill>
            </a:rPr>
            <a:t>Why</a:t>
          </a:r>
        </a:p>
      </dgm:t>
    </dgm:pt>
    <dgm:pt modelId="{DBE990A9-B585-471F-A342-A75809B448D5}" type="parTrans" cxnId="{56212806-BF14-4231-9762-C14DF5FF7B81}">
      <dgm:prSet/>
      <dgm:spPr/>
      <dgm:t>
        <a:bodyPr/>
        <a:lstStyle/>
        <a:p>
          <a:endParaRPr lang="en-US">
            <a:solidFill>
              <a:schemeClr val="bg1"/>
            </a:solidFill>
          </a:endParaRPr>
        </a:p>
      </dgm:t>
    </dgm:pt>
    <dgm:pt modelId="{88657DB7-FEB2-4BBF-BA3D-7C61A4CECC7A}" type="sibTrans" cxnId="{56212806-BF14-4231-9762-C14DF5FF7B81}">
      <dgm:prSet/>
      <dgm:spPr/>
      <dgm:t>
        <a:bodyPr/>
        <a:lstStyle/>
        <a:p>
          <a:endParaRPr lang="en-US">
            <a:solidFill>
              <a:schemeClr val="bg1"/>
            </a:solidFill>
          </a:endParaRPr>
        </a:p>
      </dgm:t>
    </dgm:pt>
    <dgm:pt modelId="{562BC59F-0BD9-45B2-90A8-6448AA4E0C46}">
      <dgm:prSet/>
      <dgm:spPr/>
      <dgm:t>
        <a:bodyPr/>
        <a:lstStyle/>
        <a:p>
          <a:r>
            <a:rPr lang="en-US">
              <a:solidFill>
                <a:schemeClr val="bg1"/>
              </a:solidFill>
            </a:rPr>
            <a:t>When</a:t>
          </a:r>
        </a:p>
      </dgm:t>
    </dgm:pt>
    <dgm:pt modelId="{570D2879-F1EB-44CA-AE3A-99F92C28E680}" type="parTrans" cxnId="{928DA97E-A816-43DC-9B54-92E95FF7800A}">
      <dgm:prSet/>
      <dgm:spPr/>
      <dgm:t>
        <a:bodyPr/>
        <a:lstStyle/>
        <a:p>
          <a:endParaRPr lang="en-US">
            <a:solidFill>
              <a:schemeClr val="bg1"/>
            </a:solidFill>
          </a:endParaRPr>
        </a:p>
      </dgm:t>
    </dgm:pt>
    <dgm:pt modelId="{EAC584F1-E9DF-4D1B-893B-41BD557175B3}" type="sibTrans" cxnId="{928DA97E-A816-43DC-9B54-92E95FF7800A}">
      <dgm:prSet/>
      <dgm:spPr/>
      <dgm:t>
        <a:bodyPr/>
        <a:lstStyle/>
        <a:p>
          <a:endParaRPr lang="en-US">
            <a:solidFill>
              <a:schemeClr val="bg1"/>
            </a:solidFill>
          </a:endParaRPr>
        </a:p>
      </dgm:t>
    </dgm:pt>
    <dgm:pt modelId="{EE4F4022-173E-4794-9A78-C3CD49E7027D}">
      <dgm:prSet/>
      <dgm:spPr/>
      <dgm:t>
        <a:bodyPr/>
        <a:lstStyle/>
        <a:p>
          <a:r>
            <a:rPr lang="en-US">
              <a:solidFill>
                <a:schemeClr val="bg1"/>
              </a:solidFill>
            </a:rPr>
            <a:t>Where</a:t>
          </a:r>
        </a:p>
      </dgm:t>
    </dgm:pt>
    <dgm:pt modelId="{D5C2B027-19B4-4D91-B233-B77E8BB90816}" type="parTrans" cxnId="{BF0DCFBC-6A05-4F5D-9CBF-D9B691DDBE6A}">
      <dgm:prSet/>
      <dgm:spPr/>
      <dgm:t>
        <a:bodyPr/>
        <a:lstStyle/>
        <a:p>
          <a:endParaRPr lang="en-US">
            <a:solidFill>
              <a:schemeClr val="bg1"/>
            </a:solidFill>
          </a:endParaRPr>
        </a:p>
      </dgm:t>
    </dgm:pt>
    <dgm:pt modelId="{C37B393F-98FA-4235-AF4E-BE8BAF927FDE}" type="sibTrans" cxnId="{BF0DCFBC-6A05-4F5D-9CBF-D9B691DDBE6A}">
      <dgm:prSet/>
      <dgm:spPr/>
      <dgm:t>
        <a:bodyPr/>
        <a:lstStyle/>
        <a:p>
          <a:endParaRPr lang="en-US">
            <a:solidFill>
              <a:schemeClr val="bg1"/>
            </a:solidFill>
          </a:endParaRPr>
        </a:p>
      </dgm:t>
    </dgm:pt>
    <dgm:pt modelId="{7ABC2FFC-FFEF-4F99-B475-59573C4AA7A7}">
      <dgm:prSet/>
      <dgm:spPr/>
      <dgm:t>
        <a:bodyPr/>
        <a:lstStyle/>
        <a:p>
          <a:r>
            <a:rPr lang="en-US">
              <a:solidFill>
                <a:schemeClr val="bg1"/>
              </a:solidFill>
            </a:rPr>
            <a:t>How</a:t>
          </a:r>
        </a:p>
      </dgm:t>
    </dgm:pt>
    <dgm:pt modelId="{1688A376-4162-475B-A360-65955CFB1C86}" type="parTrans" cxnId="{A5F6F954-71DB-4AE5-A475-C3F901AFF748}">
      <dgm:prSet/>
      <dgm:spPr/>
      <dgm:t>
        <a:bodyPr/>
        <a:lstStyle/>
        <a:p>
          <a:endParaRPr lang="en-US">
            <a:solidFill>
              <a:schemeClr val="bg1"/>
            </a:solidFill>
          </a:endParaRPr>
        </a:p>
      </dgm:t>
    </dgm:pt>
    <dgm:pt modelId="{BF055D17-010B-444D-9A95-ACD7B4AB041B}" type="sibTrans" cxnId="{A5F6F954-71DB-4AE5-A475-C3F901AFF748}">
      <dgm:prSet/>
      <dgm:spPr/>
      <dgm:t>
        <a:bodyPr/>
        <a:lstStyle/>
        <a:p>
          <a:endParaRPr lang="en-US">
            <a:solidFill>
              <a:schemeClr val="bg1"/>
            </a:solidFill>
          </a:endParaRPr>
        </a:p>
      </dgm:t>
    </dgm:pt>
    <dgm:pt modelId="{EF0844A5-58BB-4D5D-8DBB-151DEDEF0933}">
      <dgm:prSet/>
      <dgm:spPr/>
      <dgm:t>
        <a:bodyPr/>
        <a:lstStyle/>
        <a:p>
          <a:r>
            <a:rPr lang="en-US"/>
            <a:t>a</a:t>
          </a:r>
        </a:p>
      </dgm:t>
    </dgm:pt>
    <dgm:pt modelId="{CBA9C17F-46CD-4BF9-AA1E-C90B019D5FDB}" type="parTrans" cxnId="{A0B2DC42-1486-468B-8780-D41F6AD62600}">
      <dgm:prSet/>
      <dgm:spPr/>
      <dgm:t>
        <a:bodyPr/>
        <a:lstStyle/>
        <a:p>
          <a:endParaRPr lang="en-US"/>
        </a:p>
      </dgm:t>
    </dgm:pt>
    <dgm:pt modelId="{AAA5193F-64CB-4C27-BD7E-62CE4B577389}" type="sibTrans" cxnId="{A0B2DC42-1486-468B-8780-D41F6AD62600}">
      <dgm:prSet/>
      <dgm:spPr/>
      <dgm:t>
        <a:bodyPr/>
        <a:lstStyle/>
        <a:p>
          <a:endParaRPr lang="en-US"/>
        </a:p>
      </dgm:t>
    </dgm:pt>
    <dgm:pt modelId="{30DDC014-4A75-44A5-9ACA-B747B79C1FB5}">
      <dgm:prSet/>
      <dgm:spPr/>
      <dgm:t>
        <a:bodyPr/>
        <a:lstStyle/>
        <a:p>
          <a:r>
            <a:rPr lang="en-US"/>
            <a:t>b</a:t>
          </a:r>
        </a:p>
      </dgm:t>
    </dgm:pt>
    <dgm:pt modelId="{5A893C44-088B-4F2A-82C5-06F799E9EA02}" type="parTrans" cxnId="{8EED9EF0-76F2-4898-99F2-A6AF07B1F082}">
      <dgm:prSet/>
      <dgm:spPr/>
      <dgm:t>
        <a:bodyPr/>
        <a:lstStyle/>
        <a:p>
          <a:endParaRPr lang="en-US"/>
        </a:p>
      </dgm:t>
    </dgm:pt>
    <dgm:pt modelId="{3EFCCCB4-34E4-4F79-94CC-EE854638C284}" type="sibTrans" cxnId="{8EED9EF0-76F2-4898-99F2-A6AF07B1F082}">
      <dgm:prSet/>
      <dgm:spPr/>
      <dgm:t>
        <a:bodyPr/>
        <a:lstStyle/>
        <a:p>
          <a:endParaRPr lang="en-US"/>
        </a:p>
      </dgm:t>
    </dgm:pt>
    <dgm:pt modelId="{B6416749-3E3F-4E1F-8437-9DA6236F97BC}">
      <dgm:prSet/>
      <dgm:spPr/>
      <dgm:t>
        <a:bodyPr/>
        <a:lstStyle/>
        <a:p>
          <a:r>
            <a:rPr lang="en-US"/>
            <a:t>e</a:t>
          </a:r>
        </a:p>
      </dgm:t>
    </dgm:pt>
    <dgm:pt modelId="{B99EEE8B-94CD-437E-A0F9-A1CA1ADFD064}" type="parTrans" cxnId="{FE979F68-7D9D-4303-B291-A95EE8F81622}">
      <dgm:prSet/>
      <dgm:spPr/>
      <dgm:t>
        <a:bodyPr/>
        <a:lstStyle/>
        <a:p>
          <a:endParaRPr lang="en-US"/>
        </a:p>
      </dgm:t>
    </dgm:pt>
    <dgm:pt modelId="{1EDDC420-DF80-4194-BB29-E6EDFEC380D0}" type="sibTrans" cxnId="{FE979F68-7D9D-4303-B291-A95EE8F81622}">
      <dgm:prSet/>
      <dgm:spPr/>
      <dgm:t>
        <a:bodyPr/>
        <a:lstStyle/>
        <a:p>
          <a:endParaRPr lang="en-US"/>
        </a:p>
      </dgm:t>
    </dgm:pt>
    <dgm:pt modelId="{E21DE0F4-0E7F-4F7E-AA47-5B8CA99EBED5}">
      <dgm:prSet/>
      <dgm:spPr/>
      <dgm:t>
        <a:bodyPr/>
        <a:lstStyle/>
        <a:p>
          <a:r>
            <a:rPr lang="en-US"/>
            <a:t>c</a:t>
          </a:r>
        </a:p>
      </dgm:t>
    </dgm:pt>
    <dgm:pt modelId="{863EB177-DC7F-4780-AABC-143C9FE97871}" type="parTrans" cxnId="{64785D32-3DB9-4DEE-A211-34140759A71B}">
      <dgm:prSet/>
      <dgm:spPr/>
      <dgm:t>
        <a:bodyPr/>
        <a:lstStyle/>
        <a:p>
          <a:endParaRPr lang="en-US"/>
        </a:p>
      </dgm:t>
    </dgm:pt>
    <dgm:pt modelId="{755648B7-6116-461C-B29F-185B5322B43F}" type="sibTrans" cxnId="{64785D32-3DB9-4DEE-A211-34140759A71B}">
      <dgm:prSet/>
      <dgm:spPr/>
      <dgm:t>
        <a:bodyPr/>
        <a:lstStyle/>
        <a:p>
          <a:endParaRPr lang="en-US"/>
        </a:p>
      </dgm:t>
    </dgm:pt>
    <dgm:pt modelId="{374DE3EB-D2F3-4694-AEA1-FCA9D2851EDA}">
      <dgm:prSet/>
      <dgm:spPr/>
      <dgm:t>
        <a:bodyPr/>
        <a:lstStyle/>
        <a:p>
          <a:r>
            <a:rPr lang="en-US"/>
            <a:t>d</a:t>
          </a:r>
        </a:p>
      </dgm:t>
    </dgm:pt>
    <dgm:pt modelId="{B8E7E9FE-3CB3-4391-961F-67C1DCF07008}" type="parTrans" cxnId="{6A323F24-7479-4E64-BBF5-A3164DFE991D}">
      <dgm:prSet/>
      <dgm:spPr/>
      <dgm:t>
        <a:bodyPr/>
        <a:lstStyle/>
        <a:p>
          <a:endParaRPr lang="en-US"/>
        </a:p>
      </dgm:t>
    </dgm:pt>
    <dgm:pt modelId="{26A63DA0-5B7B-4FE4-BA84-0F24FC123C92}" type="sibTrans" cxnId="{6A323F24-7479-4E64-BBF5-A3164DFE991D}">
      <dgm:prSet/>
      <dgm:spPr/>
      <dgm:t>
        <a:bodyPr/>
        <a:lstStyle/>
        <a:p>
          <a:endParaRPr lang="en-US"/>
        </a:p>
      </dgm:t>
    </dgm:pt>
    <dgm:pt modelId="{412B3BAE-891A-4311-9903-12765ADF5642}">
      <dgm:prSet/>
      <dgm:spPr/>
      <dgm:t>
        <a:bodyPr/>
        <a:lstStyle/>
        <a:p>
          <a:r>
            <a:rPr lang="en-US"/>
            <a:t>f</a:t>
          </a:r>
        </a:p>
      </dgm:t>
    </dgm:pt>
    <dgm:pt modelId="{13D2006B-5522-44F3-9409-3F014D1F9081}" type="parTrans" cxnId="{CECBC563-9209-4818-A5C7-BF5BAECF4341}">
      <dgm:prSet/>
      <dgm:spPr/>
      <dgm:t>
        <a:bodyPr/>
        <a:lstStyle/>
        <a:p>
          <a:endParaRPr lang="en-US"/>
        </a:p>
      </dgm:t>
    </dgm:pt>
    <dgm:pt modelId="{519AF6D3-E7A6-4037-9731-2C0E02C765CC}" type="sibTrans" cxnId="{CECBC563-9209-4818-A5C7-BF5BAECF4341}">
      <dgm:prSet/>
      <dgm:spPr/>
      <dgm:t>
        <a:bodyPr/>
        <a:lstStyle/>
        <a:p>
          <a:endParaRPr lang="en-US"/>
        </a:p>
      </dgm:t>
    </dgm:pt>
    <dgm:pt modelId="{04E10147-F3AA-4ECE-B2CF-677F27101B67}" type="pres">
      <dgm:prSet presAssocID="{7B278FCE-E8CE-4A8A-A7DE-2D4F3F5E74CC}" presName="Name0" presStyleCnt="0">
        <dgm:presLayoutVars>
          <dgm:dir/>
          <dgm:animLvl val="lvl"/>
          <dgm:resizeHandles val="exact"/>
        </dgm:presLayoutVars>
      </dgm:prSet>
      <dgm:spPr/>
    </dgm:pt>
    <dgm:pt modelId="{B784F6F3-8E6D-4270-9C01-DDA761A1CA3E}" type="pres">
      <dgm:prSet presAssocID="{7B278FCE-E8CE-4A8A-A7DE-2D4F3F5E74CC}" presName="tSp" presStyleCnt="0"/>
      <dgm:spPr/>
    </dgm:pt>
    <dgm:pt modelId="{C59AE953-3C5A-402C-B288-42EFB3E664D7}" type="pres">
      <dgm:prSet presAssocID="{7B278FCE-E8CE-4A8A-A7DE-2D4F3F5E74CC}" presName="bSp" presStyleCnt="0"/>
      <dgm:spPr/>
    </dgm:pt>
    <dgm:pt modelId="{3EE24FC8-AE20-414A-93C6-F6FC40ECE3E0}" type="pres">
      <dgm:prSet presAssocID="{7B278FCE-E8CE-4A8A-A7DE-2D4F3F5E74CC}" presName="process" presStyleCnt="0"/>
      <dgm:spPr/>
    </dgm:pt>
    <dgm:pt modelId="{ABECE7AF-3F1A-4C1D-BC4B-F64B1B7248D7}" type="pres">
      <dgm:prSet presAssocID="{D5906D97-A2FD-4A8C-BD07-6312EAABB4C9}" presName="composite1" presStyleCnt="0"/>
      <dgm:spPr/>
    </dgm:pt>
    <dgm:pt modelId="{22FA5F22-3328-4FBB-830F-7D1EBB30FDB3}" type="pres">
      <dgm:prSet presAssocID="{D5906D97-A2FD-4A8C-BD07-6312EAABB4C9}" presName="dummyNode1" presStyleLbl="node1" presStyleIdx="0" presStyleCnt="6"/>
      <dgm:spPr/>
    </dgm:pt>
    <dgm:pt modelId="{801EA97E-A277-403B-82CF-5CB622C47982}" type="pres">
      <dgm:prSet presAssocID="{D5906D97-A2FD-4A8C-BD07-6312EAABB4C9}" presName="childNode1" presStyleLbl="bgAcc1" presStyleIdx="0" presStyleCnt="6">
        <dgm:presLayoutVars>
          <dgm:bulletEnabled val="1"/>
        </dgm:presLayoutVars>
      </dgm:prSet>
      <dgm:spPr/>
      <dgm:t>
        <a:bodyPr/>
        <a:lstStyle/>
        <a:p>
          <a:endParaRPr lang="en-US"/>
        </a:p>
      </dgm:t>
    </dgm:pt>
    <dgm:pt modelId="{A6E76B4E-99C2-4FC8-AF27-EEB1A5CC49F0}" type="pres">
      <dgm:prSet presAssocID="{D5906D97-A2FD-4A8C-BD07-6312EAABB4C9}" presName="childNode1tx" presStyleLbl="bgAcc1" presStyleIdx="0" presStyleCnt="6">
        <dgm:presLayoutVars>
          <dgm:bulletEnabled val="1"/>
        </dgm:presLayoutVars>
      </dgm:prSet>
      <dgm:spPr/>
      <dgm:t>
        <a:bodyPr/>
        <a:lstStyle/>
        <a:p>
          <a:endParaRPr lang="en-US"/>
        </a:p>
      </dgm:t>
    </dgm:pt>
    <dgm:pt modelId="{96D81B7D-E7F4-4CA9-A8C6-EC39296F635A}" type="pres">
      <dgm:prSet presAssocID="{D5906D97-A2FD-4A8C-BD07-6312EAABB4C9}" presName="parentNode1" presStyleLbl="node1" presStyleIdx="0" presStyleCnt="6">
        <dgm:presLayoutVars>
          <dgm:chMax val="1"/>
          <dgm:bulletEnabled val="1"/>
        </dgm:presLayoutVars>
      </dgm:prSet>
      <dgm:spPr/>
      <dgm:t>
        <a:bodyPr/>
        <a:lstStyle/>
        <a:p>
          <a:endParaRPr lang="en-US"/>
        </a:p>
      </dgm:t>
    </dgm:pt>
    <dgm:pt modelId="{905A7C9F-E6E5-4D69-8E37-431A8206473E}" type="pres">
      <dgm:prSet presAssocID="{D5906D97-A2FD-4A8C-BD07-6312EAABB4C9}" presName="connSite1" presStyleCnt="0"/>
      <dgm:spPr/>
    </dgm:pt>
    <dgm:pt modelId="{6D03EFFE-740C-4114-99E0-796A425DBF40}" type="pres">
      <dgm:prSet presAssocID="{3233B6B2-25E6-4CC5-BA7A-6CFD4BE1A151}" presName="Name9" presStyleLbl="sibTrans2D1" presStyleIdx="0" presStyleCnt="5"/>
      <dgm:spPr/>
      <dgm:t>
        <a:bodyPr/>
        <a:lstStyle/>
        <a:p>
          <a:endParaRPr lang="en-US"/>
        </a:p>
      </dgm:t>
    </dgm:pt>
    <dgm:pt modelId="{253C15CD-2CA7-426C-AD5B-CC40BF55DE10}" type="pres">
      <dgm:prSet presAssocID="{9E1DF8D7-A418-4BC3-944A-40AED7D0840A}" presName="composite2" presStyleCnt="0"/>
      <dgm:spPr/>
    </dgm:pt>
    <dgm:pt modelId="{D6CCA3CA-D29B-4D9C-9140-61AE8840CE8D}" type="pres">
      <dgm:prSet presAssocID="{9E1DF8D7-A418-4BC3-944A-40AED7D0840A}" presName="dummyNode2" presStyleLbl="node1" presStyleIdx="0" presStyleCnt="6"/>
      <dgm:spPr/>
    </dgm:pt>
    <dgm:pt modelId="{FD3D8DBB-ADBD-429E-8D15-6746D204CE6A}" type="pres">
      <dgm:prSet presAssocID="{9E1DF8D7-A418-4BC3-944A-40AED7D0840A}" presName="childNode2" presStyleLbl="bgAcc1" presStyleIdx="1" presStyleCnt="6">
        <dgm:presLayoutVars>
          <dgm:bulletEnabled val="1"/>
        </dgm:presLayoutVars>
      </dgm:prSet>
      <dgm:spPr/>
      <dgm:t>
        <a:bodyPr/>
        <a:lstStyle/>
        <a:p>
          <a:endParaRPr lang="en-US"/>
        </a:p>
      </dgm:t>
    </dgm:pt>
    <dgm:pt modelId="{D672B419-3FC7-425B-940C-B4C91A1B1DC4}" type="pres">
      <dgm:prSet presAssocID="{9E1DF8D7-A418-4BC3-944A-40AED7D0840A}" presName="childNode2tx" presStyleLbl="bgAcc1" presStyleIdx="1" presStyleCnt="6">
        <dgm:presLayoutVars>
          <dgm:bulletEnabled val="1"/>
        </dgm:presLayoutVars>
      </dgm:prSet>
      <dgm:spPr/>
      <dgm:t>
        <a:bodyPr/>
        <a:lstStyle/>
        <a:p>
          <a:endParaRPr lang="en-US"/>
        </a:p>
      </dgm:t>
    </dgm:pt>
    <dgm:pt modelId="{E6254BF7-0DD2-46EE-9CD0-83F9A505E38E}" type="pres">
      <dgm:prSet presAssocID="{9E1DF8D7-A418-4BC3-944A-40AED7D0840A}" presName="parentNode2" presStyleLbl="node1" presStyleIdx="1" presStyleCnt="6">
        <dgm:presLayoutVars>
          <dgm:chMax val="0"/>
          <dgm:bulletEnabled val="1"/>
        </dgm:presLayoutVars>
      </dgm:prSet>
      <dgm:spPr/>
      <dgm:t>
        <a:bodyPr/>
        <a:lstStyle/>
        <a:p>
          <a:endParaRPr lang="en-US"/>
        </a:p>
      </dgm:t>
    </dgm:pt>
    <dgm:pt modelId="{86BDEED5-4641-4401-AD5F-D2D634646B94}" type="pres">
      <dgm:prSet presAssocID="{9E1DF8D7-A418-4BC3-944A-40AED7D0840A}" presName="connSite2" presStyleCnt="0"/>
      <dgm:spPr/>
    </dgm:pt>
    <dgm:pt modelId="{1DD4276B-4658-46BA-B15D-DAA9F0C6F326}" type="pres">
      <dgm:prSet presAssocID="{D741069A-D926-4D63-992C-FBEACF9F2F10}" presName="Name18" presStyleLbl="sibTrans2D1" presStyleIdx="1" presStyleCnt="5"/>
      <dgm:spPr/>
      <dgm:t>
        <a:bodyPr/>
        <a:lstStyle/>
        <a:p>
          <a:endParaRPr lang="en-US"/>
        </a:p>
      </dgm:t>
    </dgm:pt>
    <dgm:pt modelId="{02269303-DB38-4AAC-AF2D-702CC1D66BF2}" type="pres">
      <dgm:prSet presAssocID="{9A3876A5-B03A-4E17-A46B-107BD70D3CE3}" presName="composite1" presStyleCnt="0"/>
      <dgm:spPr/>
    </dgm:pt>
    <dgm:pt modelId="{D47F2223-313E-499C-89E6-BF2DBA882760}" type="pres">
      <dgm:prSet presAssocID="{9A3876A5-B03A-4E17-A46B-107BD70D3CE3}" presName="dummyNode1" presStyleLbl="node1" presStyleIdx="1" presStyleCnt="6"/>
      <dgm:spPr/>
    </dgm:pt>
    <dgm:pt modelId="{EE4C4844-8A88-4615-A763-721A1EA68762}" type="pres">
      <dgm:prSet presAssocID="{9A3876A5-B03A-4E17-A46B-107BD70D3CE3}" presName="childNode1" presStyleLbl="bgAcc1" presStyleIdx="2" presStyleCnt="6">
        <dgm:presLayoutVars>
          <dgm:bulletEnabled val="1"/>
        </dgm:presLayoutVars>
      </dgm:prSet>
      <dgm:spPr/>
      <dgm:t>
        <a:bodyPr/>
        <a:lstStyle/>
        <a:p>
          <a:endParaRPr lang="en-US"/>
        </a:p>
      </dgm:t>
    </dgm:pt>
    <dgm:pt modelId="{2338B363-7483-4EA2-9015-1217A78B3CCF}" type="pres">
      <dgm:prSet presAssocID="{9A3876A5-B03A-4E17-A46B-107BD70D3CE3}" presName="childNode1tx" presStyleLbl="bgAcc1" presStyleIdx="2" presStyleCnt="6">
        <dgm:presLayoutVars>
          <dgm:bulletEnabled val="1"/>
        </dgm:presLayoutVars>
      </dgm:prSet>
      <dgm:spPr/>
      <dgm:t>
        <a:bodyPr/>
        <a:lstStyle/>
        <a:p>
          <a:endParaRPr lang="en-US"/>
        </a:p>
      </dgm:t>
    </dgm:pt>
    <dgm:pt modelId="{5FCD4AB4-A9E4-4729-9BB7-118259739852}" type="pres">
      <dgm:prSet presAssocID="{9A3876A5-B03A-4E17-A46B-107BD70D3CE3}" presName="parentNode1" presStyleLbl="node1" presStyleIdx="2" presStyleCnt="6">
        <dgm:presLayoutVars>
          <dgm:chMax val="1"/>
          <dgm:bulletEnabled val="1"/>
        </dgm:presLayoutVars>
      </dgm:prSet>
      <dgm:spPr/>
      <dgm:t>
        <a:bodyPr/>
        <a:lstStyle/>
        <a:p>
          <a:endParaRPr lang="en-US"/>
        </a:p>
      </dgm:t>
    </dgm:pt>
    <dgm:pt modelId="{EFB74AF4-7058-4CCA-8E80-F188D6F80802}" type="pres">
      <dgm:prSet presAssocID="{9A3876A5-B03A-4E17-A46B-107BD70D3CE3}" presName="connSite1" presStyleCnt="0"/>
      <dgm:spPr/>
    </dgm:pt>
    <dgm:pt modelId="{D5B7D26F-A2AB-4652-95F5-B9E667910225}" type="pres">
      <dgm:prSet presAssocID="{88657DB7-FEB2-4BBF-BA3D-7C61A4CECC7A}" presName="Name9" presStyleLbl="sibTrans2D1" presStyleIdx="2" presStyleCnt="5"/>
      <dgm:spPr/>
      <dgm:t>
        <a:bodyPr/>
        <a:lstStyle/>
        <a:p>
          <a:endParaRPr lang="en-US"/>
        </a:p>
      </dgm:t>
    </dgm:pt>
    <dgm:pt modelId="{175502BC-760E-44E7-9FD6-DA946B5D0B1F}" type="pres">
      <dgm:prSet presAssocID="{562BC59F-0BD9-45B2-90A8-6448AA4E0C46}" presName="composite2" presStyleCnt="0"/>
      <dgm:spPr/>
    </dgm:pt>
    <dgm:pt modelId="{8C324C9A-9931-4BB6-A613-DD10C3132266}" type="pres">
      <dgm:prSet presAssocID="{562BC59F-0BD9-45B2-90A8-6448AA4E0C46}" presName="dummyNode2" presStyleLbl="node1" presStyleIdx="2" presStyleCnt="6"/>
      <dgm:spPr/>
    </dgm:pt>
    <dgm:pt modelId="{52B1CF0B-EFAA-46A2-B5D6-EE5723AAAFC3}" type="pres">
      <dgm:prSet presAssocID="{562BC59F-0BD9-45B2-90A8-6448AA4E0C46}" presName="childNode2" presStyleLbl="bgAcc1" presStyleIdx="3" presStyleCnt="6">
        <dgm:presLayoutVars>
          <dgm:bulletEnabled val="1"/>
        </dgm:presLayoutVars>
      </dgm:prSet>
      <dgm:spPr/>
      <dgm:t>
        <a:bodyPr/>
        <a:lstStyle/>
        <a:p>
          <a:endParaRPr lang="en-US"/>
        </a:p>
      </dgm:t>
    </dgm:pt>
    <dgm:pt modelId="{163D5070-E08A-4DC3-AFE3-DEFB40A17DF5}" type="pres">
      <dgm:prSet presAssocID="{562BC59F-0BD9-45B2-90A8-6448AA4E0C46}" presName="childNode2tx" presStyleLbl="bgAcc1" presStyleIdx="3" presStyleCnt="6">
        <dgm:presLayoutVars>
          <dgm:bulletEnabled val="1"/>
        </dgm:presLayoutVars>
      </dgm:prSet>
      <dgm:spPr/>
      <dgm:t>
        <a:bodyPr/>
        <a:lstStyle/>
        <a:p>
          <a:endParaRPr lang="en-US"/>
        </a:p>
      </dgm:t>
    </dgm:pt>
    <dgm:pt modelId="{649765AB-A50C-49FD-A4ED-3B57155EF0F8}" type="pres">
      <dgm:prSet presAssocID="{562BC59F-0BD9-45B2-90A8-6448AA4E0C46}" presName="parentNode2" presStyleLbl="node1" presStyleIdx="3" presStyleCnt="6">
        <dgm:presLayoutVars>
          <dgm:chMax val="0"/>
          <dgm:bulletEnabled val="1"/>
        </dgm:presLayoutVars>
      </dgm:prSet>
      <dgm:spPr/>
      <dgm:t>
        <a:bodyPr/>
        <a:lstStyle/>
        <a:p>
          <a:endParaRPr lang="en-US"/>
        </a:p>
      </dgm:t>
    </dgm:pt>
    <dgm:pt modelId="{11C8D3E7-E708-48A7-B56D-F55B2DBD6221}" type="pres">
      <dgm:prSet presAssocID="{562BC59F-0BD9-45B2-90A8-6448AA4E0C46}" presName="connSite2" presStyleCnt="0"/>
      <dgm:spPr/>
    </dgm:pt>
    <dgm:pt modelId="{A8D857EF-7970-4D87-9A1A-11C853AA5521}" type="pres">
      <dgm:prSet presAssocID="{EAC584F1-E9DF-4D1B-893B-41BD557175B3}" presName="Name18" presStyleLbl="sibTrans2D1" presStyleIdx="3" presStyleCnt="5"/>
      <dgm:spPr/>
      <dgm:t>
        <a:bodyPr/>
        <a:lstStyle/>
        <a:p>
          <a:endParaRPr lang="en-US"/>
        </a:p>
      </dgm:t>
    </dgm:pt>
    <dgm:pt modelId="{1F5BF72F-3E22-4C1A-B3D7-48034C9A4529}" type="pres">
      <dgm:prSet presAssocID="{EE4F4022-173E-4794-9A78-C3CD49E7027D}" presName="composite1" presStyleCnt="0"/>
      <dgm:spPr/>
    </dgm:pt>
    <dgm:pt modelId="{4D2C4B15-E8CD-4E27-9E26-AC274BEF20AC}" type="pres">
      <dgm:prSet presAssocID="{EE4F4022-173E-4794-9A78-C3CD49E7027D}" presName="dummyNode1" presStyleLbl="node1" presStyleIdx="3" presStyleCnt="6"/>
      <dgm:spPr/>
    </dgm:pt>
    <dgm:pt modelId="{DB3E66FE-F42A-49BB-A842-48151BD43BAD}" type="pres">
      <dgm:prSet presAssocID="{EE4F4022-173E-4794-9A78-C3CD49E7027D}" presName="childNode1" presStyleLbl="bgAcc1" presStyleIdx="4" presStyleCnt="6">
        <dgm:presLayoutVars>
          <dgm:bulletEnabled val="1"/>
        </dgm:presLayoutVars>
      </dgm:prSet>
      <dgm:spPr/>
      <dgm:t>
        <a:bodyPr/>
        <a:lstStyle/>
        <a:p>
          <a:endParaRPr lang="en-US"/>
        </a:p>
      </dgm:t>
    </dgm:pt>
    <dgm:pt modelId="{33B60870-A356-499E-8C87-B0E30B57BB77}" type="pres">
      <dgm:prSet presAssocID="{EE4F4022-173E-4794-9A78-C3CD49E7027D}" presName="childNode1tx" presStyleLbl="bgAcc1" presStyleIdx="4" presStyleCnt="6">
        <dgm:presLayoutVars>
          <dgm:bulletEnabled val="1"/>
        </dgm:presLayoutVars>
      </dgm:prSet>
      <dgm:spPr/>
      <dgm:t>
        <a:bodyPr/>
        <a:lstStyle/>
        <a:p>
          <a:endParaRPr lang="en-US"/>
        </a:p>
      </dgm:t>
    </dgm:pt>
    <dgm:pt modelId="{4ADAB62B-FDC0-4787-A76C-101F14A1A332}" type="pres">
      <dgm:prSet presAssocID="{EE4F4022-173E-4794-9A78-C3CD49E7027D}" presName="parentNode1" presStyleLbl="node1" presStyleIdx="4" presStyleCnt="6">
        <dgm:presLayoutVars>
          <dgm:chMax val="1"/>
          <dgm:bulletEnabled val="1"/>
        </dgm:presLayoutVars>
      </dgm:prSet>
      <dgm:spPr/>
      <dgm:t>
        <a:bodyPr/>
        <a:lstStyle/>
        <a:p>
          <a:endParaRPr lang="en-US"/>
        </a:p>
      </dgm:t>
    </dgm:pt>
    <dgm:pt modelId="{F8FFC0D7-3EA7-45B8-8A13-DFA55C1F715C}" type="pres">
      <dgm:prSet presAssocID="{EE4F4022-173E-4794-9A78-C3CD49E7027D}" presName="connSite1" presStyleCnt="0"/>
      <dgm:spPr/>
    </dgm:pt>
    <dgm:pt modelId="{76997D17-7D6A-42B7-8869-7F6391AAC231}" type="pres">
      <dgm:prSet presAssocID="{C37B393F-98FA-4235-AF4E-BE8BAF927FDE}" presName="Name9" presStyleLbl="sibTrans2D1" presStyleIdx="4" presStyleCnt="5"/>
      <dgm:spPr/>
      <dgm:t>
        <a:bodyPr/>
        <a:lstStyle/>
        <a:p>
          <a:endParaRPr lang="en-US"/>
        </a:p>
      </dgm:t>
    </dgm:pt>
    <dgm:pt modelId="{2ED3D7D4-EE03-4965-8889-86CE486706B1}" type="pres">
      <dgm:prSet presAssocID="{7ABC2FFC-FFEF-4F99-B475-59573C4AA7A7}" presName="composite2" presStyleCnt="0"/>
      <dgm:spPr/>
    </dgm:pt>
    <dgm:pt modelId="{BA7E6725-B0F6-4E30-A16E-EFECD8AC579F}" type="pres">
      <dgm:prSet presAssocID="{7ABC2FFC-FFEF-4F99-B475-59573C4AA7A7}" presName="dummyNode2" presStyleLbl="node1" presStyleIdx="4" presStyleCnt="6"/>
      <dgm:spPr/>
    </dgm:pt>
    <dgm:pt modelId="{3BDA8436-5D41-48FA-B616-29C602EEDECD}" type="pres">
      <dgm:prSet presAssocID="{7ABC2FFC-FFEF-4F99-B475-59573C4AA7A7}" presName="childNode2" presStyleLbl="bgAcc1" presStyleIdx="5" presStyleCnt="6">
        <dgm:presLayoutVars>
          <dgm:bulletEnabled val="1"/>
        </dgm:presLayoutVars>
      </dgm:prSet>
      <dgm:spPr/>
      <dgm:t>
        <a:bodyPr/>
        <a:lstStyle/>
        <a:p>
          <a:endParaRPr lang="en-US"/>
        </a:p>
      </dgm:t>
    </dgm:pt>
    <dgm:pt modelId="{A1B1008D-AC22-4665-92B6-5BE31BDB70DB}" type="pres">
      <dgm:prSet presAssocID="{7ABC2FFC-FFEF-4F99-B475-59573C4AA7A7}" presName="childNode2tx" presStyleLbl="bgAcc1" presStyleIdx="5" presStyleCnt="6">
        <dgm:presLayoutVars>
          <dgm:bulletEnabled val="1"/>
        </dgm:presLayoutVars>
      </dgm:prSet>
      <dgm:spPr/>
      <dgm:t>
        <a:bodyPr/>
        <a:lstStyle/>
        <a:p>
          <a:endParaRPr lang="en-US"/>
        </a:p>
      </dgm:t>
    </dgm:pt>
    <dgm:pt modelId="{0AC0047B-B2CB-44F8-B733-D7125594FC87}" type="pres">
      <dgm:prSet presAssocID="{7ABC2FFC-FFEF-4F99-B475-59573C4AA7A7}" presName="parentNode2" presStyleLbl="node1" presStyleIdx="5" presStyleCnt="6">
        <dgm:presLayoutVars>
          <dgm:chMax val="0"/>
          <dgm:bulletEnabled val="1"/>
        </dgm:presLayoutVars>
      </dgm:prSet>
      <dgm:spPr/>
      <dgm:t>
        <a:bodyPr/>
        <a:lstStyle/>
        <a:p>
          <a:endParaRPr lang="en-US"/>
        </a:p>
      </dgm:t>
    </dgm:pt>
    <dgm:pt modelId="{F741E906-2715-4154-B693-1E942E292721}" type="pres">
      <dgm:prSet presAssocID="{7ABC2FFC-FFEF-4F99-B475-59573C4AA7A7}" presName="connSite2" presStyleCnt="0"/>
      <dgm:spPr/>
    </dgm:pt>
  </dgm:ptLst>
  <dgm:cxnLst>
    <dgm:cxn modelId="{C19B107E-C83D-4098-B528-14BBA0596B26}" type="presOf" srcId="{EF0844A5-58BB-4D5D-8DBB-151DEDEF0933}" destId="{801EA97E-A277-403B-82CF-5CB622C47982}" srcOrd="0" destOrd="0" presId="urn:microsoft.com/office/officeart/2005/8/layout/hProcess4"/>
    <dgm:cxn modelId="{A5F6F954-71DB-4AE5-A475-C3F901AFF748}" srcId="{7B278FCE-E8CE-4A8A-A7DE-2D4F3F5E74CC}" destId="{7ABC2FFC-FFEF-4F99-B475-59573C4AA7A7}" srcOrd="5" destOrd="0" parTransId="{1688A376-4162-475B-A360-65955CFB1C86}" sibTransId="{BF055D17-010B-444D-9A95-ACD7B4AB041B}"/>
    <dgm:cxn modelId="{8EED9EF0-76F2-4898-99F2-A6AF07B1F082}" srcId="{9E1DF8D7-A418-4BC3-944A-40AED7D0840A}" destId="{30DDC014-4A75-44A5-9ACA-B747B79C1FB5}" srcOrd="0" destOrd="0" parTransId="{5A893C44-088B-4F2A-82C5-06F799E9EA02}" sibTransId="{3EFCCCB4-34E4-4F79-94CC-EE854638C284}"/>
    <dgm:cxn modelId="{FE979F68-7D9D-4303-B291-A95EE8F81622}" srcId="{EE4F4022-173E-4794-9A78-C3CD49E7027D}" destId="{B6416749-3E3F-4E1F-8437-9DA6236F97BC}" srcOrd="0" destOrd="0" parTransId="{B99EEE8B-94CD-437E-A0F9-A1CA1ADFD064}" sibTransId="{1EDDC420-DF80-4194-BB29-E6EDFEC380D0}"/>
    <dgm:cxn modelId="{060767B7-24AF-46AE-A6B1-1924C6FBC66D}" type="presOf" srcId="{B6416749-3E3F-4E1F-8437-9DA6236F97BC}" destId="{33B60870-A356-499E-8C87-B0E30B57BB77}" srcOrd="1" destOrd="0" presId="urn:microsoft.com/office/officeart/2005/8/layout/hProcess4"/>
    <dgm:cxn modelId="{95557712-4604-4833-A91F-03F15E319C71}" type="presOf" srcId="{C37B393F-98FA-4235-AF4E-BE8BAF927FDE}" destId="{76997D17-7D6A-42B7-8869-7F6391AAC231}" srcOrd="0" destOrd="0" presId="urn:microsoft.com/office/officeart/2005/8/layout/hProcess4"/>
    <dgm:cxn modelId="{4A876226-28EE-4F84-84F2-8FDEE343E606}" type="presOf" srcId="{D5906D97-A2FD-4A8C-BD07-6312EAABB4C9}" destId="{96D81B7D-E7F4-4CA9-A8C6-EC39296F635A}" srcOrd="0" destOrd="0" presId="urn:microsoft.com/office/officeart/2005/8/layout/hProcess4"/>
    <dgm:cxn modelId="{710628C3-54D6-463A-B244-2A5C2D78B6A9}" type="presOf" srcId="{562BC59F-0BD9-45B2-90A8-6448AA4E0C46}" destId="{649765AB-A50C-49FD-A4ED-3B57155EF0F8}" srcOrd="0" destOrd="0" presId="urn:microsoft.com/office/officeart/2005/8/layout/hProcess4"/>
    <dgm:cxn modelId="{27E052E8-7C69-4519-B4C9-0375896BE282}" type="presOf" srcId="{88657DB7-FEB2-4BBF-BA3D-7C61A4CECC7A}" destId="{D5B7D26F-A2AB-4652-95F5-B9E667910225}" srcOrd="0" destOrd="0" presId="urn:microsoft.com/office/officeart/2005/8/layout/hProcess4"/>
    <dgm:cxn modelId="{86B6826B-B581-4E98-AB87-420F73FD2E9F}" type="presOf" srcId="{9A3876A5-B03A-4E17-A46B-107BD70D3CE3}" destId="{5FCD4AB4-A9E4-4729-9BB7-118259739852}" srcOrd="0" destOrd="0" presId="urn:microsoft.com/office/officeart/2005/8/layout/hProcess4"/>
    <dgm:cxn modelId="{268843E1-18C8-4485-9C04-86F6C38E0AD4}" type="presOf" srcId="{9E1DF8D7-A418-4BC3-944A-40AED7D0840A}" destId="{E6254BF7-0DD2-46EE-9CD0-83F9A505E38E}" srcOrd="0" destOrd="0" presId="urn:microsoft.com/office/officeart/2005/8/layout/hProcess4"/>
    <dgm:cxn modelId="{1AA623B1-CA43-4FDD-9BF1-77E537A3E342}" type="presOf" srcId="{374DE3EB-D2F3-4694-AEA1-FCA9D2851EDA}" destId="{163D5070-E08A-4DC3-AFE3-DEFB40A17DF5}" srcOrd="1" destOrd="0" presId="urn:microsoft.com/office/officeart/2005/8/layout/hProcess4"/>
    <dgm:cxn modelId="{5E78CED6-684B-4817-BB6B-4B0C4B846428}" type="presOf" srcId="{EE4F4022-173E-4794-9A78-C3CD49E7027D}" destId="{4ADAB62B-FDC0-4787-A76C-101F14A1A332}" srcOrd="0" destOrd="0" presId="urn:microsoft.com/office/officeart/2005/8/layout/hProcess4"/>
    <dgm:cxn modelId="{64785D32-3DB9-4DEE-A211-34140759A71B}" srcId="{9A3876A5-B03A-4E17-A46B-107BD70D3CE3}" destId="{E21DE0F4-0E7F-4F7E-AA47-5B8CA99EBED5}" srcOrd="0" destOrd="0" parTransId="{863EB177-DC7F-4780-AABC-143C9FE97871}" sibTransId="{755648B7-6116-461C-B29F-185B5322B43F}"/>
    <dgm:cxn modelId="{DFF155B3-6F35-4E4C-8570-785C7B42EDE9}" type="presOf" srcId="{412B3BAE-891A-4311-9903-12765ADF5642}" destId="{3BDA8436-5D41-48FA-B616-29C602EEDECD}" srcOrd="0" destOrd="0" presId="urn:microsoft.com/office/officeart/2005/8/layout/hProcess4"/>
    <dgm:cxn modelId="{BF0DCFBC-6A05-4F5D-9CBF-D9B691DDBE6A}" srcId="{7B278FCE-E8CE-4A8A-A7DE-2D4F3F5E74CC}" destId="{EE4F4022-173E-4794-9A78-C3CD49E7027D}" srcOrd="4" destOrd="0" parTransId="{D5C2B027-19B4-4D91-B233-B77E8BB90816}" sibTransId="{C37B393F-98FA-4235-AF4E-BE8BAF927FDE}"/>
    <dgm:cxn modelId="{41BBE0E5-0AF8-4835-9EA6-D1BC5BBD7EBA}" type="presOf" srcId="{412B3BAE-891A-4311-9903-12765ADF5642}" destId="{A1B1008D-AC22-4665-92B6-5BE31BDB70DB}" srcOrd="1" destOrd="0" presId="urn:microsoft.com/office/officeart/2005/8/layout/hProcess4"/>
    <dgm:cxn modelId="{CECBC563-9209-4818-A5C7-BF5BAECF4341}" srcId="{7ABC2FFC-FFEF-4F99-B475-59573C4AA7A7}" destId="{412B3BAE-891A-4311-9903-12765ADF5642}" srcOrd="0" destOrd="0" parTransId="{13D2006B-5522-44F3-9409-3F014D1F9081}" sibTransId="{519AF6D3-E7A6-4037-9731-2C0E02C765CC}"/>
    <dgm:cxn modelId="{928DA97E-A816-43DC-9B54-92E95FF7800A}" srcId="{7B278FCE-E8CE-4A8A-A7DE-2D4F3F5E74CC}" destId="{562BC59F-0BD9-45B2-90A8-6448AA4E0C46}" srcOrd="3" destOrd="0" parTransId="{570D2879-F1EB-44CA-AE3A-99F92C28E680}" sibTransId="{EAC584F1-E9DF-4D1B-893B-41BD557175B3}"/>
    <dgm:cxn modelId="{56212806-BF14-4231-9762-C14DF5FF7B81}" srcId="{7B278FCE-E8CE-4A8A-A7DE-2D4F3F5E74CC}" destId="{9A3876A5-B03A-4E17-A46B-107BD70D3CE3}" srcOrd="2" destOrd="0" parTransId="{DBE990A9-B585-471F-A342-A75809B448D5}" sibTransId="{88657DB7-FEB2-4BBF-BA3D-7C61A4CECC7A}"/>
    <dgm:cxn modelId="{AC71DF41-433D-4F44-9B46-FF0047A613B1}" type="presOf" srcId="{30DDC014-4A75-44A5-9ACA-B747B79C1FB5}" destId="{FD3D8DBB-ADBD-429E-8D15-6746D204CE6A}" srcOrd="0" destOrd="0" presId="urn:microsoft.com/office/officeart/2005/8/layout/hProcess4"/>
    <dgm:cxn modelId="{6E1AA2AB-7818-4184-B177-FE625051AA5F}" type="presOf" srcId="{374DE3EB-D2F3-4694-AEA1-FCA9D2851EDA}" destId="{52B1CF0B-EFAA-46A2-B5D6-EE5723AAAFC3}" srcOrd="0" destOrd="0" presId="urn:microsoft.com/office/officeart/2005/8/layout/hProcess4"/>
    <dgm:cxn modelId="{A0B2DC42-1486-468B-8780-D41F6AD62600}" srcId="{D5906D97-A2FD-4A8C-BD07-6312EAABB4C9}" destId="{EF0844A5-58BB-4D5D-8DBB-151DEDEF0933}" srcOrd="0" destOrd="0" parTransId="{CBA9C17F-46CD-4BF9-AA1E-C90B019D5FDB}" sibTransId="{AAA5193F-64CB-4C27-BD7E-62CE4B577389}"/>
    <dgm:cxn modelId="{F1E9E450-8932-43E7-99DB-D317A9ECC381}" type="presOf" srcId="{7ABC2FFC-FFEF-4F99-B475-59573C4AA7A7}" destId="{0AC0047B-B2CB-44F8-B733-D7125594FC87}" srcOrd="0" destOrd="0" presId="urn:microsoft.com/office/officeart/2005/8/layout/hProcess4"/>
    <dgm:cxn modelId="{0D8C0E4B-807E-43A4-87AB-E2CEF033FB2E}" type="presOf" srcId="{D741069A-D926-4D63-992C-FBEACF9F2F10}" destId="{1DD4276B-4658-46BA-B15D-DAA9F0C6F326}" srcOrd="0" destOrd="0" presId="urn:microsoft.com/office/officeart/2005/8/layout/hProcess4"/>
    <dgm:cxn modelId="{0A1D69E7-DE02-4309-9C4A-816AE0BA3196}" type="presOf" srcId="{EF0844A5-58BB-4D5D-8DBB-151DEDEF0933}" destId="{A6E76B4E-99C2-4FC8-AF27-EEB1A5CC49F0}" srcOrd="1" destOrd="0" presId="urn:microsoft.com/office/officeart/2005/8/layout/hProcess4"/>
    <dgm:cxn modelId="{558E1671-737C-4F5C-B476-385B53051F02}" type="presOf" srcId="{E21DE0F4-0E7F-4F7E-AA47-5B8CA99EBED5}" destId="{EE4C4844-8A88-4615-A763-721A1EA68762}" srcOrd="0" destOrd="0" presId="urn:microsoft.com/office/officeart/2005/8/layout/hProcess4"/>
    <dgm:cxn modelId="{CCFBC261-E6FB-49E4-AF2D-6D8B0719B49E}" srcId="{7B278FCE-E8CE-4A8A-A7DE-2D4F3F5E74CC}" destId="{D5906D97-A2FD-4A8C-BD07-6312EAABB4C9}" srcOrd="0" destOrd="0" parTransId="{AB636BCD-8019-4FE0-8184-5F2AC6757F33}" sibTransId="{3233B6B2-25E6-4CC5-BA7A-6CFD4BE1A151}"/>
    <dgm:cxn modelId="{7AE63FCC-6A76-4451-A66C-EF570ED6CDCF}" srcId="{7B278FCE-E8CE-4A8A-A7DE-2D4F3F5E74CC}" destId="{9E1DF8D7-A418-4BC3-944A-40AED7D0840A}" srcOrd="1" destOrd="0" parTransId="{33395E31-6536-416C-BEC0-8D4808F52FFF}" sibTransId="{D741069A-D926-4D63-992C-FBEACF9F2F10}"/>
    <dgm:cxn modelId="{BAC99321-837D-4175-BC67-7DE08C85DDB8}" type="presOf" srcId="{EAC584F1-E9DF-4D1B-893B-41BD557175B3}" destId="{A8D857EF-7970-4D87-9A1A-11C853AA5521}" srcOrd="0" destOrd="0" presId="urn:microsoft.com/office/officeart/2005/8/layout/hProcess4"/>
    <dgm:cxn modelId="{A9969DB5-6D51-4DDC-ADD7-33841F26F707}" type="presOf" srcId="{E21DE0F4-0E7F-4F7E-AA47-5B8CA99EBED5}" destId="{2338B363-7483-4EA2-9015-1217A78B3CCF}" srcOrd="1" destOrd="0" presId="urn:microsoft.com/office/officeart/2005/8/layout/hProcess4"/>
    <dgm:cxn modelId="{F5921998-9521-44C9-B7C1-C7AA36371435}" type="presOf" srcId="{7B278FCE-E8CE-4A8A-A7DE-2D4F3F5E74CC}" destId="{04E10147-F3AA-4ECE-B2CF-677F27101B67}" srcOrd="0" destOrd="0" presId="urn:microsoft.com/office/officeart/2005/8/layout/hProcess4"/>
    <dgm:cxn modelId="{F91C53B5-E6BB-45F1-88A9-345B9E21860A}" type="presOf" srcId="{B6416749-3E3F-4E1F-8437-9DA6236F97BC}" destId="{DB3E66FE-F42A-49BB-A842-48151BD43BAD}" srcOrd="0" destOrd="0" presId="urn:microsoft.com/office/officeart/2005/8/layout/hProcess4"/>
    <dgm:cxn modelId="{9E47FA6F-5E2B-4C24-B35D-22A314EA8932}" type="presOf" srcId="{3233B6B2-25E6-4CC5-BA7A-6CFD4BE1A151}" destId="{6D03EFFE-740C-4114-99E0-796A425DBF40}" srcOrd="0" destOrd="0" presId="urn:microsoft.com/office/officeart/2005/8/layout/hProcess4"/>
    <dgm:cxn modelId="{F852424B-6ACA-445E-9662-ABB9F94C34A7}" type="presOf" srcId="{30DDC014-4A75-44A5-9ACA-B747B79C1FB5}" destId="{D672B419-3FC7-425B-940C-B4C91A1B1DC4}" srcOrd="1" destOrd="0" presId="urn:microsoft.com/office/officeart/2005/8/layout/hProcess4"/>
    <dgm:cxn modelId="{6A323F24-7479-4E64-BBF5-A3164DFE991D}" srcId="{562BC59F-0BD9-45B2-90A8-6448AA4E0C46}" destId="{374DE3EB-D2F3-4694-AEA1-FCA9D2851EDA}" srcOrd="0" destOrd="0" parTransId="{B8E7E9FE-3CB3-4391-961F-67C1DCF07008}" sibTransId="{26A63DA0-5B7B-4FE4-BA84-0F24FC123C92}"/>
    <dgm:cxn modelId="{50EAD641-4E2D-4318-9BBB-B73B349EE03E}" type="presParOf" srcId="{04E10147-F3AA-4ECE-B2CF-677F27101B67}" destId="{B784F6F3-8E6D-4270-9C01-DDA761A1CA3E}" srcOrd="0" destOrd="0" presId="urn:microsoft.com/office/officeart/2005/8/layout/hProcess4"/>
    <dgm:cxn modelId="{F12FD063-4972-4F55-AC37-97E7C8747F91}" type="presParOf" srcId="{04E10147-F3AA-4ECE-B2CF-677F27101B67}" destId="{C59AE953-3C5A-402C-B288-42EFB3E664D7}" srcOrd="1" destOrd="0" presId="urn:microsoft.com/office/officeart/2005/8/layout/hProcess4"/>
    <dgm:cxn modelId="{7D0FB058-2AC4-4C02-8E58-E2190643A707}" type="presParOf" srcId="{04E10147-F3AA-4ECE-B2CF-677F27101B67}" destId="{3EE24FC8-AE20-414A-93C6-F6FC40ECE3E0}" srcOrd="2" destOrd="0" presId="urn:microsoft.com/office/officeart/2005/8/layout/hProcess4"/>
    <dgm:cxn modelId="{375F92E2-C78F-46E9-82FE-2018C6213A9A}" type="presParOf" srcId="{3EE24FC8-AE20-414A-93C6-F6FC40ECE3E0}" destId="{ABECE7AF-3F1A-4C1D-BC4B-F64B1B7248D7}" srcOrd="0" destOrd="0" presId="urn:microsoft.com/office/officeart/2005/8/layout/hProcess4"/>
    <dgm:cxn modelId="{59EFD5C1-BA5B-4AC3-BA20-FDB25B9B0AB7}" type="presParOf" srcId="{ABECE7AF-3F1A-4C1D-BC4B-F64B1B7248D7}" destId="{22FA5F22-3328-4FBB-830F-7D1EBB30FDB3}" srcOrd="0" destOrd="0" presId="urn:microsoft.com/office/officeart/2005/8/layout/hProcess4"/>
    <dgm:cxn modelId="{1870254F-438A-46D4-93DA-EC148678D60E}" type="presParOf" srcId="{ABECE7AF-3F1A-4C1D-BC4B-F64B1B7248D7}" destId="{801EA97E-A277-403B-82CF-5CB622C47982}" srcOrd="1" destOrd="0" presId="urn:microsoft.com/office/officeart/2005/8/layout/hProcess4"/>
    <dgm:cxn modelId="{F2C15291-1AC0-4488-B524-43C038321AF8}" type="presParOf" srcId="{ABECE7AF-3F1A-4C1D-BC4B-F64B1B7248D7}" destId="{A6E76B4E-99C2-4FC8-AF27-EEB1A5CC49F0}" srcOrd="2" destOrd="0" presId="urn:microsoft.com/office/officeart/2005/8/layout/hProcess4"/>
    <dgm:cxn modelId="{E81CB2B9-AAE3-4F44-B6A2-3ECE8EAA42AA}" type="presParOf" srcId="{ABECE7AF-3F1A-4C1D-BC4B-F64B1B7248D7}" destId="{96D81B7D-E7F4-4CA9-A8C6-EC39296F635A}" srcOrd="3" destOrd="0" presId="urn:microsoft.com/office/officeart/2005/8/layout/hProcess4"/>
    <dgm:cxn modelId="{0A1E97AD-33D5-42FD-A126-50F009CE0E39}" type="presParOf" srcId="{ABECE7AF-3F1A-4C1D-BC4B-F64B1B7248D7}" destId="{905A7C9F-E6E5-4D69-8E37-431A8206473E}" srcOrd="4" destOrd="0" presId="urn:microsoft.com/office/officeart/2005/8/layout/hProcess4"/>
    <dgm:cxn modelId="{94458EF3-804C-420E-8FF3-BE6CEED634E5}" type="presParOf" srcId="{3EE24FC8-AE20-414A-93C6-F6FC40ECE3E0}" destId="{6D03EFFE-740C-4114-99E0-796A425DBF40}" srcOrd="1" destOrd="0" presId="urn:microsoft.com/office/officeart/2005/8/layout/hProcess4"/>
    <dgm:cxn modelId="{BBF20D45-56F9-4E10-9207-E3A57D5A9E68}" type="presParOf" srcId="{3EE24FC8-AE20-414A-93C6-F6FC40ECE3E0}" destId="{253C15CD-2CA7-426C-AD5B-CC40BF55DE10}" srcOrd="2" destOrd="0" presId="urn:microsoft.com/office/officeart/2005/8/layout/hProcess4"/>
    <dgm:cxn modelId="{98DD699C-302B-4D78-A7E4-491721271A30}" type="presParOf" srcId="{253C15CD-2CA7-426C-AD5B-CC40BF55DE10}" destId="{D6CCA3CA-D29B-4D9C-9140-61AE8840CE8D}" srcOrd="0" destOrd="0" presId="urn:microsoft.com/office/officeart/2005/8/layout/hProcess4"/>
    <dgm:cxn modelId="{C0906DB5-1F20-4A2E-BC12-CD3E3C30108C}" type="presParOf" srcId="{253C15CD-2CA7-426C-AD5B-CC40BF55DE10}" destId="{FD3D8DBB-ADBD-429E-8D15-6746D204CE6A}" srcOrd="1" destOrd="0" presId="urn:microsoft.com/office/officeart/2005/8/layout/hProcess4"/>
    <dgm:cxn modelId="{CBA26526-DA95-41F1-9DAC-BF1DD2DC65AE}" type="presParOf" srcId="{253C15CD-2CA7-426C-AD5B-CC40BF55DE10}" destId="{D672B419-3FC7-425B-940C-B4C91A1B1DC4}" srcOrd="2" destOrd="0" presId="urn:microsoft.com/office/officeart/2005/8/layout/hProcess4"/>
    <dgm:cxn modelId="{F7E2696C-64DA-4E67-B5B2-D2C1D87ABCC6}" type="presParOf" srcId="{253C15CD-2CA7-426C-AD5B-CC40BF55DE10}" destId="{E6254BF7-0DD2-46EE-9CD0-83F9A505E38E}" srcOrd="3" destOrd="0" presId="urn:microsoft.com/office/officeart/2005/8/layout/hProcess4"/>
    <dgm:cxn modelId="{121EB0D1-F2C0-490B-B3DF-A55C5A5DECE8}" type="presParOf" srcId="{253C15CD-2CA7-426C-AD5B-CC40BF55DE10}" destId="{86BDEED5-4641-4401-AD5F-D2D634646B94}" srcOrd="4" destOrd="0" presId="urn:microsoft.com/office/officeart/2005/8/layout/hProcess4"/>
    <dgm:cxn modelId="{F66C1D75-8301-45C9-9623-9B823A0E6847}" type="presParOf" srcId="{3EE24FC8-AE20-414A-93C6-F6FC40ECE3E0}" destId="{1DD4276B-4658-46BA-B15D-DAA9F0C6F326}" srcOrd="3" destOrd="0" presId="urn:microsoft.com/office/officeart/2005/8/layout/hProcess4"/>
    <dgm:cxn modelId="{242FA813-00AA-4FFA-9E7D-BF25EECA7314}" type="presParOf" srcId="{3EE24FC8-AE20-414A-93C6-F6FC40ECE3E0}" destId="{02269303-DB38-4AAC-AF2D-702CC1D66BF2}" srcOrd="4" destOrd="0" presId="urn:microsoft.com/office/officeart/2005/8/layout/hProcess4"/>
    <dgm:cxn modelId="{A9F997DE-0BBF-45D0-A818-A0B523EC4FCC}" type="presParOf" srcId="{02269303-DB38-4AAC-AF2D-702CC1D66BF2}" destId="{D47F2223-313E-499C-89E6-BF2DBA882760}" srcOrd="0" destOrd="0" presId="urn:microsoft.com/office/officeart/2005/8/layout/hProcess4"/>
    <dgm:cxn modelId="{5375D3D8-D0B1-45BE-9730-0D97584DB852}" type="presParOf" srcId="{02269303-DB38-4AAC-AF2D-702CC1D66BF2}" destId="{EE4C4844-8A88-4615-A763-721A1EA68762}" srcOrd="1" destOrd="0" presId="urn:microsoft.com/office/officeart/2005/8/layout/hProcess4"/>
    <dgm:cxn modelId="{371A052F-7EB1-4365-8306-8D2B988B075F}" type="presParOf" srcId="{02269303-DB38-4AAC-AF2D-702CC1D66BF2}" destId="{2338B363-7483-4EA2-9015-1217A78B3CCF}" srcOrd="2" destOrd="0" presId="urn:microsoft.com/office/officeart/2005/8/layout/hProcess4"/>
    <dgm:cxn modelId="{7513ED57-7AC6-4917-8CF5-86AFAD848021}" type="presParOf" srcId="{02269303-DB38-4AAC-AF2D-702CC1D66BF2}" destId="{5FCD4AB4-A9E4-4729-9BB7-118259739852}" srcOrd="3" destOrd="0" presId="urn:microsoft.com/office/officeart/2005/8/layout/hProcess4"/>
    <dgm:cxn modelId="{EACFFA32-3FE6-47A7-8023-CF8258D56AB3}" type="presParOf" srcId="{02269303-DB38-4AAC-AF2D-702CC1D66BF2}" destId="{EFB74AF4-7058-4CCA-8E80-F188D6F80802}" srcOrd="4" destOrd="0" presId="urn:microsoft.com/office/officeart/2005/8/layout/hProcess4"/>
    <dgm:cxn modelId="{1D2EC209-1024-4EAD-B2F1-6319F1393239}" type="presParOf" srcId="{3EE24FC8-AE20-414A-93C6-F6FC40ECE3E0}" destId="{D5B7D26F-A2AB-4652-95F5-B9E667910225}" srcOrd="5" destOrd="0" presId="urn:microsoft.com/office/officeart/2005/8/layout/hProcess4"/>
    <dgm:cxn modelId="{CD2DFA1E-5E29-412E-9103-477DC36FF354}" type="presParOf" srcId="{3EE24FC8-AE20-414A-93C6-F6FC40ECE3E0}" destId="{175502BC-760E-44E7-9FD6-DA946B5D0B1F}" srcOrd="6" destOrd="0" presId="urn:microsoft.com/office/officeart/2005/8/layout/hProcess4"/>
    <dgm:cxn modelId="{C049E084-E71A-4FEA-A787-E4AA4622AEE0}" type="presParOf" srcId="{175502BC-760E-44E7-9FD6-DA946B5D0B1F}" destId="{8C324C9A-9931-4BB6-A613-DD10C3132266}" srcOrd="0" destOrd="0" presId="urn:microsoft.com/office/officeart/2005/8/layout/hProcess4"/>
    <dgm:cxn modelId="{0166AD57-3953-4B3E-AA1C-A477FCEBE326}" type="presParOf" srcId="{175502BC-760E-44E7-9FD6-DA946B5D0B1F}" destId="{52B1CF0B-EFAA-46A2-B5D6-EE5723AAAFC3}" srcOrd="1" destOrd="0" presId="urn:microsoft.com/office/officeart/2005/8/layout/hProcess4"/>
    <dgm:cxn modelId="{E2452BB8-A771-4670-92D4-56863577F361}" type="presParOf" srcId="{175502BC-760E-44E7-9FD6-DA946B5D0B1F}" destId="{163D5070-E08A-4DC3-AFE3-DEFB40A17DF5}" srcOrd="2" destOrd="0" presId="urn:microsoft.com/office/officeart/2005/8/layout/hProcess4"/>
    <dgm:cxn modelId="{553CB597-CF15-4DDA-9A62-22F91B280452}" type="presParOf" srcId="{175502BC-760E-44E7-9FD6-DA946B5D0B1F}" destId="{649765AB-A50C-49FD-A4ED-3B57155EF0F8}" srcOrd="3" destOrd="0" presId="urn:microsoft.com/office/officeart/2005/8/layout/hProcess4"/>
    <dgm:cxn modelId="{C8683109-6D40-4785-94FC-28B2932F868E}" type="presParOf" srcId="{175502BC-760E-44E7-9FD6-DA946B5D0B1F}" destId="{11C8D3E7-E708-48A7-B56D-F55B2DBD6221}" srcOrd="4" destOrd="0" presId="urn:microsoft.com/office/officeart/2005/8/layout/hProcess4"/>
    <dgm:cxn modelId="{3BB38628-D2F7-464C-91EB-F5F9C83FF6BD}" type="presParOf" srcId="{3EE24FC8-AE20-414A-93C6-F6FC40ECE3E0}" destId="{A8D857EF-7970-4D87-9A1A-11C853AA5521}" srcOrd="7" destOrd="0" presId="urn:microsoft.com/office/officeart/2005/8/layout/hProcess4"/>
    <dgm:cxn modelId="{D4412C22-ABAD-46A5-BD54-A00FDD6A77C3}" type="presParOf" srcId="{3EE24FC8-AE20-414A-93C6-F6FC40ECE3E0}" destId="{1F5BF72F-3E22-4C1A-B3D7-48034C9A4529}" srcOrd="8" destOrd="0" presId="urn:microsoft.com/office/officeart/2005/8/layout/hProcess4"/>
    <dgm:cxn modelId="{18686B04-97FF-412A-A5AA-D3B84B873196}" type="presParOf" srcId="{1F5BF72F-3E22-4C1A-B3D7-48034C9A4529}" destId="{4D2C4B15-E8CD-4E27-9E26-AC274BEF20AC}" srcOrd="0" destOrd="0" presId="urn:microsoft.com/office/officeart/2005/8/layout/hProcess4"/>
    <dgm:cxn modelId="{CA97620D-85B9-44FE-84AF-35ABE16C2D8A}" type="presParOf" srcId="{1F5BF72F-3E22-4C1A-B3D7-48034C9A4529}" destId="{DB3E66FE-F42A-49BB-A842-48151BD43BAD}" srcOrd="1" destOrd="0" presId="urn:microsoft.com/office/officeart/2005/8/layout/hProcess4"/>
    <dgm:cxn modelId="{DB9DEF0B-8A52-4CE8-969B-25620C64DFFB}" type="presParOf" srcId="{1F5BF72F-3E22-4C1A-B3D7-48034C9A4529}" destId="{33B60870-A356-499E-8C87-B0E30B57BB77}" srcOrd="2" destOrd="0" presId="urn:microsoft.com/office/officeart/2005/8/layout/hProcess4"/>
    <dgm:cxn modelId="{E0EC60A6-A7A1-4B15-B54A-0E3F8ECE8971}" type="presParOf" srcId="{1F5BF72F-3E22-4C1A-B3D7-48034C9A4529}" destId="{4ADAB62B-FDC0-4787-A76C-101F14A1A332}" srcOrd="3" destOrd="0" presId="urn:microsoft.com/office/officeart/2005/8/layout/hProcess4"/>
    <dgm:cxn modelId="{A2A6C02D-5100-4249-B3F5-15AA90DA1B34}" type="presParOf" srcId="{1F5BF72F-3E22-4C1A-B3D7-48034C9A4529}" destId="{F8FFC0D7-3EA7-45B8-8A13-DFA55C1F715C}" srcOrd="4" destOrd="0" presId="urn:microsoft.com/office/officeart/2005/8/layout/hProcess4"/>
    <dgm:cxn modelId="{638E16E9-692C-4EF7-8A22-0A6B9B4C9FB4}" type="presParOf" srcId="{3EE24FC8-AE20-414A-93C6-F6FC40ECE3E0}" destId="{76997D17-7D6A-42B7-8869-7F6391AAC231}" srcOrd="9" destOrd="0" presId="urn:microsoft.com/office/officeart/2005/8/layout/hProcess4"/>
    <dgm:cxn modelId="{576282C8-79A1-4A58-8809-3EC6E1E62B88}" type="presParOf" srcId="{3EE24FC8-AE20-414A-93C6-F6FC40ECE3E0}" destId="{2ED3D7D4-EE03-4965-8889-86CE486706B1}" srcOrd="10" destOrd="0" presId="urn:microsoft.com/office/officeart/2005/8/layout/hProcess4"/>
    <dgm:cxn modelId="{66370469-FD09-4233-961F-31008CC7C257}" type="presParOf" srcId="{2ED3D7D4-EE03-4965-8889-86CE486706B1}" destId="{BA7E6725-B0F6-4E30-A16E-EFECD8AC579F}" srcOrd="0" destOrd="0" presId="urn:microsoft.com/office/officeart/2005/8/layout/hProcess4"/>
    <dgm:cxn modelId="{324968E0-04BC-49C5-92A9-536FEDAE416E}" type="presParOf" srcId="{2ED3D7D4-EE03-4965-8889-86CE486706B1}" destId="{3BDA8436-5D41-48FA-B616-29C602EEDECD}" srcOrd="1" destOrd="0" presId="urn:microsoft.com/office/officeart/2005/8/layout/hProcess4"/>
    <dgm:cxn modelId="{C63A6F4C-85D6-4BF9-9D79-F1FCD5B040B8}" type="presParOf" srcId="{2ED3D7D4-EE03-4965-8889-86CE486706B1}" destId="{A1B1008D-AC22-4665-92B6-5BE31BDB70DB}" srcOrd="2" destOrd="0" presId="urn:microsoft.com/office/officeart/2005/8/layout/hProcess4"/>
    <dgm:cxn modelId="{47D31353-D49A-4745-9C5E-E591743A5BAF}" type="presParOf" srcId="{2ED3D7D4-EE03-4965-8889-86CE486706B1}" destId="{0AC0047B-B2CB-44F8-B733-D7125594FC87}" srcOrd="3" destOrd="0" presId="urn:microsoft.com/office/officeart/2005/8/layout/hProcess4"/>
    <dgm:cxn modelId="{3E789248-4965-44DA-A70D-412A5E485FE6}" type="presParOf" srcId="{2ED3D7D4-EE03-4965-8889-86CE486706B1}" destId="{F741E906-2715-4154-B693-1E942E292721}" srcOrd="4" destOrd="0" presId="urn:microsoft.com/office/officeart/2005/8/layout/hProcess4"/>
  </dgm:cxnLst>
  <dgm:bg>
    <a:solidFill>
      <a:schemeClr val="accent6">
        <a:lumMod val="20000"/>
        <a:lumOff val="80000"/>
      </a:schemeClr>
    </a:solidFill>
  </dgm:bg>
  <dgm:whole>
    <a:ln>
      <a:solidFill>
        <a:schemeClr val="tx1"/>
      </a:solidFill>
    </a:ln>
  </dgm:whole>
  <dgm:extLst>
    <a:ext uri="http://schemas.microsoft.com/office/drawing/2008/diagram">
      <dsp:dataModelExt xmlns:dsp="http://schemas.microsoft.com/office/drawing/2008/diagram" xmlns=""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55B793B-CFF8-4860-BB56-9BF059326581}"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en-US"/>
        </a:p>
      </dgm:t>
    </dgm:pt>
    <dgm:pt modelId="{0ABA113A-6CF8-46B8-9B8F-6B0037FC3F98}">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a:latin typeface="Arial" pitchFamily="34" charset="0"/>
              <a:cs typeface="Arial" pitchFamily="34" charset="0"/>
            </a:rPr>
            <a:t>Interview</a:t>
          </a:r>
        </a:p>
      </dgm:t>
    </dgm:pt>
    <dgm:pt modelId="{2D1214E7-694C-4D42-83FA-D10B195E6472}" type="parTrans" cxnId="{6EBB71E4-5301-4369-9BB8-5E038EA40AAC}">
      <dgm:prSet/>
      <dgm:spPr/>
      <dgm:t>
        <a:bodyPr/>
        <a:lstStyle/>
        <a:p>
          <a:endParaRPr lang="en-US"/>
        </a:p>
      </dgm:t>
    </dgm:pt>
    <dgm:pt modelId="{90FB50E7-C58C-44B6-AB0D-A5BB563756FC}" type="sibTrans" cxnId="{6EBB71E4-5301-4369-9BB8-5E038EA40AAC}">
      <dgm:prSet/>
      <dgm:spPr/>
      <dgm:t>
        <a:bodyPr/>
        <a:lstStyle/>
        <a:p>
          <a:endParaRPr lang="en-US"/>
        </a:p>
      </dgm:t>
    </dgm:pt>
    <dgm:pt modelId="{CE6BE82D-C183-4CEC-A8BE-14DB4C83B3AF}">
      <dgm:prSet phldrT="[Text]" custT="1">
        <dgm:style>
          <a:lnRef idx="2">
            <a:schemeClr val="dk1"/>
          </a:lnRef>
          <a:fillRef idx="1">
            <a:schemeClr val="lt1"/>
          </a:fillRef>
          <a:effectRef idx="0">
            <a:schemeClr val="dk1"/>
          </a:effectRef>
          <a:fontRef idx="minor">
            <a:schemeClr val="dk1"/>
          </a:fontRef>
        </dgm:style>
      </dgm:prSet>
      <dgm:spPr>
        <a:ln/>
      </dgm:spPr>
      <dgm:t>
        <a:bodyPr/>
        <a:lstStyle/>
        <a:p>
          <a:r>
            <a:rPr lang="en-US" sz="1200">
              <a:latin typeface="Arial" pitchFamily="34" charset="0"/>
              <a:cs typeface="Arial" pitchFamily="34" charset="0"/>
            </a:rPr>
            <a:t>Suspect</a:t>
          </a:r>
        </a:p>
      </dgm:t>
    </dgm:pt>
    <dgm:pt modelId="{AE0B820E-F5FE-4E46-BE19-200DC8EA641E}" type="parTrans" cxnId="{041E343F-864A-48AF-B7B0-AD1EFEC1C462}">
      <dgm:prSet/>
      <dgm:spPr/>
      <dgm:t>
        <a:bodyPr/>
        <a:lstStyle/>
        <a:p>
          <a:endParaRPr lang="en-US"/>
        </a:p>
      </dgm:t>
    </dgm:pt>
    <dgm:pt modelId="{4B9A2C22-2A9E-4658-B229-8D07EADC06FD}" type="sibTrans" cxnId="{041E343F-864A-48AF-B7B0-AD1EFEC1C462}">
      <dgm:prSet/>
      <dgm:spPr/>
      <dgm:t>
        <a:bodyPr/>
        <a:lstStyle/>
        <a:p>
          <a:endParaRPr lang="en-US"/>
        </a:p>
      </dgm:t>
    </dgm:pt>
    <dgm:pt modelId="{3FA8D8FF-DB78-430B-A6D5-AB3F34136E6B}">
      <dgm:prSet phldrT="[Text]" custT="1">
        <dgm:style>
          <a:lnRef idx="2">
            <a:schemeClr val="dk1"/>
          </a:lnRef>
          <a:fillRef idx="1">
            <a:schemeClr val="lt1"/>
          </a:fillRef>
          <a:effectRef idx="0">
            <a:schemeClr val="dk1"/>
          </a:effectRef>
          <a:fontRef idx="minor">
            <a:schemeClr val="dk1"/>
          </a:fontRef>
        </dgm:style>
      </dgm:prSet>
      <dgm:spPr>
        <a:ln/>
      </dgm:spPr>
      <dgm:t>
        <a:bodyPr/>
        <a:lstStyle/>
        <a:p>
          <a:r>
            <a:rPr lang="en-US" sz="1200">
              <a:latin typeface="Arial" pitchFamily="34" charset="0"/>
              <a:cs typeface="Arial" pitchFamily="34" charset="0"/>
            </a:rPr>
            <a:t>Witness</a:t>
          </a:r>
        </a:p>
      </dgm:t>
    </dgm:pt>
    <dgm:pt modelId="{3908D634-41B2-4BE3-AA28-7B712B38C447}" type="parTrans" cxnId="{4ED38129-2736-4764-AC12-2E019DA25456}">
      <dgm:prSet/>
      <dgm:spPr/>
      <dgm:t>
        <a:bodyPr/>
        <a:lstStyle/>
        <a:p>
          <a:endParaRPr lang="en-US"/>
        </a:p>
      </dgm:t>
    </dgm:pt>
    <dgm:pt modelId="{65405610-4F5B-4CAB-A389-36FA13781DDA}" type="sibTrans" cxnId="{4ED38129-2736-4764-AC12-2E019DA25456}">
      <dgm:prSet/>
      <dgm:spPr/>
      <dgm:t>
        <a:bodyPr/>
        <a:lstStyle/>
        <a:p>
          <a:endParaRPr lang="en-US"/>
        </a:p>
      </dgm:t>
    </dgm:pt>
    <dgm:pt modelId="{7A7CEA18-C64C-427A-9433-42F2DC3608DC}" type="pres">
      <dgm:prSet presAssocID="{C55B793B-CFF8-4860-BB56-9BF059326581}" presName="hierChild1" presStyleCnt="0">
        <dgm:presLayoutVars>
          <dgm:orgChart val="1"/>
          <dgm:chPref val="1"/>
          <dgm:dir/>
          <dgm:animOne val="branch"/>
          <dgm:animLvl val="lvl"/>
          <dgm:resizeHandles/>
        </dgm:presLayoutVars>
      </dgm:prSet>
      <dgm:spPr/>
      <dgm:t>
        <a:bodyPr/>
        <a:lstStyle/>
        <a:p>
          <a:endParaRPr lang="en-US"/>
        </a:p>
      </dgm:t>
    </dgm:pt>
    <dgm:pt modelId="{0A1028F6-D4A6-4DCF-82B2-0B11E26D43BD}" type="pres">
      <dgm:prSet presAssocID="{0ABA113A-6CF8-46B8-9B8F-6B0037FC3F98}" presName="hierRoot1" presStyleCnt="0">
        <dgm:presLayoutVars>
          <dgm:hierBranch val="init"/>
        </dgm:presLayoutVars>
      </dgm:prSet>
      <dgm:spPr/>
    </dgm:pt>
    <dgm:pt modelId="{51AC0A57-EB64-4AA7-B8C5-9CCAA993AFE2}" type="pres">
      <dgm:prSet presAssocID="{0ABA113A-6CF8-46B8-9B8F-6B0037FC3F98}" presName="rootComposite1" presStyleCnt="0"/>
      <dgm:spPr/>
    </dgm:pt>
    <dgm:pt modelId="{CC549155-60D4-4A52-BCFB-CA38E8EC83BC}" type="pres">
      <dgm:prSet presAssocID="{0ABA113A-6CF8-46B8-9B8F-6B0037FC3F98}" presName="rootText1" presStyleLbl="node0" presStyleIdx="0" presStyleCnt="1">
        <dgm:presLayoutVars>
          <dgm:chPref val="3"/>
        </dgm:presLayoutVars>
      </dgm:prSet>
      <dgm:spPr/>
      <dgm:t>
        <a:bodyPr/>
        <a:lstStyle/>
        <a:p>
          <a:endParaRPr lang="en-US"/>
        </a:p>
      </dgm:t>
    </dgm:pt>
    <dgm:pt modelId="{5A4916E0-EE17-43BC-9EDB-5DE5504C8CDD}" type="pres">
      <dgm:prSet presAssocID="{0ABA113A-6CF8-46B8-9B8F-6B0037FC3F98}" presName="rootConnector1" presStyleLbl="node1" presStyleIdx="0" presStyleCnt="0"/>
      <dgm:spPr/>
      <dgm:t>
        <a:bodyPr/>
        <a:lstStyle/>
        <a:p>
          <a:endParaRPr lang="en-US"/>
        </a:p>
      </dgm:t>
    </dgm:pt>
    <dgm:pt modelId="{E028F0D4-3BEC-4FFE-BCB2-030AC1BB846B}" type="pres">
      <dgm:prSet presAssocID="{0ABA113A-6CF8-46B8-9B8F-6B0037FC3F98}" presName="hierChild2" presStyleCnt="0"/>
      <dgm:spPr/>
    </dgm:pt>
    <dgm:pt modelId="{CC495041-DECF-487B-971A-E37C4D55426A}" type="pres">
      <dgm:prSet presAssocID="{AE0B820E-F5FE-4E46-BE19-200DC8EA641E}" presName="Name37" presStyleLbl="parChTrans1D2" presStyleIdx="0" presStyleCnt="2"/>
      <dgm:spPr/>
      <dgm:t>
        <a:bodyPr/>
        <a:lstStyle/>
        <a:p>
          <a:endParaRPr lang="en-US"/>
        </a:p>
      </dgm:t>
    </dgm:pt>
    <dgm:pt modelId="{FCCEE663-ACF9-4BC9-9953-DB1E8CED880A}" type="pres">
      <dgm:prSet presAssocID="{CE6BE82D-C183-4CEC-A8BE-14DB4C83B3AF}" presName="hierRoot2" presStyleCnt="0">
        <dgm:presLayoutVars>
          <dgm:hierBranch val="init"/>
        </dgm:presLayoutVars>
      </dgm:prSet>
      <dgm:spPr/>
    </dgm:pt>
    <dgm:pt modelId="{CBA5268D-F336-4512-BA99-50AB9236F3ED}" type="pres">
      <dgm:prSet presAssocID="{CE6BE82D-C183-4CEC-A8BE-14DB4C83B3AF}" presName="rootComposite" presStyleCnt="0"/>
      <dgm:spPr/>
    </dgm:pt>
    <dgm:pt modelId="{1DCB6932-B337-4299-BAE8-2AF754EBFD5F}" type="pres">
      <dgm:prSet presAssocID="{CE6BE82D-C183-4CEC-A8BE-14DB4C83B3AF}" presName="rootText" presStyleLbl="node2" presStyleIdx="0" presStyleCnt="2">
        <dgm:presLayoutVars>
          <dgm:chPref val="3"/>
        </dgm:presLayoutVars>
      </dgm:prSet>
      <dgm:spPr/>
      <dgm:t>
        <a:bodyPr/>
        <a:lstStyle/>
        <a:p>
          <a:endParaRPr lang="en-US"/>
        </a:p>
      </dgm:t>
    </dgm:pt>
    <dgm:pt modelId="{4A0617EE-34B4-428D-9380-994AB1024669}" type="pres">
      <dgm:prSet presAssocID="{CE6BE82D-C183-4CEC-A8BE-14DB4C83B3AF}" presName="rootConnector" presStyleLbl="node2" presStyleIdx="0" presStyleCnt="2"/>
      <dgm:spPr/>
      <dgm:t>
        <a:bodyPr/>
        <a:lstStyle/>
        <a:p>
          <a:endParaRPr lang="en-US"/>
        </a:p>
      </dgm:t>
    </dgm:pt>
    <dgm:pt modelId="{A81B6B9A-B9C7-4339-8ED1-11A7BA79A6AF}" type="pres">
      <dgm:prSet presAssocID="{CE6BE82D-C183-4CEC-A8BE-14DB4C83B3AF}" presName="hierChild4" presStyleCnt="0"/>
      <dgm:spPr/>
    </dgm:pt>
    <dgm:pt modelId="{D4655C21-5892-407C-B353-0DF94D72B5A6}" type="pres">
      <dgm:prSet presAssocID="{CE6BE82D-C183-4CEC-A8BE-14DB4C83B3AF}" presName="hierChild5" presStyleCnt="0"/>
      <dgm:spPr/>
    </dgm:pt>
    <dgm:pt modelId="{798A1FCB-44FC-4D3A-AD80-BA946E954C78}" type="pres">
      <dgm:prSet presAssocID="{3908D634-41B2-4BE3-AA28-7B712B38C447}" presName="Name37" presStyleLbl="parChTrans1D2" presStyleIdx="1" presStyleCnt="2"/>
      <dgm:spPr/>
      <dgm:t>
        <a:bodyPr/>
        <a:lstStyle/>
        <a:p>
          <a:endParaRPr lang="en-US"/>
        </a:p>
      </dgm:t>
    </dgm:pt>
    <dgm:pt modelId="{1B8D4FD8-B6BA-451B-8069-1E6364006E6E}" type="pres">
      <dgm:prSet presAssocID="{3FA8D8FF-DB78-430B-A6D5-AB3F34136E6B}" presName="hierRoot2" presStyleCnt="0">
        <dgm:presLayoutVars>
          <dgm:hierBranch val="init"/>
        </dgm:presLayoutVars>
      </dgm:prSet>
      <dgm:spPr/>
    </dgm:pt>
    <dgm:pt modelId="{D089B2EE-6198-4FFF-B0A8-246DA155D0FA}" type="pres">
      <dgm:prSet presAssocID="{3FA8D8FF-DB78-430B-A6D5-AB3F34136E6B}" presName="rootComposite" presStyleCnt="0"/>
      <dgm:spPr/>
    </dgm:pt>
    <dgm:pt modelId="{AB8C9987-D3B4-4E82-AB65-F8FB0862A13E}" type="pres">
      <dgm:prSet presAssocID="{3FA8D8FF-DB78-430B-A6D5-AB3F34136E6B}" presName="rootText" presStyleLbl="node2" presStyleIdx="1" presStyleCnt="2">
        <dgm:presLayoutVars>
          <dgm:chPref val="3"/>
        </dgm:presLayoutVars>
      </dgm:prSet>
      <dgm:spPr/>
      <dgm:t>
        <a:bodyPr/>
        <a:lstStyle/>
        <a:p>
          <a:endParaRPr lang="en-US"/>
        </a:p>
      </dgm:t>
    </dgm:pt>
    <dgm:pt modelId="{8FC9E65C-EC41-4A42-99BE-9DC41C0191AB}" type="pres">
      <dgm:prSet presAssocID="{3FA8D8FF-DB78-430B-A6D5-AB3F34136E6B}" presName="rootConnector" presStyleLbl="node2" presStyleIdx="1" presStyleCnt="2"/>
      <dgm:spPr/>
      <dgm:t>
        <a:bodyPr/>
        <a:lstStyle/>
        <a:p>
          <a:endParaRPr lang="en-US"/>
        </a:p>
      </dgm:t>
    </dgm:pt>
    <dgm:pt modelId="{64EE9560-0BBE-427F-AAC2-8CF4DCE05DB4}" type="pres">
      <dgm:prSet presAssocID="{3FA8D8FF-DB78-430B-A6D5-AB3F34136E6B}" presName="hierChild4" presStyleCnt="0"/>
      <dgm:spPr/>
    </dgm:pt>
    <dgm:pt modelId="{AA1B9B7E-01D5-4BE8-9B12-7779094371B0}" type="pres">
      <dgm:prSet presAssocID="{3FA8D8FF-DB78-430B-A6D5-AB3F34136E6B}" presName="hierChild5" presStyleCnt="0"/>
      <dgm:spPr/>
    </dgm:pt>
    <dgm:pt modelId="{51E9F1C2-CE0B-4EBC-B5C4-9B5BBB66482D}" type="pres">
      <dgm:prSet presAssocID="{0ABA113A-6CF8-46B8-9B8F-6B0037FC3F98}" presName="hierChild3" presStyleCnt="0"/>
      <dgm:spPr/>
    </dgm:pt>
  </dgm:ptLst>
  <dgm:cxnLst>
    <dgm:cxn modelId="{4737DB48-F643-45A7-9A8E-99057C47D20F}" type="presOf" srcId="{CE6BE82D-C183-4CEC-A8BE-14DB4C83B3AF}" destId="{1DCB6932-B337-4299-BAE8-2AF754EBFD5F}" srcOrd="0" destOrd="0" presId="urn:microsoft.com/office/officeart/2005/8/layout/orgChart1"/>
    <dgm:cxn modelId="{76EC043E-2609-4AB0-96BA-E420F7EF6BC4}" type="presOf" srcId="{3908D634-41B2-4BE3-AA28-7B712B38C447}" destId="{798A1FCB-44FC-4D3A-AD80-BA946E954C78}" srcOrd="0" destOrd="0" presId="urn:microsoft.com/office/officeart/2005/8/layout/orgChart1"/>
    <dgm:cxn modelId="{6EBB71E4-5301-4369-9BB8-5E038EA40AAC}" srcId="{C55B793B-CFF8-4860-BB56-9BF059326581}" destId="{0ABA113A-6CF8-46B8-9B8F-6B0037FC3F98}" srcOrd="0" destOrd="0" parTransId="{2D1214E7-694C-4D42-83FA-D10B195E6472}" sibTransId="{90FB50E7-C58C-44B6-AB0D-A5BB563756FC}"/>
    <dgm:cxn modelId="{07F1AD17-289E-4FFA-A9AF-2766FB804743}" type="presOf" srcId="{CE6BE82D-C183-4CEC-A8BE-14DB4C83B3AF}" destId="{4A0617EE-34B4-428D-9380-994AB1024669}" srcOrd="1" destOrd="0" presId="urn:microsoft.com/office/officeart/2005/8/layout/orgChart1"/>
    <dgm:cxn modelId="{D3934477-90E7-4E3E-98D8-3D8BB702956F}" type="presOf" srcId="{C55B793B-CFF8-4860-BB56-9BF059326581}" destId="{7A7CEA18-C64C-427A-9433-42F2DC3608DC}" srcOrd="0" destOrd="0" presId="urn:microsoft.com/office/officeart/2005/8/layout/orgChart1"/>
    <dgm:cxn modelId="{AD35FDC9-89B9-4D13-B81B-07803B95F962}" type="presOf" srcId="{AE0B820E-F5FE-4E46-BE19-200DC8EA641E}" destId="{CC495041-DECF-487B-971A-E37C4D55426A}" srcOrd="0" destOrd="0" presId="urn:microsoft.com/office/officeart/2005/8/layout/orgChart1"/>
    <dgm:cxn modelId="{0903CB02-749E-4801-B36C-0CFE56023DDB}" type="presOf" srcId="{3FA8D8FF-DB78-430B-A6D5-AB3F34136E6B}" destId="{8FC9E65C-EC41-4A42-99BE-9DC41C0191AB}" srcOrd="1" destOrd="0" presId="urn:microsoft.com/office/officeart/2005/8/layout/orgChart1"/>
    <dgm:cxn modelId="{2B4594D8-443B-4ACB-98F0-6D281553FDDF}" type="presOf" srcId="{0ABA113A-6CF8-46B8-9B8F-6B0037FC3F98}" destId="{CC549155-60D4-4A52-BCFB-CA38E8EC83BC}" srcOrd="0" destOrd="0" presId="urn:microsoft.com/office/officeart/2005/8/layout/orgChart1"/>
    <dgm:cxn modelId="{9B5FB1FB-665E-4B94-9449-28666F433F2E}" type="presOf" srcId="{0ABA113A-6CF8-46B8-9B8F-6B0037FC3F98}" destId="{5A4916E0-EE17-43BC-9EDB-5DE5504C8CDD}" srcOrd="1" destOrd="0" presId="urn:microsoft.com/office/officeart/2005/8/layout/orgChart1"/>
    <dgm:cxn modelId="{4ED38129-2736-4764-AC12-2E019DA25456}" srcId="{0ABA113A-6CF8-46B8-9B8F-6B0037FC3F98}" destId="{3FA8D8FF-DB78-430B-A6D5-AB3F34136E6B}" srcOrd="1" destOrd="0" parTransId="{3908D634-41B2-4BE3-AA28-7B712B38C447}" sibTransId="{65405610-4F5B-4CAB-A389-36FA13781DDA}"/>
    <dgm:cxn modelId="{4FF46158-1CF3-43A2-B31D-24213851D390}" type="presOf" srcId="{3FA8D8FF-DB78-430B-A6D5-AB3F34136E6B}" destId="{AB8C9987-D3B4-4E82-AB65-F8FB0862A13E}" srcOrd="0" destOrd="0" presId="urn:microsoft.com/office/officeart/2005/8/layout/orgChart1"/>
    <dgm:cxn modelId="{041E343F-864A-48AF-B7B0-AD1EFEC1C462}" srcId="{0ABA113A-6CF8-46B8-9B8F-6B0037FC3F98}" destId="{CE6BE82D-C183-4CEC-A8BE-14DB4C83B3AF}" srcOrd="0" destOrd="0" parTransId="{AE0B820E-F5FE-4E46-BE19-200DC8EA641E}" sibTransId="{4B9A2C22-2A9E-4658-B229-8D07EADC06FD}"/>
    <dgm:cxn modelId="{E5DF456D-B725-4B15-B78B-B42FB8879105}" type="presParOf" srcId="{7A7CEA18-C64C-427A-9433-42F2DC3608DC}" destId="{0A1028F6-D4A6-4DCF-82B2-0B11E26D43BD}" srcOrd="0" destOrd="0" presId="urn:microsoft.com/office/officeart/2005/8/layout/orgChart1"/>
    <dgm:cxn modelId="{2A1378D8-5EF7-46AD-AEC2-C23F9718FDA0}" type="presParOf" srcId="{0A1028F6-D4A6-4DCF-82B2-0B11E26D43BD}" destId="{51AC0A57-EB64-4AA7-B8C5-9CCAA993AFE2}" srcOrd="0" destOrd="0" presId="urn:microsoft.com/office/officeart/2005/8/layout/orgChart1"/>
    <dgm:cxn modelId="{B8E4639C-6C40-4261-A60C-BAF6E839759B}" type="presParOf" srcId="{51AC0A57-EB64-4AA7-B8C5-9CCAA993AFE2}" destId="{CC549155-60D4-4A52-BCFB-CA38E8EC83BC}" srcOrd="0" destOrd="0" presId="urn:microsoft.com/office/officeart/2005/8/layout/orgChart1"/>
    <dgm:cxn modelId="{E587CB1E-DE52-4797-B171-2F318E1A3406}" type="presParOf" srcId="{51AC0A57-EB64-4AA7-B8C5-9CCAA993AFE2}" destId="{5A4916E0-EE17-43BC-9EDB-5DE5504C8CDD}" srcOrd="1" destOrd="0" presId="urn:microsoft.com/office/officeart/2005/8/layout/orgChart1"/>
    <dgm:cxn modelId="{F292FB27-B89D-498D-B7B4-2E6C516D0B3B}" type="presParOf" srcId="{0A1028F6-D4A6-4DCF-82B2-0B11E26D43BD}" destId="{E028F0D4-3BEC-4FFE-BCB2-030AC1BB846B}" srcOrd="1" destOrd="0" presId="urn:microsoft.com/office/officeart/2005/8/layout/orgChart1"/>
    <dgm:cxn modelId="{A96959BA-EFF8-46FA-BDB0-A48D91A6D809}" type="presParOf" srcId="{E028F0D4-3BEC-4FFE-BCB2-030AC1BB846B}" destId="{CC495041-DECF-487B-971A-E37C4D55426A}" srcOrd="0" destOrd="0" presId="urn:microsoft.com/office/officeart/2005/8/layout/orgChart1"/>
    <dgm:cxn modelId="{C06C592E-B5BF-418C-8A75-D6E45A986B46}" type="presParOf" srcId="{E028F0D4-3BEC-4FFE-BCB2-030AC1BB846B}" destId="{FCCEE663-ACF9-4BC9-9953-DB1E8CED880A}" srcOrd="1" destOrd="0" presId="urn:microsoft.com/office/officeart/2005/8/layout/orgChart1"/>
    <dgm:cxn modelId="{3B90322C-5896-4CFF-B4B5-3E13F07ECE9D}" type="presParOf" srcId="{FCCEE663-ACF9-4BC9-9953-DB1E8CED880A}" destId="{CBA5268D-F336-4512-BA99-50AB9236F3ED}" srcOrd="0" destOrd="0" presId="urn:microsoft.com/office/officeart/2005/8/layout/orgChart1"/>
    <dgm:cxn modelId="{C319AD63-4C96-457F-9EF6-D16189C6B927}" type="presParOf" srcId="{CBA5268D-F336-4512-BA99-50AB9236F3ED}" destId="{1DCB6932-B337-4299-BAE8-2AF754EBFD5F}" srcOrd="0" destOrd="0" presId="urn:microsoft.com/office/officeart/2005/8/layout/orgChart1"/>
    <dgm:cxn modelId="{6F881B21-9626-44C4-8AA7-CBE825005D60}" type="presParOf" srcId="{CBA5268D-F336-4512-BA99-50AB9236F3ED}" destId="{4A0617EE-34B4-428D-9380-994AB1024669}" srcOrd="1" destOrd="0" presId="urn:microsoft.com/office/officeart/2005/8/layout/orgChart1"/>
    <dgm:cxn modelId="{C2ECAF52-12F7-4F98-BE84-AB03FE685577}" type="presParOf" srcId="{FCCEE663-ACF9-4BC9-9953-DB1E8CED880A}" destId="{A81B6B9A-B9C7-4339-8ED1-11A7BA79A6AF}" srcOrd="1" destOrd="0" presId="urn:microsoft.com/office/officeart/2005/8/layout/orgChart1"/>
    <dgm:cxn modelId="{768335E1-460B-4370-8D72-3A1878DCCFB2}" type="presParOf" srcId="{FCCEE663-ACF9-4BC9-9953-DB1E8CED880A}" destId="{D4655C21-5892-407C-B353-0DF94D72B5A6}" srcOrd="2" destOrd="0" presId="urn:microsoft.com/office/officeart/2005/8/layout/orgChart1"/>
    <dgm:cxn modelId="{8189A0A5-30E6-498F-A1B3-AF5D4A7C7947}" type="presParOf" srcId="{E028F0D4-3BEC-4FFE-BCB2-030AC1BB846B}" destId="{798A1FCB-44FC-4D3A-AD80-BA946E954C78}" srcOrd="2" destOrd="0" presId="urn:microsoft.com/office/officeart/2005/8/layout/orgChart1"/>
    <dgm:cxn modelId="{031D8739-6B3B-403D-892E-FBF1E9D1ECFD}" type="presParOf" srcId="{E028F0D4-3BEC-4FFE-BCB2-030AC1BB846B}" destId="{1B8D4FD8-B6BA-451B-8069-1E6364006E6E}" srcOrd="3" destOrd="0" presId="urn:microsoft.com/office/officeart/2005/8/layout/orgChart1"/>
    <dgm:cxn modelId="{24F81B36-438B-4FCE-B07A-78590025E15B}" type="presParOf" srcId="{1B8D4FD8-B6BA-451B-8069-1E6364006E6E}" destId="{D089B2EE-6198-4FFF-B0A8-246DA155D0FA}" srcOrd="0" destOrd="0" presId="urn:microsoft.com/office/officeart/2005/8/layout/orgChart1"/>
    <dgm:cxn modelId="{26A57E9A-9687-41F9-A279-0A4BA76ED72D}" type="presParOf" srcId="{D089B2EE-6198-4FFF-B0A8-246DA155D0FA}" destId="{AB8C9987-D3B4-4E82-AB65-F8FB0862A13E}" srcOrd="0" destOrd="0" presId="urn:microsoft.com/office/officeart/2005/8/layout/orgChart1"/>
    <dgm:cxn modelId="{55AAC4F3-689C-4D54-BE57-38A92EFE439F}" type="presParOf" srcId="{D089B2EE-6198-4FFF-B0A8-246DA155D0FA}" destId="{8FC9E65C-EC41-4A42-99BE-9DC41C0191AB}" srcOrd="1" destOrd="0" presId="urn:microsoft.com/office/officeart/2005/8/layout/orgChart1"/>
    <dgm:cxn modelId="{844F38EC-264B-4202-BEBB-E14BB51A0D35}" type="presParOf" srcId="{1B8D4FD8-B6BA-451B-8069-1E6364006E6E}" destId="{64EE9560-0BBE-427F-AAC2-8CF4DCE05DB4}" srcOrd="1" destOrd="0" presId="urn:microsoft.com/office/officeart/2005/8/layout/orgChart1"/>
    <dgm:cxn modelId="{9BF08D81-AF79-4091-B6C4-F24C4F2DD930}" type="presParOf" srcId="{1B8D4FD8-B6BA-451B-8069-1E6364006E6E}" destId="{AA1B9B7E-01D5-4BE8-9B12-7779094371B0}" srcOrd="2" destOrd="0" presId="urn:microsoft.com/office/officeart/2005/8/layout/orgChart1"/>
    <dgm:cxn modelId="{676E9503-C0F4-4984-8721-C9D625785F39}" type="presParOf" srcId="{0A1028F6-D4A6-4DCF-82B2-0B11E26D43BD}" destId="{51E9F1C2-CE0B-4EBC-B5C4-9B5BBB66482D}" srcOrd="2" destOrd="0" presId="urn:microsoft.com/office/officeart/2005/8/layout/orgChart1"/>
  </dgm:cxnLst>
  <dgm:bg/>
  <dgm:whole/>
  <dgm:extLst>
    <a:ext uri="http://schemas.microsoft.com/office/drawing/2008/diagram">
      <dsp:dataModelExt xmlns:dsp="http://schemas.microsoft.com/office/drawing/2008/diagram" xmlns="" relId="rId3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98A1FCB-44FC-4D3A-AD80-BA946E954C78}">
      <dsp:nvSpPr>
        <dsp:cNvPr id="0" name=""/>
        <dsp:cNvSpPr/>
      </dsp:nvSpPr>
      <dsp:spPr>
        <a:xfrm>
          <a:off x="2276475" y="645516"/>
          <a:ext cx="780933" cy="271067"/>
        </a:xfrm>
        <a:custGeom>
          <a:avLst/>
          <a:gdLst/>
          <a:ahLst/>
          <a:cxnLst/>
          <a:rect l="0" t="0" r="0" b="0"/>
          <a:pathLst>
            <a:path>
              <a:moveTo>
                <a:pt x="0" y="0"/>
              </a:moveTo>
              <a:lnTo>
                <a:pt x="0" y="135533"/>
              </a:lnTo>
              <a:lnTo>
                <a:pt x="780933" y="135533"/>
              </a:lnTo>
              <a:lnTo>
                <a:pt x="780933" y="27106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495041-DECF-487B-971A-E37C4D55426A}">
      <dsp:nvSpPr>
        <dsp:cNvPr id="0" name=""/>
        <dsp:cNvSpPr/>
      </dsp:nvSpPr>
      <dsp:spPr>
        <a:xfrm>
          <a:off x="1495541" y="645516"/>
          <a:ext cx="780933" cy="271067"/>
        </a:xfrm>
        <a:custGeom>
          <a:avLst/>
          <a:gdLst/>
          <a:ahLst/>
          <a:cxnLst/>
          <a:rect l="0" t="0" r="0" b="0"/>
          <a:pathLst>
            <a:path>
              <a:moveTo>
                <a:pt x="780933" y="0"/>
              </a:moveTo>
              <a:lnTo>
                <a:pt x="780933" y="135533"/>
              </a:lnTo>
              <a:lnTo>
                <a:pt x="0" y="135533"/>
              </a:lnTo>
              <a:lnTo>
                <a:pt x="0" y="27106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549155-60D4-4A52-BCFB-CA38E8EC83BC}">
      <dsp:nvSpPr>
        <dsp:cNvPr id="0" name=""/>
        <dsp:cNvSpPr/>
      </dsp:nvSpPr>
      <dsp:spPr>
        <a:xfrm>
          <a:off x="1631075" y="116"/>
          <a:ext cx="1290799" cy="645399"/>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Interview</a:t>
          </a:r>
        </a:p>
      </dsp:txBody>
      <dsp:txXfrm>
        <a:off x="1631075" y="116"/>
        <a:ext cx="1290799" cy="645399"/>
      </dsp:txXfrm>
    </dsp:sp>
    <dsp:sp modelId="{1DCB6932-B337-4299-BAE8-2AF754EBFD5F}">
      <dsp:nvSpPr>
        <dsp:cNvPr id="0" name=""/>
        <dsp:cNvSpPr/>
      </dsp:nvSpPr>
      <dsp:spPr>
        <a:xfrm>
          <a:off x="850141" y="916583"/>
          <a:ext cx="1290799" cy="645399"/>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Suspect</a:t>
          </a:r>
        </a:p>
      </dsp:txBody>
      <dsp:txXfrm>
        <a:off x="850141" y="916583"/>
        <a:ext cx="1290799" cy="645399"/>
      </dsp:txXfrm>
    </dsp:sp>
    <dsp:sp modelId="{AB8C9987-D3B4-4E82-AB65-F8FB0862A13E}">
      <dsp:nvSpPr>
        <dsp:cNvPr id="0" name=""/>
        <dsp:cNvSpPr/>
      </dsp:nvSpPr>
      <dsp:spPr>
        <a:xfrm>
          <a:off x="2412008" y="916583"/>
          <a:ext cx="1290799" cy="645399"/>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Witness</a:t>
          </a:r>
        </a:p>
      </dsp:txBody>
      <dsp:txXfrm>
        <a:off x="2412008" y="916583"/>
        <a:ext cx="1290799" cy="64539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01EA97E-A277-403B-82CF-5CB622C47982}">
      <dsp:nvSpPr>
        <dsp:cNvPr id="0" name=""/>
        <dsp:cNvSpPr/>
      </dsp:nvSpPr>
      <dsp:spPr>
        <a:xfrm>
          <a:off x="1216" y="400552"/>
          <a:ext cx="627228" cy="51733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0005" tIns="40005" rIns="40005" bIns="40005" numCol="1" spcCol="1270" anchor="t" anchorCtr="0">
          <a:noAutofit/>
        </a:bodyPr>
        <a:lstStyle/>
        <a:p>
          <a:pPr marL="228600" lvl="1" indent="-228600" algn="l" defTabSz="933450">
            <a:lnSpc>
              <a:spcPct val="90000"/>
            </a:lnSpc>
            <a:spcBef>
              <a:spcPct val="0"/>
            </a:spcBef>
            <a:spcAft>
              <a:spcPct val="15000"/>
            </a:spcAft>
            <a:buChar char="••"/>
          </a:pPr>
          <a:r>
            <a:rPr lang="en-US" sz="2100" kern="1200"/>
            <a:t>a</a:t>
          </a:r>
        </a:p>
      </dsp:txBody>
      <dsp:txXfrm>
        <a:off x="1216" y="400552"/>
        <a:ext cx="627228" cy="406475"/>
      </dsp:txXfrm>
    </dsp:sp>
    <dsp:sp modelId="{6D03EFFE-740C-4114-99E0-796A425DBF40}">
      <dsp:nvSpPr>
        <dsp:cNvPr id="0" name=""/>
        <dsp:cNvSpPr/>
      </dsp:nvSpPr>
      <dsp:spPr>
        <a:xfrm>
          <a:off x="321772" y="409088"/>
          <a:ext cx="861127" cy="861127"/>
        </a:xfrm>
        <a:prstGeom prst="leftCircularArrow">
          <a:avLst>
            <a:gd name="adj1" fmla="val 5108"/>
            <a:gd name="adj2" fmla="val 659165"/>
            <a:gd name="adj3" fmla="val 2434676"/>
            <a:gd name="adj4" fmla="val 9024489"/>
            <a:gd name="adj5" fmla="val 5959"/>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6D81B7D-E7F4-4CA9-A8C6-EC39296F635A}">
      <dsp:nvSpPr>
        <dsp:cNvPr id="0" name=""/>
        <dsp:cNvSpPr/>
      </dsp:nvSpPr>
      <dsp:spPr>
        <a:xfrm>
          <a:off x="140600" y="807027"/>
          <a:ext cx="557536" cy="22171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Who</a:t>
          </a:r>
        </a:p>
      </dsp:txBody>
      <dsp:txXfrm>
        <a:off x="140600" y="807027"/>
        <a:ext cx="557536" cy="221713"/>
      </dsp:txXfrm>
    </dsp:sp>
    <dsp:sp modelId="{FD3D8DBB-ADBD-429E-8D15-6746D204CE6A}">
      <dsp:nvSpPr>
        <dsp:cNvPr id="0" name=""/>
        <dsp:cNvSpPr/>
      </dsp:nvSpPr>
      <dsp:spPr>
        <a:xfrm>
          <a:off x="907589" y="400552"/>
          <a:ext cx="627228" cy="51733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0005" tIns="40005" rIns="40005" bIns="40005" numCol="1" spcCol="1270" anchor="t" anchorCtr="0">
          <a:noAutofit/>
        </a:bodyPr>
        <a:lstStyle/>
        <a:p>
          <a:pPr marL="228600" lvl="1" indent="-228600" algn="l" defTabSz="933450">
            <a:lnSpc>
              <a:spcPct val="90000"/>
            </a:lnSpc>
            <a:spcBef>
              <a:spcPct val="0"/>
            </a:spcBef>
            <a:spcAft>
              <a:spcPct val="15000"/>
            </a:spcAft>
            <a:buChar char="••"/>
          </a:pPr>
          <a:r>
            <a:rPr lang="en-US" sz="2100" kern="1200"/>
            <a:t>b</a:t>
          </a:r>
        </a:p>
      </dsp:txBody>
      <dsp:txXfrm>
        <a:off x="907589" y="511409"/>
        <a:ext cx="627228" cy="406475"/>
      </dsp:txXfrm>
    </dsp:sp>
    <dsp:sp modelId="{1DD4276B-4658-46BA-B15D-DAA9F0C6F326}">
      <dsp:nvSpPr>
        <dsp:cNvPr id="0" name=""/>
        <dsp:cNvSpPr/>
      </dsp:nvSpPr>
      <dsp:spPr>
        <a:xfrm>
          <a:off x="1222918" y="27937"/>
          <a:ext cx="941273" cy="941273"/>
        </a:xfrm>
        <a:prstGeom prst="circularArrow">
          <a:avLst>
            <a:gd name="adj1" fmla="val 4673"/>
            <a:gd name="adj2" fmla="val 596551"/>
            <a:gd name="adj3" fmla="val 19227938"/>
            <a:gd name="adj4" fmla="val 12575511"/>
            <a:gd name="adj5" fmla="val 545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6254BF7-0DD2-46EE-9CD0-83F9A505E38E}">
      <dsp:nvSpPr>
        <dsp:cNvPr id="0" name=""/>
        <dsp:cNvSpPr/>
      </dsp:nvSpPr>
      <dsp:spPr>
        <a:xfrm>
          <a:off x="1046973" y="289695"/>
          <a:ext cx="557536" cy="22171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What	</a:t>
          </a:r>
        </a:p>
      </dsp:txBody>
      <dsp:txXfrm>
        <a:off x="1046973" y="289695"/>
        <a:ext cx="557536" cy="221713"/>
      </dsp:txXfrm>
    </dsp:sp>
    <dsp:sp modelId="{EE4C4844-8A88-4615-A763-721A1EA68762}">
      <dsp:nvSpPr>
        <dsp:cNvPr id="0" name=""/>
        <dsp:cNvSpPr/>
      </dsp:nvSpPr>
      <dsp:spPr>
        <a:xfrm>
          <a:off x="1813962" y="400552"/>
          <a:ext cx="627228" cy="51733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0005" tIns="40005" rIns="40005" bIns="40005" numCol="1" spcCol="1270" anchor="t" anchorCtr="0">
          <a:noAutofit/>
        </a:bodyPr>
        <a:lstStyle/>
        <a:p>
          <a:pPr marL="228600" lvl="1" indent="-228600" algn="l" defTabSz="933450">
            <a:lnSpc>
              <a:spcPct val="90000"/>
            </a:lnSpc>
            <a:spcBef>
              <a:spcPct val="0"/>
            </a:spcBef>
            <a:spcAft>
              <a:spcPct val="15000"/>
            </a:spcAft>
            <a:buChar char="••"/>
          </a:pPr>
          <a:r>
            <a:rPr lang="en-US" sz="2100" kern="1200"/>
            <a:t>c</a:t>
          </a:r>
        </a:p>
      </dsp:txBody>
      <dsp:txXfrm>
        <a:off x="1813962" y="400552"/>
        <a:ext cx="627228" cy="406475"/>
      </dsp:txXfrm>
    </dsp:sp>
    <dsp:sp modelId="{D5B7D26F-A2AB-4652-95F5-B9E667910225}">
      <dsp:nvSpPr>
        <dsp:cNvPr id="0" name=""/>
        <dsp:cNvSpPr/>
      </dsp:nvSpPr>
      <dsp:spPr>
        <a:xfrm>
          <a:off x="2134519" y="409088"/>
          <a:ext cx="861127" cy="861127"/>
        </a:xfrm>
        <a:prstGeom prst="leftCircularArrow">
          <a:avLst>
            <a:gd name="adj1" fmla="val 5108"/>
            <a:gd name="adj2" fmla="val 659165"/>
            <a:gd name="adj3" fmla="val 2434676"/>
            <a:gd name="adj4" fmla="val 9024489"/>
            <a:gd name="adj5" fmla="val 5959"/>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FCD4AB4-A9E4-4729-9BB7-118259739852}">
      <dsp:nvSpPr>
        <dsp:cNvPr id="0" name=""/>
        <dsp:cNvSpPr/>
      </dsp:nvSpPr>
      <dsp:spPr>
        <a:xfrm>
          <a:off x="1953346" y="807027"/>
          <a:ext cx="557536" cy="22171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Why</a:t>
          </a:r>
        </a:p>
      </dsp:txBody>
      <dsp:txXfrm>
        <a:off x="1953346" y="807027"/>
        <a:ext cx="557536" cy="221713"/>
      </dsp:txXfrm>
    </dsp:sp>
    <dsp:sp modelId="{52B1CF0B-EFAA-46A2-B5D6-EE5723AAAFC3}">
      <dsp:nvSpPr>
        <dsp:cNvPr id="0" name=""/>
        <dsp:cNvSpPr/>
      </dsp:nvSpPr>
      <dsp:spPr>
        <a:xfrm>
          <a:off x="2720336" y="400552"/>
          <a:ext cx="627228" cy="51733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0005" tIns="40005" rIns="40005" bIns="40005" numCol="1" spcCol="1270" anchor="t" anchorCtr="0">
          <a:noAutofit/>
        </a:bodyPr>
        <a:lstStyle/>
        <a:p>
          <a:pPr marL="228600" lvl="1" indent="-228600" algn="l" defTabSz="933450">
            <a:lnSpc>
              <a:spcPct val="90000"/>
            </a:lnSpc>
            <a:spcBef>
              <a:spcPct val="0"/>
            </a:spcBef>
            <a:spcAft>
              <a:spcPct val="15000"/>
            </a:spcAft>
            <a:buChar char="••"/>
          </a:pPr>
          <a:r>
            <a:rPr lang="en-US" sz="2100" kern="1200"/>
            <a:t>d</a:t>
          </a:r>
        </a:p>
      </dsp:txBody>
      <dsp:txXfrm>
        <a:off x="2720336" y="511409"/>
        <a:ext cx="627228" cy="406475"/>
      </dsp:txXfrm>
    </dsp:sp>
    <dsp:sp modelId="{A8D857EF-7970-4D87-9A1A-11C853AA5521}">
      <dsp:nvSpPr>
        <dsp:cNvPr id="0" name=""/>
        <dsp:cNvSpPr/>
      </dsp:nvSpPr>
      <dsp:spPr>
        <a:xfrm>
          <a:off x="3035665" y="27937"/>
          <a:ext cx="941273" cy="941273"/>
        </a:xfrm>
        <a:prstGeom prst="circularArrow">
          <a:avLst>
            <a:gd name="adj1" fmla="val 4673"/>
            <a:gd name="adj2" fmla="val 596551"/>
            <a:gd name="adj3" fmla="val 19227938"/>
            <a:gd name="adj4" fmla="val 12575511"/>
            <a:gd name="adj5" fmla="val 545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49765AB-A50C-49FD-A4ED-3B57155EF0F8}">
      <dsp:nvSpPr>
        <dsp:cNvPr id="0" name=""/>
        <dsp:cNvSpPr/>
      </dsp:nvSpPr>
      <dsp:spPr>
        <a:xfrm>
          <a:off x="2859720" y="289695"/>
          <a:ext cx="557536" cy="22171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When</a:t>
          </a:r>
        </a:p>
      </dsp:txBody>
      <dsp:txXfrm>
        <a:off x="2859720" y="289695"/>
        <a:ext cx="557536" cy="221713"/>
      </dsp:txXfrm>
    </dsp:sp>
    <dsp:sp modelId="{DB3E66FE-F42A-49BB-A842-48151BD43BAD}">
      <dsp:nvSpPr>
        <dsp:cNvPr id="0" name=""/>
        <dsp:cNvSpPr/>
      </dsp:nvSpPr>
      <dsp:spPr>
        <a:xfrm>
          <a:off x="3626709" y="400552"/>
          <a:ext cx="627228" cy="51733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0005" tIns="40005" rIns="40005" bIns="40005" numCol="1" spcCol="1270" anchor="t" anchorCtr="0">
          <a:noAutofit/>
        </a:bodyPr>
        <a:lstStyle/>
        <a:p>
          <a:pPr marL="228600" lvl="1" indent="-228600" algn="l" defTabSz="933450">
            <a:lnSpc>
              <a:spcPct val="90000"/>
            </a:lnSpc>
            <a:spcBef>
              <a:spcPct val="0"/>
            </a:spcBef>
            <a:spcAft>
              <a:spcPct val="15000"/>
            </a:spcAft>
            <a:buChar char="••"/>
          </a:pPr>
          <a:r>
            <a:rPr lang="en-US" sz="2100" kern="1200"/>
            <a:t>e</a:t>
          </a:r>
        </a:p>
      </dsp:txBody>
      <dsp:txXfrm>
        <a:off x="3626709" y="400552"/>
        <a:ext cx="627228" cy="406475"/>
      </dsp:txXfrm>
    </dsp:sp>
    <dsp:sp modelId="{76997D17-7D6A-42B7-8869-7F6391AAC231}">
      <dsp:nvSpPr>
        <dsp:cNvPr id="0" name=""/>
        <dsp:cNvSpPr/>
      </dsp:nvSpPr>
      <dsp:spPr>
        <a:xfrm>
          <a:off x="3947265" y="409088"/>
          <a:ext cx="861127" cy="861127"/>
        </a:xfrm>
        <a:prstGeom prst="leftCircularArrow">
          <a:avLst>
            <a:gd name="adj1" fmla="val 5108"/>
            <a:gd name="adj2" fmla="val 659165"/>
            <a:gd name="adj3" fmla="val 2434676"/>
            <a:gd name="adj4" fmla="val 9024489"/>
            <a:gd name="adj5" fmla="val 5959"/>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ADAB62B-FDC0-4787-A76C-101F14A1A332}">
      <dsp:nvSpPr>
        <dsp:cNvPr id="0" name=""/>
        <dsp:cNvSpPr/>
      </dsp:nvSpPr>
      <dsp:spPr>
        <a:xfrm>
          <a:off x="3766093" y="807027"/>
          <a:ext cx="557536" cy="22171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Where</a:t>
          </a:r>
        </a:p>
      </dsp:txBody>
      <dsp:txXfrm>
        <a:off x="3766093" y="807027"/>
        <a:ext cx="557536" cy="221713"/>
      </dsp:txXfrm>
    </dsp:sp>
    <dsp:sp modelId="{3BDA8436-5D41-48FA-B616-29C602EEDECD}">
      <dsp:nvSpPr>
        <dsp:cNvPr id="0" name=""/>
        <dsp:cNvSpPr/>
      </dsp:nvSpPr>
      <dsp:spPr>
        <a:xfrm>
          <a:off x="4533082" y="400552"/>
          <a:ext cx="627228" cy="51733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0005" tIns="40005" rIns="40005" bIns="40005" numCol="1" spcCol="1270" anchor="t" anchorCtr="0">
          <a:noAutofit/>
        </a:bodyPr>
        <a:lstStyle/>
        <a:p>
          <a:pPr marL="228600" lvl="1" indent="-228600" algn="l" defTabSz="933450">
            <a:lnSpc>
              <a:spcPct val="90000"/>
            </a:lnSpc>
            <a:spcBef>
              <a:spcPct val="0"/>
            </a:spcBef>
            <a:spcAft>
              <a:spcPct val="15000"/>
            </a:spcAft>
            <a:buChar char="••"/>
          </a:pPr>
          <a:r>
            <a:rPr lang="en-US" sz="2100" kern="1200"/>
            <a:t>f</a:t>
          </a:r>
        </a:p>
      </dsp:txBody>
      <dsp:txXfrm>
        <a:off x="4533082" y="511409"/>
        <a:ext cx="627228" cy="406475"/>
      </dsp:txXfrm>
    </dsp:sp>
    <dsp:sp modelId="{0AC0047B-B2CB-44F8-B733-D7125594FC87}">
      <dsp:nvSpPr>
        <dsp:cNvPr id="0" name=""/>
        <dsp:cNvSpPr/>
      </dsp:nvSpPr>
      <dsp:spPr>
        <a:xfrm>
          <a:off x="4672466" y="289695"/>
          <a:ext cx="557536" cy="22171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How</a:t>
          </a:r>
        </a:p>
      </dsp:txBody>
      <dsp:txXfrm>
        <a:off x="4672466" y="289695"/>
        <a:ext cx="557536" cy="221713"/>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98A1FCB-44FC-4D3A-AD80-BA946E954C78}">
      <dsp:nvSpPr>
        <dsp:cNvPr id="0" name=""/>
        <dsp:cNvSpPr/>
      </dsp:nvSpPr>
      <dsp:spPr>
        <a:xfrm>
          <a:off x="2275367" y="698591"/>
          <a:ext cx="845249" cy="293392"/>
        </a:xfrm>
        <a:custGeom>
          <a:avLst/>
          <a:gdLst/>
          <a:ahLst/>
          <a:cxnLst/>
          <a:rect l="0" t="0" r="0" b="0"/>
          <a:pathLst>
            <a:path>
              <a:moveTo>
                <a:pt x="0" y="0"/>
              </a:moveTo>
              <a:lnTo>
                <a:pt x="0" y="146696"/>
              </a:lnTo>
              <a:lnTo>
                <a:pt x="845249" y="146696"/>
              </a:lnTo>
              <a:lnTo>
                <a:pt x="845249" y="29339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495041-DECF-487B-971A-E37C4D55426A}">
      <dsp:nvSpPr>
        <dsp:cNvPr id="0" name=""/>
        <dsp:cNvSpPr/>
      </dsp:nvSpPr>
      <dsp:spPr>
        <a:xfrm>
          <a:off x="1430117" y="698591"/>
          <a:ext cx="845249" cy="293392"/>
        </a:xfrm>
        <a:custGeom>
          <a:avLst/>
          <a:gdLst/>
          <a:ahLst/>
          <a:cxnLst/>
          <a:rect l="0" t="0" r="0" b="0"/>
          <a:pathLst>
            <a:path>
              <a:moveTo>
                <a:pt x="845249" y="0"/>
              </a:moveTo>
              <a:lnTo>
                <a:pt x="845249" y="146696"/>
              </a:lnTo>
              <a:lnTo>
                <a:pt x="0" y="146696"/>
              </a:lnTo>
              <a:lnTo>
                <a:pt x="0" y="29339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549155-60D4-4A52-BCFB-CA38E8EC83BC}">
      <dsp:nvSpPr>
        <dsp:cNvPr id="0" name=""/>
        <dsp:cNvSpPr/>
      </dsp:nvSpPr>
      <dsp:spPr>
        <a:xfrm>
          <a:off x="1576814" y="38"/>
          <a:ext cx="1397106" cy="698553"/>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Interview</a:t>
          </a:r>
        </a:p>
      </dsp:txBody>
      <dsp:txXfrm>
        <a:off x="1576814" y="38"/>
        <a:ext cx="1397106" cy="698553"/>
      </dsp:txXfrm>
    </dsp:sp>
    <dsp:sp modelId="{1DCB6932-B337-4299-BAE8-2AF754EBFD5F}">
      <dsp:nvSpPr>
        <dsp:cNvPr id="0" name=""/>
        <dsp:cNvSpPr/>
      </dsp:nvSpPr>
      <dsp:spPr>
        <a:xfrm>
          <a:off x="731564" y="991984"/>
          <a:ext cx="1397106" cy="698553"/>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Suspect</a:t>
          </a:r>
        </a:p>
      </dsp:txBody>
      <dsp:txXfrm>
        <a:off x="731564" y="991984"/>
        <a:ext cx="1397106" cy="698553"/>
      </dsp:txXfrm>
    </dsp:sp>
    <dsp:sp modelId="{AB8C9987-D3B4-4E82-AB65-F8FB0862A13E}">
      <dsp:nvSpPr>
        <dsp:cNvPr id="0" name=""/>
        <dsp:cNvSpPr/>
      </dsp:nvSpPr>
      <dsp:spPr>
        <a:xfrm>
          <a:off x="2422063" y="991984"/>
          <a:ext cx="1397106" cy="698553"/>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Witness</a:t>
          </a:r>
        </a:p>
      </dsp:txBody>
      <dsp:txXfrm>
        <a:off x="2422063" y="991984"/>
        <a:ext cx="1397106" cy="69855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D2550-7607-4BDE-B87B-B22A2CAA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3584</Words>
  <Characters>20432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2016-07-27T11:42:00Z</dcterms:created>
  <dcterms:modified xsi:type="dcterms:W3CDTF">2016-07-27T12:01:00Z</dcterms:modified>
</cp:coreProperties>
</file>