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ZW" w:eastAsia="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359F" w:rsidP="00A851DA">
      <w:pPr>
        <w:rPr>
          <w:lang w:val="en-US"/>
        </w:rPr>
      </w:pPr>
      <w:r>
        <w:rPr>
          <w:noProof/>
          <w:lang w:val="en-ZW" w:eastAsia="en-Z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35F7">
            <w:pPr>
              <w:pStyle w:val="Default"/>
              <w:rPr>
                <w:rFonts w:asciiTheme="minorHAnsi" w:hAnsiTheme="minorHAnsi"/>
              </w:rPr>
            </w:pPr>
            <w:r>
              <w:rPr>
                <w:rFonts w:asciiTheme="minorHAnsi" w:hAnsiTheme="minorHAnsi"/>
              </w:rPr>
              <w:t>Tafadzwa Chipoyera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35F7">
            <w:pPr>
              <w:pStyle w:val="Default"/>
              <w:rPr>
                <w:rFonts w:asciiTheme="minorHAnsi" w:hAnsiTheme="minorHAnsi"/>
              </w:rPr>
            </w:pPr>
            <w:r>
              <w:rPr>
                <w:rFonts w:asciiTheme="minorHAnsi" w:hAnsiTheme="minorHAnsi"/>
              </w:rPr>
              <w:t>Public Relations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35F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60359F" w:rsidRPr="0060359F" w:rsidRDefault="0060359F" w:rsidP="0060359F">
            <w:pPr>
              <w:keepNext/>
              <w:keepLines/>
              <w:numPr>
                <w:ilvl w:val="0"/>
                <w:numId w:val="7"/>
              </w:numPr>
              <w:spacing w:before="240" w:after="160" w:line="360" w:lineRule="auto"/>
              <w:jc w:val="both"/>
              <w:outlineLvl w:val="0"/>
              <w:rPr>
                <w:rFonts w:ascii="Arial" w:eastAsia="Times New Roman" w:hAnsi="Arial" w:cs="Arial"/>
                <w:color w:val="2E74B5"/>
                <w:sz w:val="24"/>
                <w:szCs w:val="24"/>
                <w:lang w:val="en-ZW"/>
              </w:rPr>
            </w:pPr>
            <w:bookmarkStart w:id="0" w:name="_Toc494378428"/>
            <w:bookmarkStart w:id="1" w:name="_Toc494381137"/>
            <w:r w:rsidRPr="0060359F">
              <w:rPr>
                <w:rFonts w:ascii="Arial" w:eastAsia="Times New Roman" w:hAnsi="Arial" w:cs="Arial"/>
                <w:color w:val="2E74B5"/>
                <w:sz w:val="24"/>
                <w:szCs w:val="24"/>
                <w:lang w:val="en-ZW"/>
              </w:rPr>
              <w:t>Define the term, ‘Public Relations.’</w:t>
            </w:r>
            <w:bookmarkEnd w:id="0"/>
            <w:bookmarkEnd w:id="1"/>
            <w:r w:rsidRPr="0060359F">
              <w:rPr>
                <w:rFonts w:ascii="Arial" w:eastAsia="Times New Roman" w:hAnsi="Arial" w:cs="Arial"/>
                <w:color w:val="2E74B5"/>
                <w:sz w:val="24"/>
                <w:szCs w:val="24"/>
                <w:lang w:val="en-ZW"/>
              </w:rPr>
              <w:t xml:space="preserve"> </w:t>
            </w:r>
          </w:p>
          <w:p w:rsidR="0060359F" w:rsidRDefault="0060359F" w:rsidP="0060359F">
            <w:pPr>
              <w:spacing w:after="160" w:line="360" w:lineRule="auto"/>
              <w:jc w:val="both"/>
              <w:rPr>
                <w:rFonts w:ascii="Arial" w:eastAsia="Calibri" w:hAnsi="Arial" w:cs="Arial"/>
                <w:sz w:val="24"/>
                <w:szCs w:val="24"/>
                <w:lang w:val="en-ZW"/>
              </w:rPr>
            </w:pPr>
            <w:r w:rsidRPr="0060359F">
              <w:rPr>
                <w:rFonts w:ascii="Arial" w:eastAsia="Calibri" w:hAnsi="Arial" w:cs="Arial"/>
                <w:sz w:val="24"/>
                <w:szCs w:val="24"/>
                <w:lang w:val="en-ZW"/>
              </w:rPr>
              <w:t xml:space="preserve">Public Relations is the deliberate, planned and sustained effort to establish and maintain mutual understanding between on organization and its publics. </w:t>
            </w:r>
          </w:p>
          <w:p w:rsidR="0060359F" w:rsidRPr="0060359F" w:rsidRDefault="0060359F" w:rsidP="0060359F">
            <w:pPr>
              <w:spacing w:after="160" w:line="360" w:lineRule="auto"/>
              <w:jc w:val="both"/>
              <w:rPr>
                <w:rFonts w:ascii="Arial" w:eastAsia="Calibri" w:hAnsi="Arial" w:cs="Arial"/>
                <w:sz w:val="24"/>
                <w:szCs w:val="24"/>
                <w:lang w:val="en-ZW"/>
              </w:rPr>
            </w:pPr>
            <w:r w:rsidRPr="0060359F">
              <w:rPr>
                <w:rFonts w:ascii="Arial" w:eastAsia="Calibri" w:hAnsi="Arial" w:cs="Arial"/>
                <w:sz w:val="24"/>
                <w:szCs w:val="24"/>
                <w:lang w:val="en-ZW"/>
              </w:rPr>
              <w:t>Harlow(1976) defined Public Relations as “a  distinctive management function which helps establish and maintain mutual lines of communication, understanding, acceptance and cooperation between an organization and its publics; involves the management of problems or issues; helps management to keep informed on and responsive to public opinion; defines and emphasizes the responsibility of management to serve the public interest; helps management keep abreast of and effectively utilize change, serving as an early warning system to help anticipate trends; and uses research and sound and ethical communication as its principal tools."</w:t>
            </w:r>
          </w:p>
          <w:p w:rsidR="0060359F" w:rsidRPr="0060359F" w:rsidRDefault="0060359F" w:rsidP="0060359F">
            <w:pPr>
              <w:spacing w:after="160" w:line="360" w:lineRule="auto"/>
              <w:jc w:val="both"/>
              <w:rPr>
                <w:rFonts w:ascii="Arial" w:eastAsia="Calibri" w:hAnsi="Arial" w:cs="Arial"/>
                <w:sz w:val="24"/>
                <w:szCs w:val="24"/>
                <w:lang w:val="en-ZW"/>
              </w:rPr>
            </w:pPr>
            <w:r w:rsidRPr="0060359F">
              <w:rPr>
                <w:rFonts w:ascii="Arial" w:eastAsia="Calibri" w:hAnsi="Arial" w:cs="Arial"/>
                <w:sz w:val="24"/>
                <w:szCs w:val="24"/>
                <w:lang w:val="en-ZW"/>
              </w:rPr>
              <w:t>Simon (1986) noted the main characteristics of public relations as:</w:t>
            </w:r>
          </w:p>
          <w:p w:rsidR="0060359F" w:rsidRPr="0060359F" w:rsidRDefault="0060359F" w:rsidP="0060359F">
            <w:pPr>
              <w:numPr>
                <w:ilvl w:val="0"/>
                <w:numId w:val="4"/>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 xml:space="preserve">Public Relations  is planned and executed on behalf of management of organisations </w:t>
            </w:r>
          </w:p>
          <w:p w:rsidR="0060359F" w:rsidRPr="0060359F" w:rsidRDefault="0060359F" w:rsidP="0060359F">
            <w:pPr>
              <w:numPr>
                <w:ilvl w:val="0"/>
                <w:numId w:val="4"/>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lastRenderedPageBreak/>
              <w:t xml:space="preserve">Public Relations  has to do with promoting relationship between an organisation and a specific public or stakeholder </w:t>
            </w:r>
          </w:p>
          <w:p w:rsidR="0060359F" w:rsidRPr="0060359F" w:rsidRDefault="0060359F" w:rsidP="0060359F">
            <w:pPr>
              <w:numPr>
                <w:ilvl w:val="0"/>
                <w:numId w:val="4"/>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Public Relations  involves assessing the attitude and opinions of the public under consideration</w:t>
            </w:r>
          </w:p>
          <w:p w:rsidR="0060359F" w:rsidRPr="0060359F" w:rsidRDefault="0060359F" w:rsidP="0060359F">
            <w:pPr>
              <w:numPr>
                <w:ilvl w:val="0"/>
                <w:numId w:val="4"/>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Public Relations  involves policies, procedures and action taken by organisations for the benefit of the public as well as the organisation</w:t>
            </w:r>
          </w:p>
          <w:p w:rsidR="0060359F" w:rsidRPr="0060359F" w:rsidRDefault="0060359F" w:rsidP="0060359F">
            <w:pPr>
              <w:numPr>
                <w:ilvl w:val="0"/>
                <w:numId w:val="4"/>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Public Relations  requires good two-way communication between the organisations and the public</w:t>
            </w:r>
          </w:p>
          <w:p w:rsidR="0060359F" w:rsidRPr="0060359F" w:rsidRDefault="0060359F" w:rsidP="0060359F">
            <w:pPr>
              <w:numPr>
                <w:ilvl w:val="0"/>
                <w:numId w:val="4"/>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Public Relations Development of rapport, goodwill, understanding and acceptance as the chief end result sought by public relations activities.</w:t>
            </w:r>
          </w:p>
          <w:p w:rsidR="0060359F" w:rsidRPr="0060359F" w:rsidRDefault="0060359F" w:rsidP="0060359F">
            <w:pPr>
              <w:spacing w:after="160" w:line="360" w:lineRule="auto"/>
              <w:jc w:val="both"/>
              <w:rPr>
                <w:rFonts w:ascii="Arial" w:eastAsia="Calibri" w:hAnsi="Arial" w:cs="Arial"/>
                <w:sz w:val="24"/>
                <w:szCs w:val="24"/>
                <w:lang w:val="en-ZW"/>
              </w:rPr>
            </w:pPr>
            <w:r w:rsidRPr="0060359F">
              <w:rPr>
                <w:rFonts w:ascii="Arial" w:eastAsia="Calibri" w:hAnsi="Arial" w:cs="Arial"/>
                <w:sz w:val="24"/>
                <w:szCs w:val="24"/>
                <w:lang w:val="en-ZW"/>
              </w:rPr>
              <w:t>The major basic goals of public relations are:</w:t>
            </w:r>
          </w:p>
          <w:p w:rsidR="0060359F" w:rsidRPr="0060359F" w:rsidRDefault="0060359F" w:rsidP="0060359F">
            <w:pPr>
              <w:numPr>
                <w:ilvl w:val="0"/>
                <w:numId w:val="2"/>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to attract public attention</w:t>
            </w:r>
          </w:p>
          <w:p w:rsidR="0060359F" w:rsidRPr="0060359F" w:rsidRDefault="0060359F" w:rsidP="0060359F">
            <w:pPr>
              <w:numPr>
                <w:ilvl w:val="0"/>
                <w:numId w:val="2"/>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to win belief</w:t>
            </w:r>
          </w:p>
          <w:p w:rsidR="0060359F" w:rsidRPr="0060359F" w:rsidRDefault="0060359F" w:rsidP="0060359F">
            <w:pPr>
              <w:numPr>
                <w:ilvl w:val="0"/>
                <w:numId w:val="2"/>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to achieve understanding and</w:t>
            </w:r>
          </w:p>
          <w:p w:rsidR="0060359F" w:rsidRPr="0060359F" w:rsidRDefault="0060359F" w:rsidP="0060359F">
            <w:pPr>
              <w:numPr>
                <w:ilvl w:val="0"/>
                <w:numId w:val="2"/>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to earn goodwill.</w:t>
            </w:r>
          </w:p>
          <w:p w:rsidR="0060359F" w:rsidRPr="0060359F" w:rsidRDefault="0060359F" w:rsidP="0060359F">
            <w:pPr>
              <w:spacing w:after="160" w:line="360" w:lineRule="auto"/>
              <w:jc w:val="both"/>
              <w:rPr>
                <w:rFonts w:ascii="Arial" w:eastAsia="Calibri" w:hAnsi="Arial" w:cs="Arial"/>
                <w:sz w:val="24"/>
                <w:szCs w:val="24"/>
                <w:lang w:val="en-ZW"/>
              </w:rPr>
            </w:pPr>
          </w:p>
          <w:p w:rsidR="0060359F" w:rsidRPr="0060359F" w:rsidRDefault="0060359F" w:rsidP="0060359F">
            <w:pPr>
              <w:keepNext/>
              <w:keepLines/>
              <w:numPr>
                <w:ilvl w:val="0"/>
                <w:numId w:val="7"/>
              </w:numPr>
              <w:spacing w:before="240" w:after="160" w:line="360" w:lineRule="auto"/>
              <w:jc w:val="both"/>
              <w:outlineLvl w:val="0"/>
              <w:rPr>
                <w:rFonts w:ascii="Arial" w:eastAsia="Times New Roman" w:hAnsi="Arial" w:cs="Arial"/>
                <w:color w:val="2E74B5"/>
                <w:sz w:val="24"/>
                <w:szCs w:val="24"/>
                <w:lang w:val="en-ZW"/>
              </w:rPr>
            </w:pPr>
            <w:bookmarkStart w:id="2" w:name="_Toc494378429"/>
            <w:bookmarkStart w:id="3" w:name="_Toc494381138"/>
            <w:r w:rsidRPr="0060359F">
              <w:rPr>
                <w:rFonts w:ascii="Arial" w:eastAsia="Times New Roman" w:hAnsi="Arial" w:cs="Arial"/>
                <w:color w:val="2E74B5"/>
                <w:sz w:val="24"/>
                <w:szCs w:val="24"/>
                <w:lang w:val="en-ZW"/>
              </w:rPr>
              <w:t>Define the term, ‘Publicity’</w:t>
            </w:r>
            <w:bookmarkEnd w:id="2"/>
            <w:bookmarkEnd w:id="3"/>
            <w:r w:rsidRPr="0060359F">
              <w:rPr>
                <w:rFonts w:ascii="Arial" w:eastAsia="Times New Roman" w:hAnsi="Arial" w:cs="Arial"/>
                <w:color w:val="2E74B5"/>
                <w:sz w:val="24"/>
                <w:szCs w:val="24"/>
                <w:lang w:val="en-ZW"/>
              </w:rPr>
              <w:t xml:space="preserve"> </w:t>
            </w:r>
          </w:p>
          <w:p w:rsidR="0060359F" w:rsidRPr="0060359F" w:rsidRDefault="0060359F" w:rsidP="0060359F">
            <w:pPr>
              <w:spacing w:after="160" w:line="360" w:lineRule="auto"/>
              <w:jc w:val="both"/>
              <w:rPr>
                <w:rFonts w:ascii="Arial" w:eastAsia="Calibri" w:hAnsi="Arial" w:cs="Arial"/>
                <w:sz w:val="24"/>
                <w:szCs w:val="24"/>
                <w:lang w:val="en-ZW"/>
              </w:rPr>
            </w:pPr>
            <w:r w:rsidRPr="0060359F">
              <w:rPr>
                <w:rFonts w:ascii="Arial" w:eastAsia="Calibri" w:hAnsi="Arial" w:cs="Arial"/>
                <w:sz w:val="24"/>
                <w:szCs w:val="24"/>
                <w:lang w:val="en-ZW"/>
              </w:rPr>
              <w:t>Publicity is gaining public visibility or awareness for a product, service or an organisation through the media. It involves having products or services featured in newspapers or non-commercial programmes on TV or radio without paying for it.</w:t>
            </w:r>
          </w:p>
          <w:p w:rsidR="0060359F" w:rsidRPr="0060359F" w:rsidRDefault="0060359F" w:rsidP="0060359F">
            <w:pPr>
              <w:spacing w:after="160" w:line="360" w:lineRule="auto"/>
              <w:jc w:val="both"/>
              <w:rPr>
                <w:rFonts w:ascii="Arial" w:eastAsia="Calibri" w:hAnsi="Arial" w:cs="Arial"/>
                <w:sz w:val="24"/>
                <w:szCs w:val="24"/>
                <w:lang w:val="en-ZW"/>
              </w:rPr>
            </w:pPr>
            <w:r w:rsidRPr="0060359F">
              <w:rPr>
                <w:rFonts w:ascii="Arial" w:eastAsia="Calibri" w:hAnsi="Arial" w:cs="Arial"/>
                <w:sz w:val="24"/>
                <w:szCs w:val="24"/>
                <w:lang w:val="en-ZW"/>
              </w:rPr>
              <w:t>The communication is perceived as originating from the media house and not the organisation itself. This is opposed to advertising whereby the organisation itself prepares and owns the message to be communicated to the public.</w:t>
            </w:r>
          </w:p>
          <w:p w:rsidR="0060359F" w:rsidRPr="0060359F" w:rsidRDefault="0060359F" w:rsidP="0060359F">
            <w:pPr>
              <w:spacing w:after="160" w:line="360" w:lineRule="auto"/>
              <w:jc w:val="both"/>
              <w:rPr>
                <w:rFonts w:ascii="Arial" w:eastAsia="Calibri" w:hAnsi="Arial" w:cs="Arial"/>
                <w:sz w:val="24"/>
                <w:szCs w:val="24"/>
                <w:lang w:val="en-ZW"/>
              </w:rPr>
            </w:pPr>
            <w:r w:rsidRPr="0060359F">
              <w:rPr>
                <w:rFonts w:ascii="Arial" w:eastAsia="Calibri" w:hAnsi="Arial" w:cs="Arial"/>
                <w:sz w:val="24"/>
                <w:szCs w:val="24"/>
                <w:lang w:val="en-ZW"/>
              </w:rPr>
              <w:t xml:space="preserve">Considering that the media house or journalist is the one who release the message to the public if not done with accurate information it can produce negative results. Therefore the messages should be well-worded, factual, and truthful and not portrayed in a manner as to be perceived as an advertisement. </w:t>
            </w:r>
          </w:p>
          <w:p w:rsidR="0060359F" w:rsidRPr="0060359F" w:rsidRDefault="0060359F" w:rsidP="0060359F">
            <w:pPr>
              <w:spacing w:after="160" w:line="360" w:lineRule="auto"/>
              <w:jc w:val="both"/>
              <w:rPr>
                <w:rFonts w:ascii="Arial" w:eastAsia="Calibri" w:hAnsi="Arial" w:cs="Arial"/>
                <w:sz w:val="24"/>
                <w:szCs w:val="24"/>
                <w:lang w:val="en-ZW"/>
              </w:rPr>
            </w:pPr>
            <w:r w:rsidRPr="0060359F">
              <w:rPr>
                <w:rFonts w:ascii="Arial" w:eastAsia="Calibri" w:hAnsi="Arial" w:cs="Arial"/>
                <w:sz w:val="24"/>
                <w:szCs w:val="24"/>
                <w:lang w:val="en-ZW"/>
              </w:rPr>
              <w:t>Publicity involves having products or services featured in on media without paying for it. It is therefore characterised by low cost and credibility considering that it is initiated and conducted by a third party.</w:t>
            </w:r>
          </w:p>
          <w:p w:rsidR="0060359F" w:rsidRDefault="0060359F" w:rsidP="0060359F">
            <w:pPr>
              <w:spacing w:after="160" w:line="360" w:lineRule="auto"/>
              <w:jc w:val="both"/>
              <w:rPr>
                <w:rFonts w:ascii="Arial" w:eastAsia="Calibri" w:hAnsi="Arial" w:cs="Arial"/>
                <w:sz w:val="24"/>
                <w:szCs w:val="24"/>
                <w:lang w:val="en-ZW"/>
              </w:rPr>
            </w:pPr>
            <w:r w:rsidRPr="0060359F">
              <w:rPr>
                <w:rFonts w:ascii="Arial" w:eastAsia="Calibri" w:hAnsi="Arial" w:cs="Arial"/>
                <w:sz w:val="24"/>
                <w:szCs w:val="24"/>
                <w:lang w:val="en-ZW"/>
              </w:rPr>
              <w:lastRenderedPageBreak/>
              <w:t>On another note, due to third party leading the communications with the public, publicity is also characterised by lack of control by the organisation over how releases will be used and can also result in frustration over the low percentage of releases that are taken up by the media.</w:t>
            </w:r>
          </w:p>
          <w:p w:rsidR="0060359F" w:rsidRPr="0060359F" w:rsidRDefault="0060359F" w:rsidP="0060359F">
            <w:pPr>
              <w:spacing w:after="160" w:line="360" w:lineRule="auto"/>
              <w:jc w:val="both"/>
              <w:rPr>
                <w:rFonts w:ascii="Arial" w:eastAsia="Calibri" w:hAnsi="Arial" w:cs="Arial"/>
                <w:sz w:val="24"/>
                <w:szCs w:val="24"/>
                <w:lang w:val="en-ZW"/>
              </w:rPr>
            </w:pPr>
          </w:p>
          <w:p w:rsidR="0060359F" w:rsidRPr="0060359F" w:rsidRDefault="0060359F" w:rsidP="0060359F">
            <w:pPr>
              <w:keepNext/>
              <w:keepLines/>
              <w:numPr>
                <w:ilvl w:val="0"/>
                <w:numId w:val="7"/>
              </w:numPr>
              <w:spacing w:before="240" w:after="160" w:line="360" w:lineRule="auto"/>
              <w:jc w:val="both"/>
              <w:outlineLvl w:val="0"/>
              <w:rPr>
                <w:rFonts w:ascii="Arial" w:eastAsia="Times New Roman" w:hAnsi="Arial" w:cs="Arial"/>
                <w:b/>
                <w:color w:val="2E74B5"/>
                <w:sz w:val="24"/>
                <w:szCs w:val="24"/>
                <w:lang w:val="en-ZW"/>
              </w:rPr>
            </w:pPr>
            <w:bookmarkStart w:id="4" w:name="_Toc494378430"/>
            <w:bookmarkStart w:id="5" w:name="_Toc494381139"/>
            <w:r w:rsidRPr="0060359F">
              <w:rPr>
                <w:rFonts w:ascii="Arial" w:eastAsia="Times New Roman" w:hAnsi="Arial" w:cs="Arial"/>
                <w:color w:val="2E74B5"/>
                <w:sz w:val="24"/>
                <w:szCs w:val="24"/>
                <w:lang w:val="en-ZW"/>
              </w:rPr>
              <w:t>What are the similarities between Public Relations, publicity, and advertising? Name the two main branches of advertising.</w:t>
            </w:r>
            <w:bookmarkEnd w:id="4"/>
            <w:bookmarkEnd w:id="5"/>
            <w:r w:rsidRPr="0060359F">
              <w:rPr>
                <w:rFonts w:ascii="Arial" w:eastAsia="Times New Roman" w:hAnsi="Arial" w:cs="Arial"/>
                <w:b/>
                <w:color w:val="2E74B5"/>
                <w:sz w:val="24"/>
                <w:szCs w:val="24"/>
                <w:lang w:val="en-ZW"/>
              </w:rPr>
              <w:t xml:space="preserve"> </w:t>
            </w:r>
          </w:p>
          <w:p w:rsidR="0060359F" w:rsidRPr="0060359F" w:rsidRDefault="0060359F" w:rsidP="0060359F">
            <w:pPr>
              <w:keepNext/>
              <w:keepLines/>
              <w:spacing w:before="40" w:line="360" w:lineRule="auto"/>
              <w:outlineLvl w:val="1"/>
              <w:rPr>
                <w:rFonts w:ascii="Arial" w:eastAsia="Times New Roman" w:hAnsi="Arial" w:cs="Arial"/>
                <w:color w:val="2E74B5"/>
                <w:sz w:val="24"/>
                <w:szCs w:val="24"/>
                <w:lang w:val="en-ZW"/>
              </w:rPr>
            </w:pPr>
            <w:bookmarkStart w:id="6" w:name="_Toc494378431"/>
            <w:bookmarkStart w:id="7" w:name="_Toc494381140"/>
            <w:r w:rsidRPr="0060359F">
              <w:rPr>
                <w:rFonts w:ascii="Arial" w:eastAsia="Times New Roman" w:hAnsi="Arial" w:cs="Arial"/>
                <w:color w:val="2E74B5"/>
                <w:sz w:val="24"/>
                <w:szCs w:val="24"/>
                <w:lang w:val="en-ZW"/>
              </w:rPr>
              <w:t>Similarities between Public Relations, publicity, and advertising</w:t>
            </w:r>
            <w:bookmarkEnd w:id="6"/>
            <w:r w:rsidRPr="0060359F">
              <w:rPr>
                <w:rFonts w:ascii="Arial" w:eastAsia="Times New Roman" w:hAnsi="Arial" w:cs="Arial"/>
                <w:color w:val="2E74B5"/>
                <w:sz w:val="24"/>
                <w:szCs w:val="24"/>
                <w:lang w:val="en-ZW"/>
              </w:rPr>
              <w:t>.</w:t>
            </w:r>
            <w:bookmarkEnd w:id="7"/>
          </w:p>
          <w:p w:rsidR="0060359F" w:rsidRPr="0060359F" w:rsidRDefault="0060359F" w:rsidP="0060359F">
            <w:pPr>
              <w:spacing w:after="160" w:line="360" w:lineRule="auto"/>
              <w:jc w:val="both"/>
              <w:rPr>
                <w:rFonts w:ascii="Arial" w:eastAsia="Calibri" w:hAnsi="Arial" w:cs="Arial"/>
                <w:sz w:val="24"/>
                <w:szCs w:val="24"/>
                <w:lang w:val="en-ZW"/>
              </w:rPr>
            </w:pPr>
            <w:r w:rsidRPr="0060359F">
              <w:rPr>
                <w:rFonts w:ascii="Arial" w:eastAsia="Calibri" w:hAnsi="Arial" w:cs="Arial"/>
                <w:sz w:val="24"/>
                <w:szCs w:val="24"/>
                <w:lang w:val="en-ZW"/>
              </w:rPr>
              <w:t xml:space="preserve">Similarities between PR, advertising, and publicity are mainly found in: </w:t>
            </w:r>
          </w:p>
          <w:p w:rsidR="0060359F" w:rsidRPr="0060359F" w:rsidRDefault="0060359F" w:rsidP="0060359F">
            <w:pPr>
              <w:numPr>
                <w:ilvl w:val="0"/>
                <w:numId w:val="5"/>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The media used for communication.</w:t>
            </w:r>
          </w:p>
          <w:p w:rsidR="0060359F" w:rsidRPr="0060359F" w:rsidRDefault="0060359F" w:rsidP="0060359F">
            <w:pPr>
              <w:numPr>
                <w:ilvl w:val="0"/>
                <w:numId w:val="5"/>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The elements used to create the message.</w:t>
            </w:r>
          </w:p>
          <w:p w:rsidR="0060359F" w:rsidRDefault="0060359F" w:rsidP="0060359F">
            <w:pPr>
              <w:spacing w:after="160" w:line="360" w:lineRule="auto"/>
              <w:jc w:val="both"/>
              <w:rPr>
                <w:rFonts w:ascii="Arial" w:eastAsia="Calibri" w:hAnsi="Arial" w:cs="Arial"/>
                <w:sz w:val="24"/>
                <w:szCs w:val="24"/>
                <w:lang w:val="en-ZW"/>
              </w:rPr>
            </w:pPr>
          </w:p>
          <w:p w:rsidR="0060359F" w:rsidRPr="0060359F" w:rsidRDefault="0060359F" w:rsidP="0060359F">
            <w:pPr>
              <w:spacing w:after="160" w:line="360" w:lineRule="auto"/>
              <w:jc w:val="both"/>
              <w:rPr>
                <w:rFonts w:ascii="Arial" w:eastAsia="Calibri" w:hAnsi="Arial" w:cs="Arial"/>
                <w:sz w:val="24"/>
                <w:szCs w:val="24"/>
                <w:lang w:val="en-ZW"/>
              </w:rPr>
            </w:pPr>
            <w:r w:rsidRPr="0060359F">
              <w:rPr>
                <w:rFonts w:ascii="Arial" w:eastAsia="Calibri" w:hAnsi="Arial" w:cs="Arial"/>
                <w:sz w:val="24"/>
                <w:szCs w:val="24"/>
                <w:lang w:val="en-ZW"/>
              </w:rPr>
              <w:t>All three uses media to relay its message to the public. Media/tools used may just differ with an organisation and the particular objective at that specific time. For example all three can use Television and radio programs as their channels of communication with the public.</w:t>
            </w:r>
          </w:p>
          <w:p w:rsidR="0060359F" w:rsidRPr="0060359F" w:rsidRDefault="0060359F" w:rsidP="0060359F">
            <w:pPr>
              <w:spacing w:after="160" w:line="360" w:lineRule="auto"/>
              <w:jc w:val="both"/>
              <w:rPr>
                <w:rFonts w:ascii="Arial" w:eastAsia="Calibri" w:hAnsi="Arial" w:cs="Arial"/>
                <w:sz w:val="24"/>
                <w:szCs w:val="24"/>
                <w:lang w:val="en-ZW"/>
              </w:rPr>
            </w:pPr>
            <w:r w:rsidRPr="0060359F">
              <w:rPr>
                <w:rFonts w:ascii="Arial" w:eastAsia="Calibri" w:hAnsi="Arial" w:cs="Arial"/>
                <w:sz w:val="24"/>
                <w:szCs w:val="24"/>
                <w:lang w:val="en-ZW"/>
              </w:rPr>
              <w:t>All three should ensure that the message is created in a manner that is effective enough to produce the desired result. All three utilise the “who”, “what”, “why” and “how” approach. This is through determining:</w:t>
            </w:r>
          </w:p>
          <w:p w:rsidR="0060359F" w:rsidRPr="0060359F" w:rsidRDefault="0060359F" w:rsidP="0060359F">
            <w:pPr>
              <w:numPr>
                <w:ilvl w:val="0"/>
                <w:numId w:val="10"/>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The message it wants to transmit (What).</w:t>
            </w:r>
          </w:p>
          <w:p w:rsidR="0060359F" w:rsidRPr="0060359F" w:rsidRDefault="0060359F" w:rsidP="0060359F">
            <w:pPr>
              <w:numPr>
                <w:ilvl w:val="0"/>
                <w:numId w:val="10"/>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The recipient of the message (Who).</w:t>
            </w:r>
          </w:p>
          <w:p w:rsidR="0060359F" w:rsidRPr="0060359F" w:rsidRDefault="0060359F" w:rsidP="0060359F">
            <w:pPr>
              <w:numPr>
                <w:ilvl w:val="0"/>
                <w:numId w:val="10"/>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How the message should be delivered. (How).</w:t>
            </w:r>
          </w:p>
          <w:p w:rsidR="0060359F" w:rsidRPr="0060359F" w:rsidRDefault="0060359F" w:rsidP="0060359F">
            <w:pPr>
              <w:numPr>
                <w:ilvl w:val="0"/>
                <w:numId w:val="10"/>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The purpose to the message. (Why).</w:t>
            </w:r>
          </w:p>
          <w:p w:rsidR="0060359F" w:rsidRPr="0060359F" w:rsidRDefault="0060359F" w:rsidP="0060359F">
            <w:pPr>
              <w:keepNext/>
              <w:keepLines/>
              <w:spacing w:before="240" w:line="360" w:lineRule="auto"/>
              <w:jc w:val="both"/>
              <w:outlineLvl w:val="0"/>
              <w:rPr>
                <w:rFonts w:ascii="Arial" w:eastAsia="Times New Roman" w:hAnsi="Arial" w:cs="Arial"/>
                <w:color w:val="2E74B5"/>
                <w:sz w:val="24"/>
                <w:szCs w:val="24"/>
                <w:lang w:val="en-ZW"/>
              </w:rPr>
            </w:pPr>
            <w:bookmarkStart w:id="8" w:name="_Toc494378432"/>
            <w:bookmarkStart w:id="9" w:name="_Toc494381141"/>
            <w:r w:rsidRPr="0060359F">
              <w:rPr>
                <w:rFonts w:ascii="Arial" w:eastAsia="Times New Roman" w:hAnsi="Arial" w:cs="Arial"/>
                <w:color w:val="2E74B5"/>
                <w:sz w:val="24"/>
                <w:szCs w:val="24"/>
                <w:lang w:val="en-ZW"/>
              </w:rPr>
              <w:t>Name the two main branches of advertising.</w:t>
            </w:r>
            <w:bookmarkEnd w:id="8"/>
            <w:bookmarkEnd w:id="9"/>
          </w:p>
          <w:p w:rsidR="0060359F" w:rsidRPr="0060359F" w:rsidRDefault="0060359F" w:rsidP="0060359F">
            <w:pPr>
              <w:numPr>
                <w:ilvl w:val="0"/>
                <w:numId w:val="9"/>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Product advertising.</w:t>
            </w:r>
          </w:p>
          <w:p w:rsidR="0060359F" w:rsidRPr="0060359F" w:rsidRDefault="0060359F" w:rsidP="0060359F">
            <w:pPr>
              <w:numPr>
                <w:ilvl w:val="0"/>
                <w:numId w:val="9"/>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Corporate Advertising.</w:t>
            </w:r>
          </w:p>
          <w:p w:rsidR="0060359F" w:rsidRPr="0060359F" w:rsidRDefault="0060359F" w:rsidP="0060359F">
            <w:pPr>
              <w:keepNext/>
              <w:keepLines/>
              <w:numPr>
                <w:ilvl w:val="0"/>
                <w:numId w:val="7"/>
              </w:numPr>
              <w:spacing w:before="240" w:after="160" w:line="360" w:lineRule="auto"/>
              <w:jc w:val="both"/>
              <w:outlineLvl w:val="0"/>
              <w:rPr>
                <w:rFonts w:ascii="Arial" w:eastAsia="Times New Roman" w:hAnsi="Arial" w:cs="Arial"/>
                <w:color w:val="2E74B5"/>
                <w:sz w:val="24"/>
                <w:szCs w:val="24"/>
                <w:lang w:val="en-ZW"/>
              </w:rPr>
            </w:pPr>
            <w:bookmarkStart w:id="10" w:name="_Toc494378433"/>
            <w:bookmarkStart w:id="11" w:name="_Toc494381142"/>
            <w:r w:rsidRPr="0060359F">
              <w:rPr>
                <w:rFonts w:ascii="Arial" w:eastAsia="Times New Roman" w:hAnsi="Arial" w:cs="Arial"/>
                <w:color w:val="2E74B5"/>
                <w:sz w:val="24"/>
                <w:szCs w:val="24"/>
                <w:lang w:val="en-ZW"/>
              </w:rPr>
              <w:t>What are the advantages and limitations of exhibitions as a public relations’ tool?</w:t>
            </w:r>
            <w:bookmarkEnd w:id="10"/>
            <w:bookmarkEnd w:id="11"/>
            <w:r w:rsidRPr="0060359F">
              <w:rPr>
                <w:rFonts w:ascii="Arial" w:eastAsia="Times New Roman" w:hAnsi="Arial" w:cs="Arial"/>
                <w:color w:val="2E74B5"/>
                <w:sz w:val="24"/>
                <w:szCs w:val="24"/>
                <w:lang w:val="en-ZW"/>
              </w:rPr>
              <w:t xml:space="preserve"> </w:t>
            </w:r>
          </w:p>
          <w:p w:rsidR="0060359F" w:rsidRPr="0060359F" w:rsidRDefault="0060359F" w:rsidP="0060359F">
            <w:pPr>
              <w:keepNext/>
              <w:keepLines/>
              <w:spacing w:before="40" w:line="360" w:lineRule="auto"/>
              <w:jc w:val="both"/>
              <w:outlineLvl w:val="1"/>
              <w:rPr>
                <w:rFonts w:ascii="Arial" w:eastAsia="Times New Roman" w:hAnsi="Arial" w:cs="Arial"/>
                <w:color w:val="2E74B5"/>
                <w:sz w:val="24"/>
                <w:szCs w:val="24"/>
                <w:lang w:val="en-ZW"/>
              </w:rPr>
            </w:pPr>
            <w:bookmarkStart w:id="12" w:name="_Toc494378434"/>
            <w:bookmarkStart w:id="13" w:name="_Toc494381143"/>
            <w:r w:rsidRPr="0060359F">
              <w:rPr>
                <w:rFonts w:ascii="Arial" w:eastAsia="Times New Roman" w:hAnsi="Arial" w:cs="Arial"/>
                <w:color w:val="2E74B5"/>
                <w:sz w:val="24"/>
                <w:szCs w:val="24"/>
                <w:lang w:val="en-ZW"/>
              </w:rPr>
              <w:t>Advantages</w:t>
            </w:r>
            <w:bookmarkEnd w:id="12"/>
            <w:bookmarkEnd w:id="13"/>
          </w:p>
          <w:p w:rsidR="0060359F" w:rsidRPr="0060359F" w:rsidRDefault="0060359F" w:rsidP="0060359F">
            <w:pPr>
              <w:numPr>
                <w:ilvl w:val="0"/>
                <w:numId w:val="3"/>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The exhibits or items displayed leave a lasting impression on the minds of the people.</w:t>
            </w:r>
          </w:p>
          <w:p w:rsidR="0060359F" w:rsidRPr="0060359F" w:rsidRDefault="0060359F" w:rsidP="0060359F">
            <w:pPr>
              <w:numPr>
                <w:ilvl w:val="0"/>
                <w:numId w:val="3"/>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lastRenderedPageBreak/>
              <w:t>Exhibitions provide scope for generating business.</w:t>
            </w:r>
          </w:p>
          <w:p w:rsidR="0060359F" w:rsidRPr="0060359F" w:rsidRDefault="0060359F" w:rsidP="0060359F">
            <w:pPr>
              <w:numPr>
                <w:ilvl w:val="0"/>
                <w:numId w:val="3"/>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Exhibitions are designed to promote an organisation’s reputation and showcase its products and services to increase patronage and increase its profitability.</w:t>
            </w:r>
          </w:p>
          <w:p w:rsidR="0060359F" w:rsidRPr="0060359F" w:rsidRDefault="0060359F" w:rsidP="0060359F">
            <w:pPr>
              <w:numPr>
                <w:ilvl w:val="0"/>
                <w:numId w:val="3"/>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Exhibitions also provides occasions for competing firms to assess the performances of other competitors.</w:t>
            </w:r>
          </w:p>
          <w:p w:rsidR="0060359F" w:rsidRPr="0060359F" w:rsidRDefault="0060359F" w:rsidP="0060359F">
            <w:pPr>
              <w:numPr>
                <w:ilvl w:val="0"/>
                <w:numId w:val="3"/>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During exhibitions, interest is heightened leading to customers making further inquiries and placing orders for products in a calm environment because the customer is in a relaxed mood.</w:t>
            </w:r>
          </w:p>
          <w:p w:rsidR="0060359F" w:rsidRPr="0060359F" w:rsidRDefault="0060359F" w:rsidP="0060359F">
            <w:pPr>
              <w:numPr>
                <w:ilvl w:val="0"/>
                <w:numId w:val="3"/>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Exhibitions are great platforms to show new products to a large population.</w:t>
            </w:r>
          </w:p>
          <w:p w:rsidR="0060359F" w:rsidRPr="0060359F" w:rsidRDefault="0060359F" w:rsidP="0060359F">
            <w:pPr>
              <w:keepNext/>
              <w:keepLines/>
              <w:spacing w:before="40" w:line="360" w:lineRule="auto"/>
              <w:jc w:val="both"/>
              <w:outlineLvl w:val="1"/>
              <w:rPr>
                <w:rFonts w:ascii="Arial" w:eastAsia="Times New Roman" w:hAnsi="Arial" w:cs="Arial"/>
                <w:color w:val="2E74B5"/>
                <w:sz w:val="24"/>
                <w:szCs w:val="24"/>
                <w:lang w:val="en-ZW"/>
              </w:rPr>
            </w:pPr>
            <w:bookmarkStart w:id="14" w:name="_Toc494378435"/>
            <w:bookmarkStart w:id="15" w:name="_Toc494381144"/>
            <w:r w:rsidRPr="0060359F">
              <w:rPr>
                <w:rFonts w:ascii="Arial" w:eastAsia="Times New Roman" w:hAnsi="Arial" w:cs="Arial"/>
                <w:color w:val="2E74B5"/>
                <w:sz w:val="24"/>
                <w:szCs w:val="24"/>
                <w:lang w:val="en-ZW"/>
              </w:rPr>
              <w:t>Disadvantages</w:t>
            </w:r>
            <w:bookmarkEnd w:id="14"/>
            <w:bookmarkEnd w:id="15"/>
          </w:p>
          <w:p w:rsidR="0060359F" w:rsidRPr="0060359F" w:rsidRDefault="0060359F" w:rsidP="0060359F">
            <w:pPr>
              <w:numPr>
                <w:ilvl w:val="0"/>
                <w:numId w:val="6"/>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Exhibitions are expensive media to engage due to the high costs involved in procuring facilities and the associated logistical and hospitality aspects.</w:t>
            </w:r>
          </w:p>
          <w:p w:rsidR="0060359F" w:rsidRPr="0060359F" w:rsidRDefault="0060359F" w:rsidP="0060359F">
            <w:pPr>
              <w:numPr>
                <w:ilvl w:val="0"/>
                <w:numId w:val="6"/>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Requires a lot of planning.</w:t>
            </w:r>
          </w:p>
          <w:p w:rsidR="0060359F" w:rsidRPr="0060359F" w:rsidRDefault="0060359F" w:rsidP="0060359F">
            <w:pPr>
              <w:numPr>
                <w:ilvl w:val="0"/>
                <w:numId w:val="6"/>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Can sometimes receive negative reaction.</w:t>
            </w:r>
          </w:p>
          <w:p w:rsidR="0060359F" w:rsidRPr="0060359F" w:rsidRDefault="0060359F" w:rsidP="0060359F">
            <w:pPr>
              <w:numPr>
                <w:ilvl w:val="0"/>
                <w:numId w:val="6"/>
              </w:numPr>
              <w:spacing w:after="200" w:line="360" w:lineRule="auto"/>
              <w:contextualSpacing/>
              <w:jc w:val="both"/>
              <w:rPr>
                <w:rFonts w:ascii="Arial" w:eastAsia="Calibri" w:hAnsi="Arial" w:cs="Arial"/>
                <w:sz w:val="24"/>
                <w:szCs w:val="24"/>
                <w:lang w:val="en-ZW"/>
              </w:rPr>
            </w:pPr>
            <w:r w:rsidRPr="0060359F">
              <w:rPr>
                <w:rFonts w:ascii="Arial" w:eastAsia="Calibri" w:hAnsi="Arial" w:cs="Arial"/>
                <w:sz w:val="24"/>
                <w:szCs w:val="24"/>
                <w:lang w:val="en-ZW"/>
              </w:rPr>
              <w:t>It can be viewed by few serious customers only. Some people may only visit as a tourist attraction and may not be main audience for the organisation again.</w:t>
            </w:r>
          </w:p>
          <w:p w:rsidR="0060359F" w:rsidRPr="0060359F" w:rsidRDefault="0060359F" w:rsidP="0060359F">
            <w:pPr>
              <w:keepNext/>
              <w:keepLines/>
              <w:spacing w:before="240" w:line="360" w:lineRule="auto"/>
              <w:outlineLvl w:val="0"/>
              <w:rPr>
                <w:rFonts w:ascii="Arial" w:eastAsia="Times New Roman" w:hAnsi="Arial" w:cs="Arial"/>
                <w:color w:val="2E74B5"/>
                <w:sz w:val="24"/>
                <w:szCs w:val="24"/>
                <w:lang w:val="en-ZW"/>
              </w:rPr>
            </w:pPr>
            <w:bookmarkStart w:id="16" w:name="_Toc494381145"/>
            <w:r w:rsidRPr="0060359F">
              <w:rPr>
                <w:rFonts w:ascii="Arial" w:eastAsia="Times New Roman" w:hAnsi="Arial" w:cs="Arial"/>
                <w:color w:val="2E74B5"/>
                <w:sz w:val="24"/>
                <w:szCs w:val="24"/>
                <w:lang w:val="en-ZW"/>
              </w:rPr>
              <w:t>References</w:t>
            </w:r>
            <w:bookmarkEnd w:id="16"/>
          </w:p>
          <w:p w:rsidR="0060359F" w:rsidRPr="0060359F" w:rsidRDefault="0060359F" w:rsidP="0060359F">
            <w:pPr>
              <w:spacing w:after="160" w:line="360" w:lineRule="auto"/>
              <w:jc w:val="both"/>
              <w:rPr>
                <w:rFonts w:ascii="Arial" w:eastAsia="Calibri" w:hAnsi="Arial" w:cs="Arial"/>
                <w:sz w:val="24"/>
                <w:szCs w:val="24"/>
                <w:lang w:val="en-ZW"/>
              </w:rPr>
            </w:pPr>
            <w:r w:rsidRPr="0060359F">
              <w:rPr>
                <w:rFonts w:ascii="Arial" w:eastAsia="Calibri" w:hAnsi="Arial" w:cs="Arial"/>
                <w:sz w:val="24"/>
                <w:szCs w:val="24"/>
                <w:lang w:val="en-ZW"/>
              </w:rPr>
              <w:t xml:space="preserve">Brentwood Open Learning College, </w:t>
            </w:r>
            <w:r w:rsidRPr="0060359F">
              <w:rPr>
                <w:rFonts w:ascii="Arial" w:eastAsia="Calibri" w:hAnsi="Arial" w:cs="Arial"/>
                <w:i/>
                <w:sz w:val="24"/>
                <w:szCs w:val="24"/>
                <w:lang w:val="en-ZW"/>
              </w:rPr>
              <w:t>Public Relations (Short course).</w:t>
            </w:r>
            <w:r w:rsidRPr="0060359F">
              <w:rPr>
                <w:rFonts w:ascii="Arial" w:eastAsia="Calibri" w:hAnsi="Arial" w:cs="Arial"/>
                <w:sz w:val="24"/>
                <w:szCs w:val="24"/>
                <w:lang w:val="en-ZW"/>
              </w:rPr>
              <w:t>Study materials.</w:t>
            </w:r>
          </w:p>
          <w:p w:rsidR="0060359F" w:rsidRPr="0060359F" w:rsidRDefault="0060359F" w:rsidP="0060359F">
            <w:pPr>
              <w:spacing w:after="160" w:line="360" w:lineRule="auto"/>
              <w:jc w:val="both"/>
              <w:rPr>
                <w:rFonts w:ascii="Arial" w:eastAsia="Calibri" w:hAnsi="Arial" w:cs="Arial"/>
                <w:sz w:val="24"/>
                <w:szCs w:val="24"/>
                <w:lang w:val="en-ZW"/>
              </w:rPr>
            </w:pPr>
            <w:r w:rsidRPr="0060359F">
              <w:rPr>
                <w:rFonts w:ascii="Arial" w:eastAsia="Calibri" w:hAnsi="Arial" w:cs="Arial"/>
                <w:sz w:val="24"/>
                <w:szCs w:val="24"/>
                <w:lang w:val="en-ZW"/>
              </w:rPr>
              <w:t xml:space="preserve">Harlow, F Rex. (1976), ‘Building a Public Relations Definition’, </w:t>
            </w:r>
            <w:r w:rsidRPr="0060359F">
              <w:rPr>
                <w:rFonts w:ascii="Arial" w:eastAsia="Calibri" w:hAnsi="Arial" w:cs="Arial"/>
                <w:i/>
                <w:sz w:val="24"/>
                <w:szCs w:val="24"/>
                <w:lang w:val="en-ZW"/>
              </w:rPr>
              <w:t>Public Relations Review</w:t>
            </w:r>
            <w:r w:rsidRPr="0060359F">
              <w:rPr>
                <w:rFonts w:ascii="Arial" w:eastAsia="Calibri" w:hAnsi="Arial" w:cs="Arial"/>
                <w:sz w:val="24"/>
                <w:szCs w:val="24"/>
                <w:lang w:val="en-ZW"/>
              </w:rPr>
              <w:t>, USA (winter 1976 issue).</w:t>
            </w:r>
          </w:p>
          <w:p w:rsidR="00CC2FB3" w:rsidRPr="0060359F" w:rsidRDefault="0060359F" w:rsidP="0060359F">
            <w:pPr>
              <w:spacing w:after="160" w:line="360" w:lineRule="auto"/>
              <w:jc w:val="both"/>
              <w:rPr>
                <w:rFonts w:ascii="Arial" w:eastAsia="Calibri" w:hAnsi="Arial" w:cs="Arial"/>
                <w:sz w:val="24"/>
                <w:szCs w:val="24"/>
                <w:lang w:val="en-ZW"/>
              </w:rPr>
            </w:pPr>
            <w:r w:rsidRPr="0060359F">
              <w:rPr>
                <w:rFonts w:ascii="Arial" w:eastAsia="Calibri" w:hAnsi="Arial" w:cs="Arial"/>
                <w:sz w:val="24"/>
                <w:szCs w:val="24"/>
                <w:lang w:val="en-ZW"/>
              </w:rPr>
              <w:t xml:space="preserve">Simon, R. 1986. </w:t>
            </w:r>
            <w:r w:rsidRPr="0060359F">
              <w:rPr>
                <w:rFonts w:ascii="Arial" w:eastAsia="Calibri" w:hAnsi="Arial" w:cs="Arial"/>
                <w:i/>
                <w:sz w:val="24"/>
                <w:szCs w:val="24"/>
                <w:lang w:val="en-ZW"/>
              </w:rPr>
              <w:t>Public Relations: Concepts and Practices</w:t>
            </w:r>
            <w:r w:rsidRPr="0060359F">
              <w:rPr>
                <w:rFonts w:ascii="Arial" w:eastAsia="Calibri" w:hAnsi="Arial" w:cs="Arial"/>
                <w:sz w:val="24"/>
                <w:szCs w:val="24"/>
                <w:lang w:val="en-ZW"/>
              </w:rPr>
              <w:t>. Macmillan</w:t>
            </w:r>
            <w:r>
              <w:rPr>
                <w:rFonts w:ascii="Arial" w:eastAsia="Calibri" w:hAnsi="Arial" w:cs="Arial"/>
                <w:sz w:val="24"/>
                <w:szCs w:val="24"/>
                <w:lang w:val="en-ZW"/>
              </w:rPr>
              <w:t xml:space="preserve"> Books</w:t>
            </w:r>
          </w:p>
          <w:p w:rsidR="00CC2FB3" w:rsidRDefault="00CC2FB3" w:rsidP="00A851DA">
            <w:pPr>
              <w:rPr>
                <w:b/>
              </w:rPr>
            </w:pPr>
          </w:p>
          <w:p w:rsidR="0060359F" w:rsidRDefault="0060359F" w:rsidP="00A851DA">
            <w:pPr>
              <w:rPr>
                <w:b/>
              </w:rPr>
            </w:pPr>
          </w:p>
          <w:p w:rsidR="0060359F" w:rsidRDefault="0060359F" w:rsidP="00A851DA">
            <w:pPr>
              <w:rPr>
                <w:b/>
              </w:rPr>
            </w:pPr>
            <w:bookmarkStart w:id="17" w:name="_GoBack"/>
            <w:bookmarkEnd w:id="17"/>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0359F" w:rsidP="00A851DA">
            <w:pPr>
              <w:rPr>
                <w:rFonts w:cs="Bliss-Regular"/>
                <w:color w:val="000000"/>
              </w:rPr>
            </w:pPr>
            <w:r>
              <w:rPr>
                <w:rFonts w:cs="Bliss-Regular"/>
                <w:color w:val="000000"/>
              </w:rPr>
              <w:t>Tafadzwa Chipoyera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635F7" w:rsidP="00A851DA">
            <w:pPr>
              <w:rPr>
                <w:rFonts w:cs="Bliss-Regular"/>
                <w:color w:val="000000"/>
              </w:rPr>
            </w:pPr>
            <w:r>
              <w:rPr>
                <w:rFonts w:cs="Bliss-Regular"/>
                <w:color w:val="000000"/>
              </w:rPr>
              <w:t>28/09/2017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A3B" w:rsidRDefault="00381A3B" w:rsidP="00CB4D0A">
      <w:pPr>
        <w:spacing w:after="0" w:line="240" w:lineRule="auto"/>
      </w:pPr>
      <w:r>
        <w:separator/>
      </w:r>
    </w:p>
  </w:endnote>
  <w:endnote w:type="continuationSeparator" w:id="0">
    <w:p w:rsidR="00381A3B" w:rsidRDefault="00381A3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A3B" w:rsidRDefault="00381A3B" w:rsidP="00CB4D0A">
      <w:pPr>
        <w:spacing w:after="0" w:line="240" w:lineRule="auto"/>
      </w:pPr>
      <w:r>
        <w:separator/>
      </w:r>
    </w:p>
  </w:footnote>
  <w:footnote w:type="continuationSeparator" w:id="0">
    <w:p w:rsidR="00381A3B" w:rsidRDefault="00381A3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9306808"/>
      <w:docPartObj>
        <w:docPartGallery w:val="Page Numbers (Top of Page)"/>
        <w:docPartUnique/>
      </w:docPartObj>
    </w:sdtPr>
    <w:sdtEndPr>
      <w:rPr>
        <w:noProof/>
      </w:rPr>
    </w:sdtEndPr>
    <w:sdtContent>
      <w:p w:rsidR="0060359F" w:rsidRDefault="0060359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60359F" w:rsidRDefault="0060359F" w:rsidP="0060359F">
    <w:pPr>
      <w:pStyle w:val="Header"/>
      <w:tabs>
        <w:tab w:val="clear" w:pos="4513"/>
        <w:tab w:val="clear" w:pos="9026"/>
        <w:tab w:val="left" w:pos="3540"/>
      </w:tabs>
    </w:pPr>
    <w:r>
      <w:t xml:space="preserve">                                             Tafadzwa Chipoyera, Public Relations (Short Course), Assignment Number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14BD6"/>
    <w:multiLevelType w:val="hybridMultilevel"/>
    <w:tmpl w:val="28F6C446"/>
    <w:lvl w:ilvl="0" w:tplc="1F600786">
      <w:start w:val="1"/>
      <w:numFmt w:val="lowerLetter"/>
      <w:lvlText w:val="3.%1"/>
      <w:lvlJc w:val="left"/>
      <w:pPr>
        <w:ind w:left="360" w:hanging="360"/>
      </w:pPr>
      <w:rPr>
        <w:rFonts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1" w15:restartNumberingAfterBreak="0">
    <w:nsid w:val="0F8B6E3E"/>
    <w:multiLevelType w:val="hybridMultilevel"/>
    <w:tmpl w:val="2B9691D6"/>
    <w:lvl w:ilvl="0" w:tplc="ED00DC42">
      <w:numFmt w:val="bullet"/>
      <w:lvlText w:val="•"/>
      <w:lvlJc w:val="left"/>
      <w:pPr>
        <w:ind w:left="720" w:hanging="360"/>
      </w:pPr>
      <w:rPr>
        <w:rFonts w:ascii="Calibri" w:eastAsiaTheme="minorHAnsi" w:hAnsi="Calibri" w:cstheme="minorBid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15:restartNumberingAfterBreak="0">
    <w:nsid w:val="390D69B0"/>
    <w:multiLevelType w:val="hybridMultilevel"/>
    <w:tmpl w:val="81A2A83C"/>
    <w:lvl w:ilvl="0" w:tplc="ED00DC42">
      <w:numFmt w:val="bullet"/>
      <w:lvlText w:val="•"/>
      <w:lvlJc w:val="left"/>
      <w:pPr>
        <w:ind w:left="720" w:hanging="360"/>
      </w:pPr>
      <w:rPr>
        <w:rFonts w:ascii="Calibri" w:eastAsiaTheme="minorHAnsi" w:hAnsi="Calibri" w:cstheme="minorBid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 w15:restartNumberingAfterBreak="0">
    <w:nsid w:val="490D2EA8"/>
    <w:multiLevelType w:val="hybridMultilevel"/>
    <w:tmpl w:val="5D96AAD2"/>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 w15:restartNumberingAfterBreak="0">
    <w:nsid w:val="49CE2E52"/>
    <w:multiLevelType w:val="hybridMultilevel"/>
    <w:tmpl w:val="6D0CFFD2"/>
    <w:lvl w:ilvl="0" w:tplc="CDDE5D88">
      <w:start w:val="1"/>
      <w:numFmt w:val="decimal"/>
      <w:lvlText w:val="%1."/>
      <w:lvlJc w:val="left"/>
      <w:pPr>
        <w:ind w:left="36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381FA3"/>
    <w:multiLevelType w:val="hybridMultilevel"/>
    <w:tmpl w:val="E48447FE"/>
    <w:lvl w:ilvl="0" w:tplc="ED00DC42">
      <w:numFmt w:val="bullet"/>
      <w:lvlText w:val="•"/>
      <w:lvlJc w:val="left"/>
      <w:pPr>
        <w:ind w:left="360" w:hanging="360"/>
      </w:pPr>
      <w:rPr>
        <w:rFonts w:ascii="Calibri" w:eastAsiaTheme="minorHAnsi" w:hAnsi="Calibri" w:cstheme="minorBidi" w:hint="default"/>
      </w:rPr>
    </w:lvl>
    <w:lvl w:ilvl="1" w:tplc="30090003" w:tentative="1">
      <w:start w:val="1"/>
      <w:numFmt w:val="bullet"/>
      <w:lvlText w:val="o"/>
      <w:lvlJc w:val="left"/>
      <w:pPr>
        <w:ind w:left="1080" w:hanging="360"/>
      </w:pPr>
      <w:rPr>
        <w:rFonts w:ascii="Courier New" w:hAnsi="Courier New" w:cs="Courier New" w:hint="default"/>
      </w:rPr>
    </w:lvl>
    <w:lvl w:ilvl="2" w:tplc="30090005" w:tentative="1">
      <w:start w:val="1"/>
      <w:numFmt w:val="bullet"/>
      <w:lvlText w:val=""/>
      <w:lvlJc w:val="left"/>
      <w:pPr>
        <w:ind w:left="1800" w:hanging="360"/>
      </w:pPr>
      <w:rPr>
        <w:rFonts w:ascii="Wingdings" w:hAnsi="Wingdings" w:hint="default"/>
      </w:rPr>
    </w:lvl>
    <w:lvl w:ilvl="3" w:tplc="30090001" w:tentative="1">
      <w:start w:val="1"/>
      <w:numFmt w:val="bullet"/>
      <w:lvlText w:val=""/>
      <w:lvlJc w:val="left"/>
      <w:pPr>
        <w:ind w:left="2520" w:hanging="360"/>
      </w:pPr>
      <w:rPr>
        <w:rFonts w:ascii="Symbol" w:hAnsi="Symbol" w:hint="default"/>
      </w:rPr>
    </w:lvl>
    <w:lvl w:ilvl="4" w:tplc="30090003" w:tentative="1">
      <w:start w:val="1"/>
      <w:numFmt w:val="bullet"/>
      <w:lvlText w:val="o"/>
      <w:lvlJc w:val="left"/>
      <w:pPr>
        <w:ind w:left="3240" w:hanging="360"/>
      </w:pPr>
      <w:rPr>
        <w:rFonts w:ascii="Courier New" w:hAnsi="Courier New" w:cs="Courier New" w:hint="default"/>
      </w:rPr>
    </w:lvl>
    <w:lvl w:ilvl="5" w:tplc="30090005" w:tentative="1">
      <w:start w:val="1"/>
      <w:numFmt w:val="bullet"/>
      <w:lvlText w:val=""/>
      <w:lvlJc w:val="left"/>
      <w:pPr>
        <w:ind w:left="3960" w:hanging="360"/>
      </w:pPr>
      <w:rPr>
        <w:rFonts w:ascii="Wingdings" w:hAnsi="Wingdings" w:hint="default"/>
      </w:rPr>
    </w:lvl>
    <w:lvl w:ilvl="6" w:tplc="30090001" w:tentative="1">
      <w:start w:val="1"/>
      <w:numFmt w:val="bullet"/>
      <w:lvlText w:val=""/>
      <w:lvlJc w:val="left"/>
      <w:pPr>
        <w:ind w:left="4680" w:hanging="360"/>
      </w:pPr>
      <w:rPr>
        <w:rFonts w:ascii="Symbol" w:hAnsi="Symbol" w:hint="default"/>
      </w:rPr>
    </w:lvl>
    <w:lvl w:ilvl="7" w:tplc="30090003" w:tentative="1">
      <w:start w:val="1"/>
      <w:numFmt w:val="bullet"/>
      <w:lvlText w:val="o"/>
      <w:lvlJc w:val="left"/>
      <w:pPr>
        <w:ind w:left="5400" w:hanging="360"/>
      </w:pPr>
      <w:rPr>
        <w:rFonts w:ascii="Courier New" w:hAnsi="Courier New" w:cs="Courier New" w:hint="default"/>
      </w:rPr>
    </w:lvl>
    <w:lvl w:ilvl="8" w:tplc="30090005" w:tentative="1">
      <w:start w:val="1"/>
      <w:numFmt w:val="bullet"/>
      <w:lvlText w:val=""/>
      <w:lvlJc w:val="left"/>
      <w:pPr>
        <w:ind w:left="6120" w:hanging="360"/>
      </w:pPr>
      <w:rPr>
        <w:rFonts w:ascii="Wingdings" w:hAnsi="Wingdings" w:hint="default"/>
      </w:rPr>
    </w:lvl>
  </w:abstractNum>
  <w:abstractNum w:abstractNumId="7" w15:restartNumberingAfterBreak="0">
    <w:nsid w:val="58266E42"/>
    <w:multiLevelType w:val="hybridMultilevel"/>
    <w:tmpl w:val="3384DC30"/>
    <w:lvl w:ilvl="0" w:tplc="30090001">
      <w:start w:val="1"/>
      <w:numFmt w:val="bullet"/>
      <w:lvlText w:val=""/>
      <w:lvlJc w:val="left"/>
      <w:pPr>
        <w:ind w:left="360" w:hanging="360"/>
      </w:pPr>
      <w:rPr>
        <w:rFonts w:ascii="Symbol" w:hAnsi="Symbol" w:hint="default"/>
      </w:rPr>
    </w:lvl>
    <w:lvl w:ilvl="1" w:tplc="30090003" w:tentative="1">
      <w:start w:val="1"/>
      <w:numFmt w:val="bullet"/>
      <w:lvlText w:val="o"/>
      <w:lvlJc w:val="left"/>
      <w:pPr>
        <w:ind w:left="1080" w:hanging="360"/>
      </w:pPr>
      <w:rPr>
        <w:rFonts w:ascii="Courier New" w:hAnsi="Courier New" w:cs="Courier New" w:hint="default"/>
      </w:rPr>
    </w:lvl>
    <w:lvl w:ilvl="2" w:tplc="30090005" w:tentative="1">
      <w:start w:val="1"/>
      <w:numFmt w:val="bullet"/>
      <w:lvlText w:val=""/>
      <w:lvlJc w:val="left"/>
      <w:pPr>
        <w:ind w:left="1800" w:hanging="360"/>
      </w:pPr>
      <w:rPr>
        <w:rFonts w:ascii="Wingdings" w:hAnsi="Wingdings" w:hint="default"/>
      </w:rPr>
    </w:lvl>
    <w:lvl w:ilvl="3" w:tplc="30090001" w:tentative="1">
      <w:start w:val="1"/>
      <w:numFmt w:val="bullet"/>
      <w:lvlText w:val=""/>
      <w:lvlJc w:val="left"/>
      <w:pPr>
        <w:ind w:left="2520" w:hanging="360"/>
      </w:pPr>
      <w:rPr>
        <w:rFonts w:ascii="Symbol" w:hAnsi="Symbol" w:hint="default"/>
      </w:rPr>
    </w:lvl>
    <w:lvl w:ilvl="4" w:tplc="30090003" w:tentative="1">
      <w:start w:val="1"/>
      <w:numFmt w:val="bullet"/>
      <w:lvlText w:val="o"/>
      <w:lvlJc w:val="left"/>
      <w:pPr>
        <w:ind w:left="3240" w:hanging="360"/>
      </w:pPr>
      <w:rPr>
        <w:rFonts w:ascii="Courier New" w:hAnsi="Courier New" w:cs="Courier New" w:hint="default"/>
      </w:rPr>
    </w:lvl>
    <w:lvl w:ilvl="5" w:tplc="30090005" w:tentative="1">
      <w:start w:val="1"/>
      <w:numFmt w:val="bullet"/>
      <w:lvlText w:val=""/>
      <w:lvlJc w:val="left"/>
      <w:pPr>
        <w:ind w:left="3960" w:hanging="360"/>
      </w:pPr>
      <w:rPr>
        <w:rFonts w:ascii="Wingdings" w:hAnsi="Wingdings" w:hint="default"/>
      </w:rPr>
    </w:lvl>
    <w:lvl w:ilvl="6" w:tplc="30090001" w:tentative="1">
      <w:start w:val="1"/>
      <w:numFmt w:val="bullet"/>
      <w:lvlText w:val=""/>
      <w:lvlJc w:val="left"/>
      <w:pPr>
        <w:ind w:left="4680" w:hanging="360"/>
      </w:pPr>
      <w:rPr>
        <w:rFonts w:ascii="Symbol" w:hAnsi="Symbol" w:hint="default"/>
      </w:rPr>
    </w:lvl>
    <w:lvl w:ilvl="7" w:tplc="30090003" w:tentative="1">
      <w:start w:val="1"/>
      <w:numFmt w:val="bullet"/>
      <w:lvlText w:val="o"/>
      <w:lvlJc w:val="left"/>
      <w:pPr>
        <w:ind w:left="5400" w:hanging="360"/>
      </w:pPr>
      <w:rPr>
        <w:rFonts w:ascii="Courier New" w:hAnsi="Courier New" w:cs="Courier New" w:hint="default"/>
      </w:rPr>
    </w:lvl>
    <w:lvl w:ilvl="8" w:tplc="30090005" w:tentative="1">
      <w:start w:val="1"/>
      <w:numFmt w:val="bullet"/>
      <w:lvlText w:val=""/>
      <w:lvlJc w:val="left"/>
      <w:pPr>
        <w:ind w:left="6120" w:hanging="360"/>
      </w:pPr>
      <w:rPr>
        <w:rFonts w:ascii="Wingdings" w:hAnsi="Wingdings" w:hint="default"/>
      </w:rPr>
    </w:lvl>
  </w:abstractNum>
  <w:abstractNum w:abstractNumId="8" w15:restartNumberingAfterBreak="0">
    <w:nsid w:val="60BE319D"/>
    <w:multiLevelType w:val="hybridMultilevel"/>
    <w:tmpl w:val="E1C60122"/>
    <w:lvl w:ilvl="0" w:tplc="ED00DC42">
      <w:numFmt w:val="bullet"/>
      <w:lvlText w:val="•"/>
      <w:lvlJc w:val="left"/>
      <w:pPr>
        <w:ind w:left="720" w:hanging="360"/>
      </w:pPr>
      <w:rPr>
        <w:rFonts w:ascii="Calibri" w:eastAsiaTheme="minorHAnsi" w:hAnsi="Calibri" w:cstheme="minorBid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9" w15:restartNumberingAfterBreak="0">
    <w:nsid w:val="656B7D24"/>
    <w:multiLevelType w:val="hybridMultilevel"/>
    <w:tmpl w:val="49C2F9D2"/>
    <w:lvl w:ilvl="0" w:tplc="ED00DC42">
      <w:numFmt w:val="bullet"/>
      <w:lvlText w:val="•"/>
      <w:lvlJc w:val="left"/>
      <w:pPr>
        <w:ind w:left="360" w:hanging="360"/>
      </w:pPr>
      <w:rPr>
        <w:rFonts w:ascii="Calibri" w:eastAsiaTheme="minorHAnsi" w:hAnsi="Calibri" w:cstheme="minorBidi" w:hint="default"/>
      </w:rPr>
    </w:lvl>
    <w:lvl w:ilvl="1" w:tplc="30090003" w:tentative="1">
      <w:start w:val="1"/>
      <w:numFmt w:val="bullet"/>
      <w:lvlText w:val="o"/>
      <w:lvlJc w:val="left"/>
      <w:pPr>
        <w:ind w:left="1080" w:hanging="360"/>
      </w:pPr>
      <w:rPr>
        <w:rFonts w:ascii="Courier New" w:hAnsi="Courier New" w:cs="Courier New" w:hint="default"/>
      </w:rPr>
    </w:lvl>
    <w:lvl w:ilvl="2" w:tplc="30090005" w:tentative="1">
      <w:start w:val="1"/>
      <w:numFmt w:val="bullet"/>
      <w:lvlText w:val=""/>
      <w:lvlJc w:val="left"/>
      <w:pPr>
        <w:ind w:left="1800" w:hanging="360"/>
      </w:pPr>
      <w:rPr>
        <w:rFonts w:ascii="Wingdings" w:hAnsi="Wingdings" w:hint="default"/>
      </w:rPr>
    </w:lvl>
    <w:lvl w:ilvl="3" w:tplc="30090001" w:tentative="1">
      <w:start w:val="1"/>
      <w:numFmt w:val="bullet"/>
      <w:lvlText w:val=""/>
      <w:lvlJc w:val="left"/>
      <w:pPr>
        <w:ind w:left="2520" w:hanging="360"/>
      </w:pPr>
      <w:rPr>
        <w:rFonts w:ascii="Symbol" w:hAnsi="Symbol" w:hint="default"/>
      </w:rPr>
    </w:lvl>
    <w:lvl w:ilvl="4" w:tplc="30090003" w:tentative="1">
      <w:start w:val="1"/>
      <w:numFmt w:val="bullet"/>
      <w:lvlText w:val="o"/>
      <w:lvlJc w:val="left"/>
      <w:pPr>
        <w:ind w:left="3240" w:hanging="360"/>
      </w:pPr>
      <w:rPr>
        <w:rFonts w:ascii="Courier New" w:hAnsi="Courier New" w:cs="Courier New" w:hint="default"/>
      </w:rPr>
    </w:lvl>
    <w:lvl w:ilvl="5" w:tplc="30090005" w:tentative="1">
      <w:start w:val="1"/>
      <w:numFmt w:val="bullet"/>
      <w:lvlText w:val=""/>
      <w:lvlJc w:val="left"/>
      <w:pPr>
        <w:ind w:left="3960" w:hanging="360"/>
      </w:pPr>
      <w:rPr>
        <w:rFonts w:ascii="Wingdings" w:hAnsi="Wingdings" w:hint="default"/>
      </w:rPr>
    </w:lvl>
    <w:lvl w:ilvl="6" w:tplc="30090001" w:tentative="1">
      <w:start w:val="1"/>
      <w:numFmt w:val="bullet"/>
      <w:lvlText w:val=""/>
      <w:lvlJc w:val="left"/>
      <w:pPr>
        <w:ind w:left="4680" w:hanging="360"/>
      </w:pPr>
      <w:rPr>
        <w:rFonts w:ascii="Symbol" w:hAnsi="Symbol" w:hint="default"/>
      </w:rPr>
    </w:lvl>
    <w:lvl w:ilvl="7" w:tplc="30090003" w:tentative="1">
      <w:start w:val="1"/>
      <w:numFmt w:val="bullet"/>
      <w:lvlText w:val="o"/>
      <w:lvlJc w:val="left"/>
      <w:pPr>
        <w:ind w:left="5400" w:hanging="360"/>
      </w:pPr>
      <w:rPr>
        <w:rFonts w:ascii="Courier New" w:hAnsi="Courier New" w:cs="Courier New" w:hint="default"/>
      </w:rPr>
    </w:lvl>
    <w:lvl w:ilvl="8" w:tplc="30090005" w:tentative="1">
      <w:start w:val="1"/>
      <w:numFmt w:val="bullet"/>
      <w:lvlText w:val=""/>
      <w:lvlJc w:val="left"/>
      <w:pPr>
        <w:ind w:left="6120" w:hanging="360"/>
      </w:pPr>
      <w:rPr>
        <w:rFonts w:ascii="Wingdings" w:hAnsi="Wingdings" w:hint="default"/>
      </w:rPr>
    </w:lvl>
  </w:abstractNum>
  <w:abstractNum w:abstractNumId="10" w15:restartNumberingAfterBreak="0">
    <w:nsid w:val="67811BC1"/>
    <w:multiLevelType w:val="hybridMultilevel"/>
    <w:tmpl w:val="C4E05C78"/>
    <w:lvl w:ilvl="0" w:tplc="18525F48">
      <w:start w:val="1"/>
      <w:numFmt w:val="lowerLetter"/>
      <w:lvlText w:val="4.%1"/>
      <w:lvlJc w:val="left"/>
      <w:pPr>
        <w:ind w:left="36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7CF33FCC"/>
    <w:multiLevelType w:val="hybridMultilevel"/>
    <w:tmpl w:val="78247BD8"/>
    <w:lvl w:ilvl="0" w:tplc="69C2D12C">
      <w:start w:val="2"/>
      <w:numFmt w:val="lowerLetter"/>
      <w:lvlText w:val="3.%1"/>
      <w:lvlJc w:val="left"/>
      <w:pPr>
        <w:ind w:left="36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5"/>
  </w:num>
  <w:num w:numId="2">
    <w:abstractNumId w:val="3"/>
  </w:num>
  <w:num w:numId="3">
    <w:abstractNumId w:val="7"/>
  </w:num>
  <w:num w:numId="4">
    <w:abstractNumId w:val="8"/>
  </w:num>
  <w:num w:numId="5">
    <w:abstractNumId w:val="9"/>
  </w:num>
  <w:num w:numId="6">
    <w:abstractNumId w:val="1"/>
  </w:num>
  <w:num w:numId="7">
    <w:abstractNumId w:val="4"/>
  </w:num>
  <w:num w:numId="8">
    <w:abstractNumId w:val="11"/>
  </w:num>
  <w:num w:numId="9">
    <w:abstractNumId w:val="6"/>
  </w:num>
  <w:num w:numId="10">
    <w:abstractNumId w:val="2"/>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1A3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359F"/>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09C1"/>
    <w:rsid w:val="00CF123B"/>
    <w:rsid w:val="00D039AC"/>
    <w:rsid w:val="00D427DE"/>
    <w:rsid w:val="00D5587D"/>
    <w:rsid w:val="00D707CC"/>
    <w:rsid w:val="00D821FE"/>
    <w:rsid w:val="00DB0793"/>
    <w:rsid w:val="00E00821"/>
    <w:rsid w:val="00E04DB4"/>
    <w:rsid w:val="00E30679"/>
    <w:rsid w:val="00E4597D"/>
    <w:rsid w:val="00E54832"/>
    <w:rsid w:val="00E56A90"/>
    <w:rsid w:val="00E635F7"/>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F091FE-AA34-4A7C-BEA3-459A66F34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48127-E701-4124-9641-F098667EF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933</Words>
  <Characters>5321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Tafadzwa Chipoyera</cp:lastModifiedBy>
  <cp:revision>1</cp:revision>
  <dcterms:created xsi:type="dcterms:W3CDTF">2015-01-26T12:24:00Z</dcterms:created>
  <dcterms:modified xsi:type="dcterms:W3CDTF">2017-09-28T15:03:00Z</dcterms:modified>
</cp:coreProperties>
</file>