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30C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49FC">
            <w:pPr>
              <w:pStyle w:val="Default"/>
              <w:rPr>
                <w:rFonts w:asciiTheme="minorHAnsi" w:hAnsiTheme="minorHAnsi"/>
              </w:rPr>
            </w:pPr>
            <w:r>
              <w:rPr>
                <w:rFonts w:asciiTheme="minorHAnsi" w:hAnsiTheme="minorHAnsi"/>
              </w:rPr>
              <w:t>Adam Flacks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349FC">
            <w:pPr>
              <w:pStyle w:val="Default"/>
              <w:rPr>
                <w:rFonts w:asciiTheme="minorHAnsi" w:hAnsiTheme="minorHAnsi"/>
              </w:rPr>
            </w:pPr>
            <w:r>
              <w:rPr>
                <w:rFonts w:asciiTheme="minorHAnsi" w:hAnsiTheme="minorHAnsi"/>
              </w:rPr>
              <w:t>10038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49F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49FC">
            <w:r>
              <w:t>Assessment #1 – Introduction to Forensic Accounting</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375AB0" w:rsidRDefault="00375AB0" w:rsidP="00375AB0">
            <w:pPr>
              <w:spacing w:line="360" w:lineRule="auto"/>
              <w:jc w:val="both"/>
              <w:rPr>
                <w:rFonts w:ascii="Arial" w:hAnsi="Arial" w:cs="Arial"/>
                <w:b/>
                <w:u w:val="single"/>
              </w:rPr>
            </w:pPr>
            <w:r w:rsidRPr="006E5D8F">
              <w:rPr>
                <w:rFonts w:ascii="Arial" w:hAnsi="Arial" w:cs="Arial"/>
                <w:b/>
                <w:u w:val="single"/>
              </w:rPr>
              <w:t>Question 1</w:t>
            </w:r>
          </w:p>
          <w:p w:rsidR="00375AB0" w:rsidRPr="006E5D8F" w:rsidRDefault="00375AB0" w:rsidP="00375AB0">
            <w:pPr>
              <w:spacing w:line="360" w:lineRule="auto"/>
              <w:jc w:val="both"/>
              <w:rPr>
                <w:rFonts w:ascii="Arial" w:hAnsi="Arial" w:cs="Arial"/>
                <w:b/>
                <w:u w:val="single"/>
              </w:rPr>
            </w:pPr>
          </w:p>
          <w:p w:rsidR="00375AB0" w:rsidRPr="00375AB0" w:rsidRDefault="00375AB0" w:rsidP="00375AB0">
            <w:pPr>
              <w:pStyle w:val="ListParagraph"/>
              <w:numPr>
                <w:ilvl w:val="0"/>
                <w:numId w:val="8"/>
              </w:numPr>
              <w:spacing w:line="360" w:lineRule="auto"/>
              <w:jc w:val="both"/>
              <w:rPr>
                <w:rFonts w:ascii="Arial" w:hAnsi="Arial" w:cs="Arial"/>
                <w:b/>
              </w:rPr>
            </w:pPr>
            <w:r w:rsidRPr="00375AB0">
              <w:rPr>
                <w:rFonts w:ascii="Arial" w:hAnsi="Arial" w:cs="Arial"/>
                <w:b/>
              </w:rPr>
              <w:t>What is fraud?</w:t>
            </w:r>
          </w:p>
          <w:p w:rsidR="00375AB0" w:rsidRPr="00375AB0" w:rsidRDefault="00375AB0" w:rsidP="00375AB0">
            <w:pPr>
              <w:pStyle w:val="ListParagraph"/>
              <w:spacing w:line="360" w:lineRule="auto"/>
              <w:ind w:left="1080"/>
              <w:jc w:val="both"/>
              <w:rPr>
                <w:rFonts w:ascii="Arial" w:hAnsi="Arial" w:cs="Arial"/>
                <w:b/>
              </w:rPr>
            </w:pPr>
          </w:p>
          <w:p w:rsidR="00375AB0" w:rsidRDefault="00375AB0" w:rsidP="00375AB0">
            <w:pPr>
              <w:spacing w:line="360" w:lineRule="auto"/>
              <w:jc w:val="both"/>
              <w:rPr>
                <w:rFonts w:ascii="Arial" w:hAnsi="Arial" w:cs="Arial"/>
                <w:i/>
              </w:rPr>
            </w:pPr>
            <w:r>
              <w:rPr>
                <w:rFonts w:ascii="Arial" w:hAnsi="Arial" w:cs="Arial"/>
              </w:rPr>
              <w:t>There are a number of ways of defining fraud. For example, t</w:t>
            </w:r>
            <w:r w:rsidRPr="00D30DB1">
              <w:rPr>
                <w:rFonts w:ascii="Arial" w:hAnsi="Arial" w:cs="Arial"/>
              </w:rPr>
              <w:t>he Associati</w:t>
            </w:r>
            <w:r>
              <w:rPr>
                <w:rFonts w:ascii="Arial" w:hAnsi="Arial" w:cs="Arial"/>
              </w:rPr>
              <w:t xml:space="preserve">on of Certified Fraud Examiners </w:t>
            </w:r>
            <w:r>
              <w:rPr>
                <w:rFonts w:ascii="Arial" w:hAnsi="Arial" w:cs="Arial"/>
                <w:b/>
              </w:rPr>
              <w:t xml:space="preserve">(“ACFE”) </w:t>
            </w:r>
            <w:r w:rsidRPr="00D30DB1">
              <w:rPr>
                <w:rFonts w:ascii="Arial" w:hAnsi="Arial" w:cs="Arial"/>
              </w:rPr>
              <w:t xml:space="preserve">defines </w:t>
            </w:r>
            <w:r w:rsidRPr="00CB552A">
              <w:rPr>
                <w:rFonts w:ascii="Arial" w:hAnsi="Arial" w:cs="Arial"/>
                <w:u w:val="single"/>
              </w:rPr>
              <w:t>occupational</w:t>
            </w:r>
            <w:r w:rsidRPr="00CB552A">
              <w:rPr>
                <w:rFonts w:ascii="Arial" w:hAnsi="Arial" w:cs="Arial"/>
              </w:rPr>
              <w:t xml:space="preserve"> fraud</w:t>
            </w:r>
            <w:r w:rsidRPr="00D30DB1">
              <w:rPr>
                <w:rFonts w:ascii="Arial" w:hAnsi="Arial" w:cs="Arial"/>
                <w:i/>
              </w:rPr>
              <w:t xml:space="preserve"> </w:t>
            </w:r>
            <w:r w:rsidRPr="00D30DB1">
              <w:rPr>
                <w:rFonts w:ascii="Arial" w:hAnsi="Arial" w:cs="Arial"/>
              </w:rPr>
              <w:t xml:space="preserve">as </w:t>
            </w:r>
            <w:r w:rsidRPr="00D30DB1">
              <w:rPr>
                <w:rFonts w:ascii="Arial" w:hAnsi="Arial" w:cs="Arial"/>
                <w:i/>
              </w:rPr>
              <w:t xml:space="preserve">“the use of one’s occupation for personal enrichment through the deliberate misuse or misapplication of the employing </w:t>
            </w:r>
            <w:proofErr w:type="spellStart"/>
            <w:r w:rsidRPr="00D30DB1">
              <w:rPr>
                <w:rFonts w:ascii="Arial" w:hAnsi="Arial" w:cs="Arial"/>
                <w:i/>
              </w:rPr>
              <w:t>organisation’s</w:t>
            </w:r>
            <w:proofErr w:type="spellEnd"/>
            <w:r w:rsidRPr="00D30DB1">
              <w:rPr>
                <w:rFonts w:ascii="Arial" w:hAnsi="Arial" w:cs="Arial"/>
                <w:i/>
              </w:rPr>
              <w:t xml:space="preserve"> resources or assets”. </w:t>
            </w:r>
            <w:r>
              <w:rPr>
                <w:rFonts w:ascii="Arial" w:hAnsi="Arial" w:cs="Arial"/>
              </w:rPr>
              <w:t>However the report from which this definition derives makes it clear that occupational fraud</w:t>
            </w:r>
            <w:r w:rsidRPr="008F6A7F">
              <w:rPr>
                <w:rFonts w:ascii="Arial" w:hAnsi="Arial" w:cs="Arial"/>
              </w:rPr>
              <w:t xml:space="preserve"> </w:t>
            </w:r>
            <w:r>
              <w:rPr>
                <w:rFonts w:ascii="Arial" w:hAnsi="Arial" w:cs="Arial"/>
              </w:rPr>
              <w:t xml:space="preserve">is only one form of fraud, albeit a </w:t>
            </w:r>
            <w:r>
              <w:rPr>
                <w:rFonts w:ascii="Arial" w:hAnsi="Arial" w:cs="Arial"/>
                <w:i/>
              </w:rPr>
              <w:t xml:space="preserve">“particularly pervasive form”. </w:t>
            </w:r>
            <w:r>
              <w:rPr>
                <w:rFonts w:ascii="Arial" w:hAnsi="Arial" w:cs="Arial"/>
              </w:rPr>
              <w:t xml:space="preserve">The report </w:t>
            </w:r>
            <w:proofErr w:type="spellStart"/>
            <w:r>
              <w:rPr>
                <w:rFonts w:ascii="Arial" w:hAnsi="Arial" w:cs="Arial"/>
              </w:rPr>
              <w:t>recognises</w:t>
            </w:r>
            <w:proofErr w:type="spellEnd"/>
            <w:r>
              <w:rPr>
                <w:rFonts w:ascii="Arial" w:hAnsi="Arial" w:cs="Arial"/>
              </w:rPr>
              <w:t xml:space="preserve"> that </w:t>
            </w:r>
            <w:r>
              <w:rPr>
                <w:rFonts w:ascii="Arial" w:hAnsi="Arial" w:cs="Arial"/>
                <w:i/>
              </w:rPr>
              <w:t xml:space="preserve">“types of fraud that affect </w:t>
            </w:r>
            <w:proofErr w:type="spellStart"/>
            <w:r>
              <w:rPr>
                <w:rFonts w:ascii="Arial" w:hAnsi="Arial" w:cs="Arial"/>
                <w:i/>
              </w:rPr>
              <w:t>organisations</w:t>
            </w:r>
            <w:proofErr w:type="spellEnd"/>
            <w:r>
              <w:rPr>
                <w:rFonts w:ascii="Arial" w:hAnsi="Arial" w:cs="Arial"/>
                <w:i/>
              </w:rPr>
              <w:t xml:space="preserve"> vary widely.”</w:t>
            </w:r>
            <w:r>
              <w:rPr>
                <w:rStyle w:val="FootnoteReference"/>
                <w:rFonts w:ascii="Arial" w:hAnsi="Arial" w:cs="Arial"/>
                <w:i/>
              </w:rPr>
              <w:footnoteReference w:id="1"/>
            </w:r>
          </w:p>
          <w:p w:rsidR="00375AB0" w:rsidRPr="008F6A7F" w:rsidRDefault="00375AB0" w:rsidP="00375AB0">
            <w:pPr>
              <w:spacing w:line="360" w:lineRule="auto"/>
              <w:jc w:val="both"/>
              <w:rPr>
                <w:rFonts w:ascii="Arial" w:hAnsi="Arial" w:cs="Arial"/>
                <w:i/>
              </w:rPr>
            </w:pPr>
          </w:p>
          <w:p w:rsidR="00375AB0" w:rsidRDefault="00375AB0" w:rsidP="00375AB0">
            <w:pPr>
              <w:spacing w:line="360" w:lineRule="auto"/>
              <w:jc w:val="both"/>
              <w:rPr>
                <w:rFonts w:ascii="Arial" w:hAnsi="Arial" w:cs="Arial"/>
              </w:rPr>
            </w:pPr>
            <w:r w:rsidRPr="00CB552A">
              <w:rPr>
                <w:rFonts w:ascii="Arial" w:hAnsi="Arial" w:cs="Arial"/>
              </w:rPr>
              <w:t>Alternatively, the Chartered Institute of Public Finance and Accoun</w:t>
            </w:r>
            <w:r>
              <w:rPr>
                <w:rFonts w:ascii="Arial" w:hAnsi="Arial" w:cs="Arial"/>
              </w:rPr>
              <w:t>t</w:t>
            </w:r>
            <w:r w:rsidRPr="00CB552A">
              <w:rPr>
                <w:rFonts w:ascii="Arial" w:hAnsi="Arial" w:cs="Arial"/>
              </w:rPr>
              <w:t xml:space="preserve">ancy </w:t>
            </w:r>
            <w:r>
              <w:rPr>
                <w:rFonts w:ascii="Arial" w:hAnsi="Arial" w:cs="Arial"/>
                <w:b/>
              </w:rPr>
              <w:t xml:space="preserve">(“CIPFA”) </w:t>
            </w:r>
            <w:r w:rsidRPr="00CB552A">
              <w:rPr>
                <w:rFonts w:ascii="Arial" w:hAnsi="Arial" w:cs="Arial"/>
              </w:rPr>
              <w:t xml:space="preserve">defines fraud </w:t>
            </w:r>
            <w:r>
              <w:rPr>
                <w:rFonts w:ascii="Arial" w:hAnsi="Arial" w:cs="Arial"/>
              </w:rPr>
              <w:t xml:space="preserve">widely </w:t>
            </w:r>
            <w:r w:rsidRPr="00CB552A">
              <w:rPr>
                <w:rFonts w:ascii="Arial" w:hAnsi="Arial" w:cs="Arial"/>
              </w:rPr>
              <w:t>as</w:t>
            </w:r>
            <w:r>
              <w:t xml:space="preserve"> </w:t>
            </w:r>
            <w:r w:rsidRPr="00CB552A">
              <w:rPr>
                <w:rFonts w:ascii="Arial" w:hAnsi="Arial" w:cs="Arial"/>
                <w:i/>
              </w:rPr>
              <w:t>“Any intentional false representation, including failure to declare information or abuse of position that is carried out to make gain, cause loss or expose another to the risk of loss”</w:t>
            </w:r>
            <w:r>
              <w:rPr>
                <w:rStyle w:val="FootnoteReference"/>
                <w:rFonts w:ascii="Arial" w:hAnsi="Arial" w:cs="Arial"/>
                <w:i/>
              </w:rPr>
              <w:footnoteReference w:id="2"/>
            </w:r>
            <w:r>
              <w:rPr>
                <w:rFonts w:ascii="Arial" w:hAnsi="Arial" w:cs="Arial"/>
                <w:i/>
              </w:rPr>
              <w:t xml:space="preserve"> </w:t>
            </w:r>
            <w:r>
              <w:rPr>
                <w:rFonts w:ascii="Arial" w:hAnsi="Arial" w:cs="Arial"/>
              </w:rPr>
              <w:t xml:space="preserve">Unlike the ACFE, the CIPFA definition is not limited to occupational fraud. Fraud is </w:t>
            </w:r>
            <w:r>
              <w:rPr>
                <w:rFonts w:ascii="Arial" w:hAnsi="Arial" w:cs="Arial"/>
              </w:rPr>
              <w:lastRenderedPageBreak/>
              <w:t xml:space="preserve">a broad term that can be used to describe acts including </w:t>
            </w:r>
            <w:r w:rsidRPr="00CB552A">
              <w:rPr>
                <w:rFonts w:ascii="Arial" w:hAnsi="Arial" w:cs="Arial"/>
              </w:rPr>
              <w:t>bribery, forgery, extortion, corruption, theft, conspiracy, embezzlement, misappropriation, false representation, concealment of material facts and collusion.</w:t>
            </w:r>
            <w:r>
              <w:rPr>
                <w:rStyle w:val="FootnoteReference"/>
                <w:rFonts w:ascii="Arial" w:hAnsi="Arial" w:cs="Arial"/>
              </w:rPr>
              <w:footnoteReference w:id="3"/>
            </w:r>
          </w:p>
          <w:p w:rsidR="00375AB0" w:rsidRPr="00CB552A"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 xml:space="preserve">There are three broad categories of fraud: </w:t>
            </w:r>
          </w:p>
          <w:p w:rsidR="00375AB0" w:rsidRDefault="00375AB0" w:rsidP="00375AB0">
            <w:pPr>
              <w:spacing w:line="360" w:lineRule="auto"/>
              <w:jc w:val="both"/>
              <w:rPr>
                <w:rFonts w:ascii="Arial" w:hAnsi="Arial" w:cs="Arial"/>
              </w:rPr>
            </w:pPr>
          </w:p>
          <w:p w:rsidR="00375AB0" w:rsidRDefault="00375AB0" w:rsidP="00375AB0">
            <w:pPr>
              <w:pStyle w:val="ListParagraph"/>
              <w:numPr>
                <w:ilvl w:val="0"/>
                <w:numId w:val="2"/>
              </w:numPr>
              <w:spacing w:line="360" w:lineRule="auto"/>
              <w:jc w:val="both"/>
              <w:rPr>
                <w:rFonts w:ascii="Arial" w:hAnsi="Arial" w:cs="Arial"/>
              </w:rPr>
            </w:pPr>
            <w:r>
              <w:rPr>
                <w:rFonts w:ascii="Arial" w:hAnsi="Arial" w:cs="Arial"/>
              </w:rPr>
              <w:t>Corruption – this can include bribery, conflict of interest or extortion;</w:t>
            </w:r>
          </w:p>
          <w:p w:rsidR="00375AB0" w:rsidRDefault="00375AB0" w:rsidP="00375AB0">
            <w:pPr>
              <w:pStyle w:val="ListParagraph"/>
              <w:spacing w:line="360" w:lineRule="auto"/>
              <w:ind w:left="1080"/>
              <w:jc w:val="both"/>
              <w:rPr>
                <w:rFonts w:ascii="Arial" w:hAnsi="Arial" w:cs="Arial"/>
              </w:rPr>
            </w:pPr>
          </w:p>
          <w:p w:rsidR="00375AB0" w:rsidRDefault="00375AB0" w:rsidP="00375AB0">
            <w:pPr>
              <w:pStyle w:val="ListParagraph"/>
              <w:numPr>
                <w:ilvl w:val="0"/>
                <w:numId w:val="2"/>
              </w:numPr>
              <w:spacing w:line="360" w:lineRule="auto"/>
              <w:jc w:val="both"/>
              <w:rPr>
                <w:rFonts w:ascii="Arial" w:hAnsi="Arial" w:cs="Arial"/>
              </w:rPr>
            </w:pPr>
            <w:r>
              <w:rPr>
                <w:rFonts w:ascii="Arial" w:hAnsi="Arial" w:cs="Arial"/>
              </w:rPr>
              <w:t xml:space="preserve">Asset misappropriation – this can take various forms including theft, using company funds to make fraudulent payments, theft of a company’s inventory or use of a company’s assets by an employee for personal benefit. Examples include ‘skimming’ i.e. stealing cash before it is recorded in the books, cash register theft, </w:t>
            </w:r>
            <w:proofErr w:type="spellStart"/>
            <w:r>
              <w:rPr>
                <w:rFonts w:ascii="Arial" w:hAnsi="Arial" w:cs="Arial"/>
              </w:rPr>
              <w:t>cheque</w:t>
            </w:r>
            <w:proofErr w:type="spellEnd"/>
            <w:r>
              <w:rPr>
                <w:rFonts w:ascii="Arial" w:hAnsi="Arial" w:cs="Arial"/>
              </w:rPr>
              <w:t xml:space="preserve"> tampering, fake expense reimbursements, billing schemes and other complex schemes. </w:t>
            </w:r>
          </w:p>
          <w:p w:rsidR="00375AB0" w:rsidRDefault="00375AB0" w:rsidP="00375AB0">
            <w:pPr>
              <w:pStyle w:val="ListParagraph"/>
              <w:spacing w:line="360" w:lineRule="auto"/>
              <w:ind w:left="1080"/>
              <w:jc w:val="both"/>
              <w:rPr>
                <w:rFonts w:ascii="Arial" w:hAnsi="Arial" w:cs="Arial"/>
              </w:rPr>
            </w:pPr>
          </w:p>
          <w:p w:rsidR="00375AB0" w:rsidRDefault="00375AB0" w:rsidP="00375AB0">
            <w:pPr>
              <w:pStyle w:val="ListParagraph"/>
              <w:numPr>
                <w:ilvl w:val="0"/>
                <w:numId w:val="2"/>
              </w:numPr>
              <w:spacing w:line="360" w:lineRule="auto"/>
              <w:jc w:val="both"/>
              <w:rPr>
                <w:rFonts w:ascii="Arial" w:hAnsi="Arial" w:cs="Arial"/>
              </w:rPr>
            </w:pPr>
            <w:r>
              <w:rPr>
                <w:rFonts w:ascii="Arial" w:hAnsi="Arial" w:cs="Arial"/>
              </w:rPr>
              <w:t>Financial statement fraud – this is “</w:t>
            </w:r>
            <w:r w:rsidRPr="00D30DB1">
              <w:rPr>
                <w:rFonts w:ascii="Arial" w:hAnsi="Arial" w:cs="Arial"/>
                <w:i/>
              </w:rPr>
              <w:t>fraudulent reporting of finances that results in material misstatements in the company’s financial records”</w:t>
            </w:r>
            <w:r>
              <w:rPr>
                <w:rStyle w:val="FootnoteReference"/>
                <w:rFonts w:ascii="Arial" w:hAnsi="Arial" w:cs="Arial"/>
                <w:i/>
              </w:rPr>
              <w:footnoteReference w:id="4"/>
            </w:r>
            <w:r>
              <w:rPr>
                <w:rFonts w:ascii="Arial" w:hAnsi="Arial" w:cs="Arial"/>
                <w:i/>
              </w:rPr>
              <w:t xml:space="preserve">. </w:t>
            </w:r>
            <w:r>
              <w:rPr>
                <w:rFonts w:ascii="Arial" w:hAnsi="Arial" w:cs="Arial"/>
              </w:rPr>
              <w:t>Price Waterhouse Coopers states that most fraudulent financial reporting schemes involve earnings management, arising from improper revenue recognition and overstatement of assets or understatement of liabilities.</w:t>
            </w:r>
            <w:r>
              <w:rPr>
                <w:rStyle w:val="FootnoteReference"/>
                <w:rFonts w:ascii="Arial" w:hAnsi="Arial" w:cs="Arial"/>
              </w:rPr>
              <w:footnoteReference w:id="5"/>
            </w:r>
            <w:r>
              <w:rPr>
                <w:rFonts w:ascii="Arial" w:hAnsi="Arial" w:cs="Arial"/>
              </w:rPr>
              <w:t xml:space="preserve"> One example of this could be where certain liabilities are recorded on a separate ledger and that ledger is not incorporated into the company’s financial statements. </w:t>
            </w:r>
          </w:p>
          <w:p w:rsidR="00375AB0" w:rsidRPr="00375AB0" w:rsidRDefault="00375AB0" w:rsidP="00375AB0">
            <w:pPr>
              <w:pStyle w:val="ListParagraph"/>
              <w:rPr>
                <w:rFonts w:ascii="Arial" w:hAnsi="Arial" w:cs="Arial"/>
              </w:rPr>
            </w:pPr>
          </w:p>
          <w:p w:rsidR="00375AB0" w:rsidRDefault="00375AB0" w:rsidP="00375AB0">
            <w:pPr>
              <w:spacing w:line="360" w:lineRule="auto"/>
              <w:jc w:val="both"/>
              <w:rPr>
                <w:rFonts w:ascii="Arial" w:hAnsi="Arial" w:cs="Arial"/>
              </w:rPr>
            </w:pPr>
            <w:r>
              <w:rPr>
                <w:rFonts w:ascii="Arial" w:hAnsi="Arial" w:cs="Arial"/>
              </w:rPr>
              <w:t xml:space="preserve">However, there is a possible fourth category whereby an entity commits a fraud against its employees or third parties, or where an entity improperly </w:t>
            </w:r>
            <w:r w:rsidRPr="00156E68">
              <w:rPr>
                <w:rFonts w:ascii="Arial" w:hAnsi="Arial" w:cs="Arial"/>
              </w:rPr>
              <w:t>avoids</w:t>
            </w:r>
            <w:r>
              <w:rPr>
                <w:rFonts w:ascii="Arial" w:hAnsi="Arial" w:cs="Arial"/>
              </w:rPr>
              <w:t xml:space="preserve"> an expense (e.g. tax fraud).</w:t>
            </w:r>
            <w:r>
              <w:rPr>
                <w:rStyle w:val="FootnoteReference"/>
                <w:rFonts w:ascii="Arial" w:hAnsi="Arial" w:cs="Arial"/>
              </w:rPr>
              <w:footnoteReference w:id="6"/>
            </w:r>
            <w:r>
              <w:rPr>
                <w:rFonts w:ascii="Arial" w:hAnsi="Arial" w:cs="Arial"/>
              </w:rPr>
              <w:t xml:space="preserve"> This differs from the categories above as it relates to avoidance (although financial statement fraud can have the intention of understating liabilities in order to avoid tax).</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 xml:space="preserve">Fraud occurs when three component parts of the ‘fraud triangle’ are present: (a) pressure or incentive, (b) opportunity and (c) justification or </w:t>
            </w:r>
            <w:proofErr w:type="spellStart"/>
            <w:r>
              <w:rPr>
                <w:rFonts w:ascii="Arial" w:hAnsi="Arial" w:cs="Arial"/>
              </w:rPr>
              <w:t>rationalisation</w:t>
            </w:r>
            <w:proofErr w:type="spellEnd"/>
            <w:r>
              <w:rPr>
                <w:rFonts w:ascii="Arial" w:hAnsi="Arial" w:cs="Arial"/>
              </w:rPr>
              <w:t>.</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An alternative definition of fraud is found in the Fraud Act 2006</w:t>
            </w:r>
            <w:r>
              <w:rPr>
                <w:rStyle w:val="FootnoteReference"/>
                <w:rFonts w:ascii="Arial" w:hAnsi="Arial" w:cs="Arial"/>
              </w:rPr>
              <w:footnoteReference w:id="7"/>
            </w:r>
            <w:r>
              <w:rPr>
                <w:rFonts w:ascii="Arial" w:hAnsi="Arial" w:cs="Arial"/>
              </w:rPr>
              <w:t>, which sets out three instances whereby a person is guilty of fraud. A person can commit fraud</w:t>
            </w:r>
            <w:r>
              <w:rPr>
                <w:rStyle w:val="FootnoteReference"/>
                <w:rFonts w:ascii="Arial" w:hAnsi="Arial" w:cs="Arial"/>
              </w:rPr>
              <w:footnoteReference w:id="8"/>
            </w:r>
            <w:r>
              <w:rPr>
                <w:rFonts w:ascii="Arial" w:hAnsi="Arial" w:cs="Arial"/>
              </w:rPr>
              <w:t>:</w:t>
            </w:r>
          </w:p>
          <w:p w:rsidR="00375AB0" w:rsidRDefault="00375AB0" w:rsidP="00375AB0">
            <w:pPr>
              <w:pStyle w:val="ListParagraph"/>
              <w:numPr>
                <w:ilvl w:val="0"/>
                <w:numId w:val="3"/>
              </w:numPr>
              <w:spacing w:line="360" w:lineRule="auto"/>
              <w:jc w:val="both"/>
              <w:rPr>
                <w:rFonts w:ascii="Arial" w:hAnsi="Arial" w:cs="Arial"/>
              </w:rPr>
            </w:pPr>
            <w:r>
              <w:rPr>
                <w:rFonts w:ascii="Arial" w:hAnsi="Arial" w:cs="Arial"/>
              </w:rPr>
              <w:lastRenderedPageBreak/>
              <w:t>By false representation</w:t>
            </w:r>
            <w:r>
              <w:rPr>
                <w:rStyle w:val="FootnoteReference"/>
                <w:rFonts w:ascii="Arial" w:hAnsi="Arial" w:cs="Arial"/>
              </w:rPr>
              <w:footnoteReference w:id="9"/>
            </w:r>
            <w:r>
              <w:rPr>
                <w:rFonts w:ascii="Arial" w:hAnsi="Arial" w:cs="Arial"/>
              </w:rPr>
              <w:t xml:space="preserve">. This may take the form of dishonestly making a false representation with the intention of making a gain for </w:t>
            </w:r>
            <w:proofErr w:type="gramStart"/>
            <w:r>
              <w:rPr>
                <w:rFonts w:ascii="Arial" w:hAnsi="Arial" w:cs="Arial"/>
              </w:rPr>
              <w:t>himself</w:t>
            </w:r>
            <w:proofErr w:type="gramEnd"/>
            <w:r>
              <w:rPr>
                <w:rFonts w:ascii="Arial" w:hAnsi="Arial" w:cs="Arial"/>
              </w:rPr>
              <w:t xml:space="preserve"> or another or to cause loss to another or expose another to a risk of loss.</w:t>
            </w:r>
            <w:r>
              <w:rPr>
                <w:rStyle w:val="FootnoteReference"/>
                <w:rFonts w:ascii="Arial" w:hAnsi="Arial" w:cs="Arial"/>
              </w:rPr>
              <w:footnoteReference w:id="10"/>
            </w:r>
            <w:r>
              <w:rPr>
                <w:rFonts w:ascii="Arial" w:hAnsi="Arial" w:cs="Arial"/>
              </w:rPr>
              <w:t xml:space="preserve"> </w:t>
            </w:r>
          </w:p>
          <w:p w:rsidR="00375AB0" w:rsidRDefault="00375AB0" w:rsidP="00375AB0">
            <w:pPr>
              <w:pStyle w:val="ListParagraph"/>
              <w:spacing w:line="360" w:lineRule="auto"/>
              <w:jc w:val="both"/>
              <w:rPr>
                <w:rFonts w:ascii="Arial" w:hAnsi="Arial" w:cs="Arial"/>
              </w:rPr>
            </w:pPr>
          </w:p>
          <w:p w:rsidR="00375AB0" w:rsidRDefault="00375AB0" w:rsidP="00375AB0">
            <w:pPr>
              <w:pStyle w:val="ListParagraph"/>
              <w:numPr>
                <w:ilvl w:val="0"/>
                <w:numId w:val="3"/>
              </w:numPr>
              <w:spacing w:line="360" w:lineRule="auto"/>
              <w:jc w:val="both"/>
              <w:rPr>
                <w:rFonts w:ascii="Arial" w:hAnsi="Arial" w:cs="Arial"/>
              </w:rPr>
            </w:pPr>
            <w:r>
              <w:rPr>
                <w:rFonts w:ascii="Arial" w:hAnsi="Arial" w:cs="Arial"/>
              </w:rPr>
              <w:t>By failing to disclose information</w:t>
            </w:r>
            <w:r>
              <w:rPr>
                <w:rStyle w:val="FootnoteReference"/>
                <w:rFonts w:ascii="Arial" w:hAnsi="Arial" w:cs="Arial"/>
              </w:rPr>
              <w:footnoteReference w:id="11"/>
            </w:r>
            <w:r>
              <w:rPr>
                <w:rFonts w:ascii="Arial" w:hAnsi="Arial" w:cs="Arial"/>
              </w:rPr>
              <w:t xml:space="preserve">. A person commits this category of fraud if someone fails to disclose to </w:t>
            </w:r>
            <w:proofErr w:type="gramStart"/>
            <w:r>
              <w:rPr>
                <w:rFonts w:ascii="Arial" w:hAnsi="Arial" w:cs="Arial"/>
              </w:rPr>
              <w:t>another person</w:t>
            </w:r>
            <w:proofErr w:type="gramEnd"/>
            <w:r>
              <w:rPr>
                <w:rFonts w:ascii="Arial" w:hAnsi="Arial" w:cs="Arial"/>
              </w:rPr>
              <w:t xml:space="preserve"> information which he is under a legal duty to disclose and intents to make a gain for himself or another or to cause loss to another or expose another to a risk of loss.</w:t>
            </w:r>
            <w:r>
              <w:rPr>
                <w:rStyle w:val="FootnoteReference"/>
                <w:rFonts w:ascii="Arial" w:hAnsi="Arial" w:cs="Arial"/>
              </w:rPr>
              <w:footnoteReference w:id="12"/>
            </w:r>
          </w:p>
          <w:p w:rsidR="00375AB0" w:rsidRDefault="00375AB0" w:rsidP="00375AB0">
            <w:pPr>
              <w:pStyle w:val="ListParagraph"/>
              <w:spacing w:line="360" w:lineRule="auto"/>
              <w:jc w:val="both"/>
              <w:rPr>
                <w:rFonts w:ascii="Arial" w:hAnsi="Arial" w:cs="Arial"/>
              </w:rPr>
            </w:pPr>
          </w:p>
          <w:p w:rsidR="00375AB0" w:rsidRDefault="00375AB0" w:rsidP="00375AB0">
            <w:pPr>
              <w:pStyle w:val="ListParagraph"/>
              <w:numPr>
                <w:ilvl w:val="0"/>
                <w:numId w:val="3"/>
              </w:numPr>
              <w:spacing w:line="360" w:lineRule="auto"/>
              <w:jc w:val="both"/>
              <w:rPr>
                <w:rFonts w:ascii="Arial" w:hAnsi="Arial" w:cs="Arial"/>
              </w:rPr>
            </w:pPr>
            <w:r>
              <w:rPr>
                <w:rFonts w:ascii="Arial" w:hAnsi="Arial" w:cs="Arial"/>
              </w:rPr>
              <w:t>By abuse of position.</w:t>
            </w:r>
            <w:r>
              <w:rPr>
                <w:rStyle w:val="FootnoteReference"/>
                <w:rFonts w:ascii="Arial" w:hAnsi="Arial" w:cs="Arial"/>
              </w:rPr>
              <w:footnoteReference w:id="13"/>
            </w:r>
            <w:r>
              <w:rPr>
                <w:rFonts w:ascii="Arial" w:hAnsi="Arial" w:cs="Arial"/>
              </w:rPr>
              <w:t xml:space="preserve"> A person commits this category of fraud if he (a) occupies a position in which he is expected to safeguard, or not to act against, the financial interests of another person; (b) dishonestly abuses that position; and (c) intents to make a gain for himself or another or to cause loss to another or expose another to a risk of loss.</w:t>
            </w:r>
            <w:r>
              <w:rPr>
                <w:rStyle w:val="FootnoteReference"/>
                <w:rFonts w:ascii="Arial" w:hAnsi="Arial" w:cs="Arial"/>
              </w:rPr>
              <w:footnoteReference w:id="14"/>
            </w:r>
            <w:r>
              <w:rPr>
                <w:rFonts w:ascii="Arial" w:hAnsi="Arial" w:cs="Arial"/>
              </w:rPr>
              <w:t xml:space="preserve"> It is possible to abuse one’s position by conduct that consists of an omission as opposed to a positive act.</w:t>
            </w:r>
            <w:r>
              <w:rPr>
                <w:rStyle w:val="FootnoteReference"/>
                <w:rFonts w:ascii="Arial" w:hAnsi="Arial" w:cs="Arial"/>
              </w:rPr>
              <w:footnoteReference w:id="15"/>
            </w:r>
            <w:r>
              <w:rPr>
                <w:rFonts w:ascii="Arial" w:hAnsi="Arial" w:cs="Arial"/>
              </w:rPr>
              <w:t xml:space="preserve"> </w:t>
            </w:r>
          </w:p>
          <w:p w:rsidR="00375AB0" w:rsidRPr="00375AB0" w:rsidRDefault="00375AB0" w:rsidP="00375AB0">
            <w:pPr>
              <w:pStyle w:val="ListParagraph"/>
              <w:rPr>
                <w:rFonts w:ascii="Arial" w:hAnsi="Arial" w:cs="Arial"/>
              </w:rPr>
            </w:pPr>
          </w:p>
          <w:p w:rsidR="00375AB0" w:rsidRDefault="00375AB0" w:rsidP="00375AB0">
            <w:pPr>
              <w:spacing w:line="360" w:lineRule="auto"/>
              <w:jc w:val="both"/>
              <w:rPr>
                <w:rFonts w:ascii="Arial" w:hAnsi="Arial" w:cs="Arial"/>
              </w:rPr>
            </w:pPr>
            <w:r>
              <w:rPr>
                <w:rFonts w:ascii="Arial" w:hAnsi="Arial" w:cs="Arial"/>
              </w:rPr>
              <w:t>Conviction under the provisions of the Fraud Act can lead to a maximum prison sentence of 10 years and/or a fine.</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 xml:space="preserve">Unlike the definition of the ACFE, the act by which someone commits a fraud does not need to be for </w:t>
            </w:r>
            <w:r>
              <w:rPr>
                <w:rFonts w:ascii="Arial" w:hAnsi="Arial" w:cs="Arial"/>
                <w:i/>
              </w:rPr>
              <w:t>“</w:t>
            </w:r>
            <w:r w:rsidRPr="00D30DB1">
              <w:rPr>
                <w:rFonts w:ascii="Arial" w:hAnsi="Arial" w:cs="Arial"/>
                <w:i/>
              </w:rPr>
              <w:t>personal enrichment</w:t>
            </w:r>
            <w:r>
              <w:rPr>
                <w:rFonts w:ascii="Arial" w:hAnsi="Arial" w:cs="Arial"/>
                <w:i/>
              </w:rPr>
              <w:t xml:space="preserve">”; </w:t>
            </w:r>
            <w:r>
              <w:rPr>
                <w:rFonts w:ascii="Arial" w:hAnsi="Arial" w:cs="Arial"/>
              </w:rPr>
              <w:t xml:space="preserve">it can be to enrich another person. </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Of course, there is alternative English legislation (and common law provisions) that can be used to prosecute or bring civil proceedings against someone that commits an act that can be broadly defined as ‘fraud’, for example under the Proceeds of Crime Act 2002 or the Bribery Act 2010.</w:t>
            </w:r>
          </w:p>
          <w:p w:rsidR="00375AB0" w:rsidRPr="00156E68"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There are clearly a number of ways fraud can be defined and a number of subcategories of fraud. However, the common factors amongst all the definitions is that fraud consists of (a) some form of deception; (b) some form of personal gain or third party gain; (c) at the financial expense or intended expense of another.</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CIPFA attempts to put it more simply than this; that “</w:t>
            </w:r>
            <w:r w:rsidRPr="00DF41F3">
              <w:rPr>
                <w:rFonts w:ascii="Arial" w:hAnsi="Arial" w:cs="Arial"/>
                <w:i/>
              </w:rPr>
              <w:t xml:space="preserve">fraud and corruption is an unethical act, by anyone, diminishing the value of the </w:t>
            </w:r>
            <w:proofErr w:type="spellStart"/>
            <w:r w:rsidRPr="00DF41F3">
              <w:rPr>
                <w:rFonts w:ascii="Arial" w:hAnsi="Arial" w:cs="Arial"/>
                <w:i/>
              </w:rPr>
              <w:t>organisation</w:t>
            </w:r>
            <w:proofErr w:type="spellEnd"/>
            <w:r w:rsidRPr="00DF41F3">
              <w:rPr>
                <w:rFonts w:ascii="Arial" w:hAnsi="Arial" w:cs="Arial"/>
                <w:i/>
              </w:rPr>
              <w:t>.”</w:t>
            </w:r>
            <w:r>
              <w:rPr>
                <w:rStyle w:val="FootnoteReference"/>
                <w:rFonts w:ascii="Arial" w:hAnsi="Arial" w:cs="Arial"/>
                <w:i/>
              </w:rPr>
              <w:footnoteReference w:id="16"/>
            </w:r>
          </w:p>
          <w:p w:rsidR="00375AB0" w:rsidRDefault="00375AB0" w:rsidP="00375AB0">
            <w:pPr>
              <w:spacing w:line="360" w:lineRule="auto"/>
              <w:jc w:val="both"/>
              <w:rPr>
                <w:rFonts w:ascii="Arial" w:hAnsi="Arial" w:cs="Arial"/>
                <w:b/>
              </w:rPr>
            </w:pPr>
          </w:p>
          <w:p w:rsidR="00375AB0" w:rsidRPr="00375AB0" w:rsidRDefault="00375AB0" w:rsidP="00375AB0">
            <w:pPr>
              <w:pStyle w:val="ListParagraph"/>
              <w:numPr>
                <w:ilvl w:val="0"/>
                <w:numId w:val="8"/>
              </w:numPr>
              <w:spacing w:line="360" w:lineRule="auto"/>
              <w:jc w:val="both"/>
              <w:rPr>
                <w:rFonts w:ascii="Arial" w:hAnsi="Arial" w:cs="Arial"/>
                <w:b/>
              </w:rPr>
            </w:pPr>
            <w:r w:rsidRPr="00375AB0">
              <w:rPr>
                <w:rFonts w:ascii="Arial" w:hAnsi="Arial" w:cs="Arial"/>
                <w:b/>
              </w:rPr>
              <w:t>What skills are most important to the successful practice of forensic accounting?</w:t>
            </w:r>
          </w:p>
          <w:p w:rsidR="00375AB0" w:rsidRPr="00375AB0" w:rsidRDefault="00375AB0" w:rsidP="00375AB0">
            <w:pPr>
              <w:spacing w:line="360" w:lineRule="auto"/>
              <w:ind w:left="360"/>
              <w:jc w:val="both"/>
              <w:rPr>
                <w:rFonts w:ascii="Arial" w:hAnsi="Arial" w:cs="Arial"/>
                <w:b/>
              </w:rPr>
            </w:pPr>
          </w:p>
          <w:p w:rsidR="00375AB0" w:rsidRDefault="00375AB0" w:rsidP="00375AB0">
            <w:pPr>
              <w:spacing w:line="360" w:lineRule="auto"/>
              <w:jc w:val="both"/>
              <w:rPr>
                <w:rFonts w:ascii="Arial" w:hAnsi="Arial" w:cs="Arial"/>
              </w:rPr>
            </w:pPr>
            <w:r>
              <w:rPr>
                <w:rFonts w:ascii="Arial" w:hAnsi="Arial" w:cs="Arial"/>
              </w:rPr>
              <w:t>The core skills to successfully practice forensic accounting include the following:</w:t>
            </w:r>
          </w:p>
          <w:p w:rsidR="00375AB0" w:rsidRDefault="00375AB0" w:rsidP="00375AB0">
            <w:pPr>
              <w:spacing w:line="360" w:lineRule="auto"/>
              <w:jc w:val="both"/>
              <w:rPr>
                <w:rFonts w:ascii="Arial" w:hAnsi="Arial" w:cs="Arial"/>
              </w:rPr>
            </w:pP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Effective oral communication – for example when communicating with clients and other professionals and explaining findings in a way they will understand;</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 xml:space="preserve">Ability to simplify technical or complex information </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 xml:space="preserve">Critical / strategic thinking </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 xml:space="preserve">Ability to identify key issues – </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Auditing skills</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Investigative ability (including knowledge of investigative techniques) – for example does the forensic investigator exhaust all evidence gathering sources / options?</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Effective written communication (including the ability to present findings that are comprehensible to non-accountants)</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Investigative intuitiveness</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Ability to synthesize results of discovery and analysis</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 xml:space="preserve">Ability to think like a wrongdoer </w:t>
            </w:r>
          </w:p>
          <w:p w:rsidR="00375AB0" w:rsidRDefault="00375AB0" w:rsidP="00375AB0">
            <w:pPr>
              <w:pStyle w:val="ListParagraph"/>
              <w:spacing w:line="360" w:lineRule="auto"/>
              <w:jc w:val="both"/>
              <w:rPr>
                <w:rFonts w:ascii="Arial" w:hAnsi="Arial" w:cs="Arial"/>
              </w:rPr>
            </w:pPr>
          </w:p>
          <w:p w:rsidR="00375AB0" w:rsidRDefault="00375AB0" w:rsidP="00375AB0">
            <w:pPr>
              <w:spacing w:line="360" w:lineRule="auto"/>
              <w:jc w:val="both"/>
              <w:rPr>
                <w:rFonts w:ascii="Arial" w:hAnsi="Arial" w:cs="Arial"/>
                <w:sz w:val="24"/>
              </w:rPr>
            </w:pPr>
            <w:r>
              <w:rPr>
                <w:rFonts w:ascii="Arial" w:hAnsi="Arial" w:cs="Arial"/>
              </w:rPr>
              <w:t xml:space="preserve">These are the top five ranked core skills by attorneys, academics or certified public accountants according a report titled </w:t>
            </w:r>
            <w:r>
              <w:rPr>
                <w:rFonts w:ascii="Arial" w:hAnsi="Arial" w:cs="Arial"/>
                <w:i/>
              </w:rPr>
              <w:t>“Characteristics and Skills of the Forensic Accountant”</w:t>
            </w:r>
            <w:r>
              <w:rPr>
                <w:rStyle w:val="FootnoteReference"/>
                <w:rFonts w:ascii="Arial" w:hAnsi="Arial" w:cs="Arial"/>
                <w:i/>
              </w:rPr>
              <w:footnoteReference w:id="17"/>
            </w:r>
            <w:r>
              <w:rPr>
                <w:rFonts w:ascii="Arial" w:hAnsi="Arial" w:cs="Arial"/>
                <w:i/>
              </w:rPr>
              <w:t xml:space="preserve"> </w:t>
            </w:r>
            <w:r>
              <w:rPr>
                <w:rFonts w:ascii="Arial" w:hAnsi="Arial" w:cs="Arial"/>
              </w:rPr>
              <w:t xml:space="preserve">by the </w:t>
            </w:r>
            <w:r w:rsidRPr="0020569F">
              <w:rPr>
                <w:sz w:val="24"/>
              </w:rPr>
              <w:t xml:space="preserve">American Institute of Certified Public Accountants </w:t>
            </w:r>
            <w:r w:rsidRPr="0020569F">
              <w:rPr>
                <w:b/>
                <w:sz w:val="24"/>
              </w:rPr>
              <w:t>(“AICPA”)</w:t>
            </w:r>
            <w:r>
              <w:rPr>
                <w:rFonts w:ascii="Arial" w:hAnsi="Arial" w:cs="Arial"/>
                <w:sz w:val="24"/>
              </w:rPr>
              <w:t>.</w:t>
            </w:r>
            <w:r>
              <w:rPr>
                <w:rStyle w:val="FootnoteReference"/>
                <w:rFonts w:ascii="Arial" w:hAnsi="Arial" w:cs="Arial"/>
                <w:sz w:val="24"/>
              </w:rPr>
              <w:footnoteReference w:id="18"/>
            </w:r>
          </w:p>
          <w:p w:rsidR="00375AB0" w:rsidRPr="00375AB0" w:rsidRDefault="00375AB0" w:rsidP="00375AB0">
            <w:pPr>
              <w:spacing w:line="360" w:lineRule="auto"/>
              <w:jc w:val="both"/>
              <w:rPr>
                <w:rFonts w:ascii="Arial" w:hAnsi="Arial" w:cs="Arial"/>
                <w:sz w:val="24"/>
              </w:rPr>
            </w:pPr>
          </w:p>
          <w:p w:rsidR="00375AB0" w:rsidRDefault="00375AB0" w:rsidP="00375AB0">
            <w:pPr>
              <w:spacing w:line="360" w:lineRule="auto"/>
              <w:jc w:val="both"/>
              <w:rPr>
                <w:rFonts w:ascii="Arial" w:hAnsi="Arial" w:cs="Arial"/>
              </w:rPr>
            </w:pPr>
            <w:r>
              <w:rPr>
                <w:rFonts w:ascii="Arial" w:hAnsi="Arial" w:cs="Arial"/>
              </w:rPr>
              <w:t>Other core skills (to the extent they are not included above) include</w:t>
            </w:r>
          </w:p>
          <w:p w:rsidR="00375AB0" w:rsidRDefault="00375AB0" w:rsidP="00375AB0">
            <w:pPr>
              <w:spacing w:line="360" w:lineRule="auto"/>
              <w:jc w:val="both"/>
              <w:rPr>
                <w:rFonts w:ascii="Arial" w:hAnsi="Arial" w:cs="Arial"/>
              </w:rPr>
            </w:pP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 xml:space="preserve">Technical accounting skills – can the accountant interpret trial balances, general ledgers, financial statements </w:t>
            </w:r>
            <w:proofErr w:type="spellStart"/>
            <w:r>
              <w:rPr>
                <w:rFonts w:ascii="Arial" w:hAnsi="Arial" w:cs="Arial"/>
              </w:rPr>
              <w:t>etc</w:t>
            </w:r>
            <w:proofErr w:type="spellEnd"/>
            <w:r>
              <w:rPr>
                <w:rFonts w:ascii="Arial" w:hAnsi="Arial" w:cs="Arial"/>
              </w:rPr>
              <w:t>?</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Attention to detail</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Auditing / industry experience</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lastRenderedPageBreak/>
              <w:t>Diagnostic skills</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Ability to think conceptually</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Technology skills – Can they use CAAT?</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Legal knowledge – Do they understand the way litigation privilege works? Have they appeared as an expert witness in court on previous occasions?</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Financial / numeracy skills – do they have the ability to interpret financial information and identify financial issues and to separate relevant financial information from irrelevant facts</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 xml:space="preserve">Commercial and business advisory skills. </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Interviewing skills – can they put the witness at ease whilst at the same time extract all the relevant information?</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Ability to identify fraud with minimal initial information i.e. identify the possible fraud scheme, the way it was carried out and the procedures that might prove or disprove the alleged fraud</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Ability to execute evidence gathering techniques including an awareness of the admissibility of the evidence in civil or criminal proceedings</w:t>
            </w:r>
          </w:p>
          <w:p w:rsidR="00375AB0" w:rsidRDefault="00375AB0" w:rsidP="00375AB0">
            <w:pPr>
              <w:pStyle w:val="ListParagraph"/>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Other core skills highlighted by the AICPA report include:</w:t>
            </w:r>
          </w:p>
          <w:p w:rsidR="00375AB0" w:rsidRDefault="00375AB0" w:rsidP="00375AB0">
            <w:pPr>
              <w:spacing w:line="360" w:lineRule="auto"/>
              <w:jc w:val="both"/>
              <w:rPr>
                <w:rFonts w:ascii="Arial" w:hAnsi="Arial" w:cs="Arial"/>
              </w:rPr>
            </w:pP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Understanding the goals of the case</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Ability to tell the story</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Ability to see the big picture</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 xml:space="preserve">Ability to </w:t>
            </w:r>
            <w:proofErr w:type="spellStart"/>
            <w:r>
              <w:rPr>
                <w:rFonts w:ascii="Arial" w:hAnsi="Arial" w:cs="Arial"/>
              </w:rPr>
              <w:t>organise</w:t>
            </w:r>
            <w:proofErr w:type="spellEnd"/>
            <w:r>
              <w:rPr>
                <w:rFonts w:ascii="Arial" w:hAnsi="Arial" w:cs="Arial"/>
              </w:rPr>
              <w:t xml:space="preserve"> an unstructured situation</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Ability to solve unstructured problems</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Research skills</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Ability to solve structured problems.</w:t>
            </w:r>
          </w:p>
          <w:p w:rsidR="00375AB0" w:rsidRDefault="00375AB0" w:rsidP="00375AB0">
            <w:pPr>
              <w:spacing w:line="360" w:lineRule="auto"/>
              <w:jc w:val="both"/>
              <w:rPr>
                <w:rFonts w:ascii="Arial" w:hAnsi="Arial" w:cs="Arial"/>
              </w:rPr>
            </w:pPr>
          </w:p>
          <w:p w:rsidR="00375AB0" w:rsidRPr="00004A32" w:rsidRDefault="00375AB0" w:rsidP="00375AB0">
            <w:pPr>
              <w:spacing w:line="360" w:lineRule="auto"/>
              <w:jc w:val="both"/>
              <w:rPr>
                <w:rFonts w:ascii="Arial" w:hAnsi="Arial" w:cs="Arial"/>
                <w:b/>
              </w:rPr>
            </w:pPr>
            <w:r w:rsidRPr="00004A32">
              <w:rPr>
                <w:rFonts w:ascii="Arial" w:hAnsi="Arial" w:cs="Arial"/>
                <w:b/>
              </w:rPr>
              <w:t>iii. What qualities of body and /or mind should a forensic accountant possess?</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There is some overlap in what people consider to be qualities, traits and characteristics as opposed to skills. However the essential traits and characteristics or qualities a forensic accountant should possess are:</w:t>
            </w:r>
          </w:p>
          <w:p w:rsidR="00375AB0" w:rsidRDefault="00375AB0" w:rsidP="00375AB0">
            <w:pPr>
              <w:spacing w:line="360" w:lineRule="auto"/>
              <w:jc w:val="both"/>
              <w:rPr>
                <w:rFonts w:ascii="Arial" w:hAnsi="Arial" w:cs="Arial"/>
              </w:rPr>
            </w:pP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Analytical</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Detail oriented</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Ethical</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lastRenderedPageBreak/>
              <w:t>Responsive – for example, the forensic accountant needs to respond to fast moving events (for example if there is a risk of destruction of documents).</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Insightful</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Inquisitive – Have they asked all the relevant questions?</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Intuitive</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Persistent – If for example a source refuses to hand over documents, do they persist with alternative options?</w:t>
            </w:r>
          </w:p>
          <w:p w:rsidR="00375AB0" w:rsidRDefault="00375AB0" w:rsidP="00375AB0">
            <w:pPr>
              <w:pStyle w:val="ListParagraph"/>
              <w:numPr>
                <w:ilvl w:val="0"/>
                <w:numId w:val="4"/>
              </w:numPr>
              <w:spacing w:line="360" w:lineRule="auto"/>
              <w:jc w:val="both"/>
              <w:rPr>
                <w:rFonts w:ascii="Arial" w:hAnsi="Arial" w:cs="Arial"/>
              </w:rPr>
            </w:pPr>
            <w:proofErr w:type="spellStart"/>
            <w:r>
              <w:rPr>
                <w:rFonts w:ascii="Arial" w:hAnsi="Arial" w:cs="Arial"/>
              </w:rPr>
              <w:t>Scepticism</w:t>
            </w:r>
            <w:proofErr w:type="spellEnd"/>
          </w:p>
          <w:p w:rsidR="00375AB0" w:rsidRDefault="00375AB0" w:rsidP="00375AB0">
            <w:pPr>
              <w:pStyle w:val="ListParagraph"/>
              <w:spacing w:line="360" w:lineRule="auto"/>
              <w:jc w:val="both"/>
              <w:rPr>
                <w:rFonts w:ascii="Arial" w:hAnsi="Arial" w:cs="Arial"/>
              </w:rPr>
            </w:pPr>
          </w:p>
          <w:p w:rsidR="00375AB0" w:rsidRDefault="00375AB0" w:rsidP="00375AB0">
            <w:pPr>
              <w:spacing w:line="360" w:lineRule="auto"/>
              <w:jc w:val="both"/>
              <w:rPr>
                <w:rFonts w:ascii="Arial" w:hAnsi="Arial" w:cs="Arial"/>
                <w:sz w:val="24"/>
              </w:rPr>
            </w:pPr>
            <w:r w:rsidRPr="0020569F">
              <w:rPr>
                <w:rFonts w:ascii="Arial" w:hAnsi="Arial" w:cs="Arial"/>
              </w:rPr>
              <w:t xml:space="preserve">These are the top five ranked core skills by attorneys, academics or certified public accountants according a report titled </w:t>
            </w:r>
            <w:r w:rsidRPr="0020569F">
              <w:rPr>
                <w:rFonts w:ascii="Arial" w:hAnsi="Arial" w:cs="Arial"/>
                <w:i/>
              </w:rPr>
              <w:t>“Characteristics and Skills of the Forensic Accountant”</w:t>
            </w:r>
            <w:r>
              <w:rPr>
                <w:rStyle w:val="FootnoteReference"/>
                <w:rFonts w:ascii="Arial" w:hAnsi="Arial" w:cs="Arial"/>
                <w:i/>
              </w:rPr>
              <w:footnoteReference w:id="19"/>
            </w:r>
            <w:r w:rsidRPr="0020569F">
              <w:rPr>
                <w:rFonts w:ascii="Arial" w:hAnsi="Arial" w:cs="Arial"/>
                <w:i/>
              </w:rPr>
              <w:t xml:space="preserve"> </w:t>
            </w:r>
            <w:r w:rsidRPr="0020569F">
              <w:rPr>
                <w:rFonts w:ascii="Arial" w:hAnsi="Arial" w:cs="Arial"/>
              </w:rPr>
              <w:t xml:space="preserve">by the </w:t>
            </w:r>
            <w:r w:rsidRPr="0020569F">
              <w:rPr>
                <w:sz w:val="24"/>
              </w:rPr>
              <w:t xml:space="preserve">American Institute of Certified Public Accountants </w:t>
            </w:r>
            <w:r w:rsidRPr="0020569F">
              <w:rPr>
                <w:b/>
                <w:sz w:val="24"/>
              </w:rPr>
              <w:t>(“AICPA”)</w:t>
            </w:r>
            <w:r w:rsidRPr="0020569F">
              <w:rPr>
                <w:rFonts w:ascii="Arial" w:hAnsi="Arial" w:cs="Arial"/>
                <w:sz w:val="24"/>
              </w:rPr>
              <w:t xml:space="preserve">. </w:t>
            </w:r>
          </w:p>
          <w:p w:rsidR="00375AB0" w:rsidRDefault="00375AB0" w:rsidP="00375AB0">
            <w:pPr>
              <w:spacing w:line="360" w:lineRule="auto"/>
              <w:jc w:val="both"/>
              <w:rPr>
                <w:rFonts w:ascii="Arial" w:hAnsi="Arial" w:cs="Arial"/>
                <w:sz w:val="24"/>
              </w:rPr>
            </w:pPr>
          </w:p>
          <w:p w:rsidR="00375AB0" w:rsidRDefault="00375AB0" w:rsidP="00375AB0">
            <w:pPr>
              <w:spacing w:line="360" w:lineRule="auto"/>
              <w:jc w:val="both"/>
              <w:rPr>
                <w:rFonts w:ascii="Arial" w:hAnsi="Arial" w:cs="Arial"/>
              </w:rPr>
            </w:pPr>
            <w:r>
              <w:rPr>
                <w:rFonts w:ascii="Arial" w:hAnsi="Arial" w:cs="Arial"/>
              </w:rPr>
              <w:t>Other core skills (to the extent they are not included above) include</w:t>
            </w:r>
          </w:p>
          <w:p w:rsidR="00375AB0" w:rsidRDefault="00375AB0" w:rsidP="00375AB0">
            <w:pPr>
              <w:spacing w:line="360" w:lineRule="auto"/>
              <w:jc w:val="both"/>
              <w:rPr>
                <w:rFonts w:ascii="Arial" w:hAnsi="Arial" w:cs="Arial"/>
              </w:rPr>
            </w:pP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Interpersonal</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Resilient</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Common sense</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Measured / calm</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Methodical</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Collegiality</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Flexible</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Integrity</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Other core skills highlighted by the AICPA report include:</w:t>
            </w:r>
          </w:p>
          <w:p w:rsidR="00375AB0" w:rsidRDefault="00375AB0" w:rsidP="00375AB0">
            <w:pPr>
              <w:spacing w:line="360" w:lineRule="auto"/>
              <w:jc w:val="both"/>
              <w:rPr>
                <w:rFonts w:ascii="Arial" w:hAnsi="Arial" w:cs="Arial"/>
              </w:rPr>
            </w:pP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Evaluative</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Function well under pressure</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Generate new ideas and scenarios</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Confident</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Makes people feel at ease</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Team player</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Adaptive</w:t>
            </w:r>
          </w:p>
          <w:p w:rsidR="00375AB0" w:rsidRDefault="00375AB0" w:rsidP="00375AB0">
            <w:pPr>
              <w:pStyle w:val="ListParagraph"/>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lastRenderedPageBreak/>
              <w:t xml:space="preserve">The learning materials also highlight five mindset factors that a forensic accountant should consider to be effective (see page 11 of learning materials). </w:t>
            </w:r>
          </w:p>
          <w:p w:rsidR="00375AB0" w:rsidRPr="006E5D8F" w:rsidRDefault="00375AB0" w:rsidP="00375AB0">
            <w:pPr>
              <w:spacing w:line="360" w:lineRule="auto"/>
              <w:jc w:val="both"/>
              <w:rPr>
                <w:rFonts w:ascii="Arial" w:hAnsi="Arial" w:cs="Arial"/>
              </w:rPr>
            </w:pPr>
          </w:p>
          <w:p w:rsidR="00375AB0" w:rsidRPr="00375AB0" w:rsidRDefault="00375AB0" w:rsidP="00375AB0">
            <w:pPr>
              <w:pStyle w:val="ListParagraph"/>
              <w:numPr>
                <w:ilvl w:val="0"/>
                <w:numId w:val="8"/>
              </w:numPr>
              <w:spacing w:line="360" w:lineRule="auto"/>
              <w:jc w:val="both"/>
              <w:rPr>
                <w:rFonts w:ascii="Arial" w:hAnsi="Arial" w:cs="Arial"/>
                <w:b/>
              </w:rPr>
            </w:pPr>
            <w:r w:rsidRPr="00375AB0">
              <w:rPr>
                <w:rFonts w:ascii="Arial" w:hAnsi="Arial" w:cs="Arial"/>
                <w:b/>
              </w:rPr>
              <w:t>Outline the basic steps in fraud investigation.</w:t>
            </w:r>
          </w:p>
          <w:p w:rsidR="00375AB0" w:rsidRPr="00375AB0" w:rsidRDefault="00375AB0" w:rsidP="00375AB0">
            <w:pPr>
              <w:spacing w:line="360" w:lineRule="auto"/>
              <w:ind w:left="360"/>
              <w:jc w:val="both"/>
              <w:rPr>
                <w:rFonts w:ascii="Arial" w:hAnsi="Arial" w:cs="Arial"/>
                <w:b/>
              </w:rPr>
            </w:pPr>
          </w:p>
          <w:p w:rsidR="00375AB0" w:rsidRDefault="00375AB0" w:rsidP="00375AB0">
            <w:pPr>
              <w:spacing w:line="360" w:lineRule="auto"/>
              <w:jc w:val="both"/>
              <w:rPr>
                <w:rFonts w:ascii="Arial" w:hAnsi="Arial" w:cs="Arial"/>
                <w:i/>
              </w:rPr>
            </w:pPr>
            <w:r>
              <w:rPr>
                <w:rFonts w:ascii="Arial" w:hAnsi="Arial" w:cs="Arial"/>
              </w:rPr>
              <w:t xml:space="preserve">It is important to bear in mind that circumstances may dictate the steps taken in certain investigations. For example, the United National Development Programme </w:t>
            </w:r>
            <w:proofErr w:type="spellStart"/>
            <w:r>
              <w:rPr>
                <w:rFonts w:ascii="Arial" w:hAnsi="Arial" w:cs="Arial"/>
              </w:rPr>
              <w:t>recognises</w:t>
            </w:r>
            <w:proofErr w:type="spellEnd"/>
            <w:r>
              <w:rPr>
                <w:rFonts w:ascii="Arial" w:hAnsi="Arial" w:cs="Arial"/>
              </w:rPr>
              <w:t xml:space="preserve"> that their Investigation Guidelines </w:t>
            </w:r>
            <w:r>
              <w:rPr>
                <w:rFonts w:ascii="Arial" w:hAnsi="Arial" w:cs="Arial"/>
                <w:i/>
              </w:rPr>
              <w:t>“are a guide to best practice but are not mandatory in every situation. To ensure consistence in the investigation of OAI cases, investigations are to be conducted in accordance with these guidelines to the extent possible. However, the circumstances of a particular investigation – for example, the need to preserve evidence before notifying a subject – may necessarily affect the application of the guidelines to the specific circumstances of a case…”</w:t>
            </w:r>
            <w:r>
              <w:rPr>
                <w:rStyle w:val="FootnoteReference"/>
                <w:rFonts w:ascii="Arial" w:hAnsi="Arial" w:cs="Arial"/>
                <w:i/>
              </w:rPr>
              <w:footnoteReference w:id="20"/>
            </w:r>
          </w:p>
          <w:p w:rsidR="00375AB0" w:rsidRPr="00EC1232" w:rsidRDefault="00375AB0" w:rsidP="00375AB0">
            <w:pPr>
              <w:spacing w:line="360" w:lineRule="auto"/>
              <w:jc w:val="both"/>
              <w:rPr>
                <w:rFonts w:ascii="Arial" w:hAnsi="Arial" w:cs="Arial"/>
                <w:i/>
              </w:rPr>
            </w:pPr>
          </w:p>
          <w:p w:rsidR="00375AB0" w:rsidRDefault="00375AB0" w:rsidP="00375AB0">
            <w:pPr>
              <w:pStyle w:val="ListParagraph"/>
              <w:numPr>
                <w:ilvl w:val="0"/>
                <w:numId w:val="5"/>
              </w:numPr>
              <w:spacing w:line="360" w:lineRule="auto"/>
              <w:jc w:val="both"/>
              <w:rPr>
                <w:rFonts w:ascii="Arial" w:hAnsi="Arial" w:cs="Arial"/>
              </w:rPr>
            </w:pPr>
            <w:r w:rsidRPr="008F6A7F">
              <w:rPr>
                <w:rFonts w:ascii="Arial" w:hAnsi="Arial" w:cs="Arial"/>
              </w:rPr>
              <w:t>Accepting the investigation</w:t>
            </w:r>
            <w:r>
              <w:rPr>
                <w:rFonts w:ascii="Arial" w:hAnsi="Arial" w:cs="Arial"/>
              </w:rPr>
              <w:t xml:space="preserve"> </w:t>
            </w:r>
          </w:p>
          <w:p w:rsidR="00375AB0" w:rsidRDefault="00375AB0" w:rsidP="00375AB0">
            <w:pPr>
              <w:pStyle w:val="ListParagraph"/>
              <w:spacing w:line="360" w:lineRule="auto"/>
              <w:jc w:val="both"/>
              <w:rPr>
                <w:rFonts w:ascii="Arial" w:hAnsi="Arial" w:cs="Arial"/>
              </w:rPr>
            </w:pPr>
          </w:p>
          <w:p w:rsidR="00375AB0" w:rsidRDefault="00375AB0" w:rsidP="00375AB0">
            <w:pPr>
              <w:spacing w:line="360" w:lineRule="auto"/>
              <w:jc w:val="both"/>
              <w:rPr>
                <w:rFonts w:ascii="Arial" w:hAnsi="Arial" w:cs="Arial"/>
              </w:rPr>
            </w:pPr>
            <w:r w:rsidRPr="007038D0">
              <w:rPr>
                <w:rFonts w:ascii="Arial" w:hAnsi="Arial" w:cs="Arial"/>
              </w:rPr>
              <w:t xml:space="preserve">If the possible fraud occurs within an </w:t>
            </w:r>
            <w:proofErr w:type="spellStart"/>
            <w:r w:rsidRPr="007038D0">
              <w:rPr>
                <w:rFonts w:ascii="Arial" w:hAnsi="Arial" w:cs="Arial"/>
              </w:rPr>
              <w:t>organisation</w:t>
            </w:r>
            <w:proofErr w:type="spellEnd"/>
            <w:r w:rsidRPr="007038D0">
              <w:rPr>
                <w:rFonts w:ascii="Arial" w:hAnsi="Arial" w:cs="Arial"/>
              </w:rPr>
              <w:t xml:space="preserve">, there may be a number of ways that the company is made aware. For example, there could have been detection during the course of an audit, or an employee may discover an irregularity and report it to their line manager. Alternatively there could have been a whistle blower that tips off someone within or external to the </w:t>
            </w:r>
            <w:proofErr w:type="spellStart"/>
            <w:r w:rsidRPr="007038D0">
              <w:rPr>
                <w:rFonts w:ascii="Arial" w:hAnsi="Arial" w:cs="Arial"/>
              </w:rPr>
              <w:t>organisation</w:t>
            </w:r>
            <w:proofErr w:type="spellEnd"/>
            <w:r w:rsidRPr="007038D0">
              <w:rPr>
                <w:rFonts w:ascii="Arial" w:hAnsi="Arial" w:cs="Arial"/>
              </w:rPr>
              <w:t xml:space="preserve"> that a fraud has occurred. This </w:t>
            </w:r>
            <w:r>
              <w:rPr>
                <w:rFonts w:ascii="Arial" w:hAnsi="Arial" w:cs="Arial"/>
              </w:rPr>
              <w:t xml:space="preserve">tip off </w:t>
            </w:r>
            <w:r w:rsidRPr="007038D0">
              <w:rPr>
                <w:rFonts w:ascii="Arial" w:hAnsi="Arial" w:cs="Arial"/>
              </w:rPr>
              <w:t>could be anonymous.</w:t>
            </w:r>
          </w:p>
          <w:p w:rsidR="00375AB0" w:rsidRPr="007038D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sidRPr="007038D0">
              <w:rPr>
                <w:rFonts w:ascii="Arial" w:hAnsi="Arial" w:cs="Arial"/>
              </w:rPr>
              <w:t xml:space="preserve">There will then inevitably be a short preliminary evaluation internally to determine whether the complaint requires investigation. Alternatively, the </w:t>
            </w:r>
            <w:proofErr w:type="spellStart"/>
            <w:r w:rsidRPr="007038D0">
              <w:rPr>
                <w:rFonts w:ascii="Arial" w:hAnsi="Arial" w:cs="Arial"/>
              </w:rPr>
              <w:t>organisation</w:t>
            </w:r>
            <w:proofErr w:type="spellEnd"/>
            <w:r w:rsidRPr="007038D0">
              <w:rPr>
                <w:rFonts w:ascii="Arial" w:hAnsi="Arial" w:cs="Arial"/>
              </w:rPr>
              <w:t xml:space="preserve"> may have a mandatory investigation policy. Given time constraints, this initial phase could also involve the preservation or securing of evidence, for example if there is an immediate high risk of the </w:t>
            </w:r>
            <w:proofErr w:type="spellStart"/>
            <w:r>
              <w:rPr>
                <w:rFonts w:ascii="Arial" w:hAnsi="Arial" w:cs="Arial"/>
              </w:rPr>
              <w:t>the</w:t>
            </w:r>
            <w:proofErr w:type="spellEnd"/>
            <w:r>
              <w:rPr>
                <w:rFonts w:ascii="Arial" w:hAnsi="Arial" w:cs="Arial"/>
              </w:rPr>
              <w:t xml:space="preserve"> destruction</w:t>
            </w:r>
            <w:r w:rsidRPr="007038D0">
              <w:rPr>
                <w:rFonts w:ascii="Arial" w:hAnsi="Arial" w:cs="Arial"/>
              </w:rPr>
              <w:t xml:space="preserve"> or </w:t>
            </w:r>
            <w:r>
              <w:rPr>
                <w:rFonts w:ascii="Arial" w:hAnsi="Arial" w:cs="Arial"/>
              </w:rPr>
              <w:t>removal of</w:t>
            </w:r>
            <w:r w:rsidRPr="007038D0">
              <w:rPr>
                <w:rFonts w:ascii="Arial" w:hAnsi="Arial" w:cs="Arial"/>
              </w:rPr>
              <w:t xml:space="preserve"> evidence.  </w:t>
            </w:r>
          </w:p>
          <w:p w:rsidR="00375AB0" w:rsidRPr="007038D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sidRPr="007038D0">
              <w:rPr>
                <w:rFonts w:ascii="Arial" w:hAnsi="Arial" w:cs="Arial"/>
              </w:rPr>
              <w:t xml:space="preserve">The </w:t>
            </w:r>
            <w:proofErr w:type="spellStart"/>
            <w:r w:rsidRPr="007038D0">
              <w:rPr>
                <w:rFonts w:ascii="Arial" w:hAnsi="Arial" w:cs="Arial"/>
              </w:rPr>
              <w:t>organisation</w:t>
            </w:r>
            <w:proofErr w:type="spellEnd"/>
            <w:r w:rsidRPr="007038D0">
              <w:rPr>
                <w:rFonts w:ascii="Arial" w:hAnsi="Arial" w:cs="Arial"/>
              </w:rPr>
              <w:t xml:space="preserve"> </w:t>
            </w:r>
            <w:r>
              <w:rPr>
                <w:rFonts w:ascii="Arial" w:hAnsi="Arial" w:cs="Arial"/>
              </w:rPr>
              <w:t>may</w:t>
            </w:r>
            <w:r w:rsidRPr="007038D0">
              <w:rPr>
                <w:rFonts w:ascii="Arial" w:hAnsi="Arial" w:cs="Arial"/>
              </w:rPr>
              <w:t xml:space="preserve"> either have a policy of conducting a formal internal investigation, either using </w:t>
            </w:r>
            <w:proofErr w:type="gramStart"/>
            <w:r w:rsidRPr="007038D0">
              <w:rPr>
                <w:rFonts w:ascii="Arial" w:hAnsi="Arial" w:cs="Arial"/>
              </w:rPr>
              <w:t>their own</w:t>
            </w:r>
            <w:proofErr w:type="gramEnd"/>
            <w:r w:rsidRPr="007038D0">
              <w:rPr>
                <w:rFonts w:ascii="Arial" w:hAnsi="Arial" w:cs="Arial"/>
              </w:rPr>
              <w:t xml:space="preserve"> internal investigation unit or by instructing an external forensic accountant. If the latter, the firm will need to run a conflict check to ensure there are no conflicts of interest between the instructing </w:t>
            </w:r>
            <w:proofErr w:type="spellStart"/>
            <w:r w:rsidRPr="007038D0">
              <w:rPr>
                <w:rFonts w:ascii="Arial" w:hAnsi="Arial" w:cs="Arial"/>
              </w:rPr>
              <w:t>organisation</w:t>
            </w:r>
            <w:proofErr w:type="spellEnd"/>
            <w:r w:rsidRPr="007038D0">
              <w:rPr>
                <w:rFonts w:ascii="Arial" w:hAnsi="Arial" w:cs="Arial"/>
              </w:rPr>
              <w:t xml:space="preserve">, the subject of the investigation and the forensic accountant. The company can then instruct the forensic accountant / investigation team, choosing them on the basis of their skills, experience, and cost. </w:t>
            </w:r>
          </w:p>
          <w:p w:rsidR="00375AB0" w:rsidRPr="007038D0" w:rsidRDefault="00375AB0" w:rsidP="00375AB0">
            <w:pPr>
              <w:spacing w:line="360" w:lineRule="auto"/>
              <w:jc w:val="both"/>
              <w:rPr>
                <w:rFonts w:ascii="Arial" w:hAnsi="Arial" w:cs="Arial"/>
              </w:rPr>
            </w:pPr>
          </w:p>
          <w:p w:rsidR="00375AB0" w:rsidRDefault="00375AB0" w:rsidP="00375AB0">
            <w:pPr>
              <w:pStyle w:val="ListParagraph"/>
              <w:numPr>
                <w:ilvl w:val="0"/>
                <w:numId w:val="5"/>
              </w:numPr>
              <w:spacing w:line="360" w:lineRule="auto"/>
              <w:jc w:val="both"/>
              <w:rPr>
                <w:rFonts w:ascii="Arial" w:hAnsi="Arial" w:cs="Arial"/>
              </w:rPr>
            </w:pPr>
            <w:r>
              <w:rPr>
                <w:rFonts w:ascii="Arial" w:hAnsi="Arial" w:cs="Arial"/>
              </w:rPr>
              <w:t xml:space="preserve">Planning the investigation </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sidRPr="007038D0">
              <w:rPr>
                <w:rFonts w:ascii="Arial" w:hAnsi="Arial" w:cs="Arial"/>
              </w:rPr>
              <w:t>The scope of the investigation and its objectives should be determined at the outset. This</w:t>
            </w:r>
            <w:r>
              <w:rPr>
                <w:rFonts w:ascii="Arial" w:hAnsi="Arial" w:cs="Arial"/>
              </w:rPr>
              <w:t xml:space="preserve"> may </w:t>
            </w:r>
            <w:r w:rsidRPr="007038D0">
              <w:rPr>
                <w:rFonts w:ascii="Arial" w:hAnsi="Arial" w:cs="Arial"/>
              </w:rPr>
              <w:t xml:space="preserve">include identifying if a fraud has occurred and if so the type of fraud, its duration and the root cause of the fraud (i.e. how it was concealed and the internal processes that allowed it to be concealed). The scope will also usually include attempting to determine the perpetrators, the loss incurred by the </w:t>
            </w:r>
            <w:proofErr w:type="spellStart"/>
            <w:r w:rsidRPr="007038D0">
              <w:rPr>
                <w:rFonts w:ascii="Arial" w:hAnsi="Arial" w:cs="Arial"/>
              </w:rPr>
              <w:t>organisation</w:t>
            </w:r>
            <w:proofErr w:type="spellEnd"/>
            <w:r w:rsidRPr="007038D0">
              <w:rPr>
                <w:rFonts w:ascii="Arial" w:hAnsi="Arial" w:cs="Arial"/>
              </w:rPr>
              <w:t xml:space="preserve">, </w:t>
            </w:r>
            <w:r>
              <w:rPr>
                <w:rFonts w:ascii="Arial" w:hAnsi="Arial" w:cs="Arial"/>
              </w:rPr>
              <w:t xml:space="preserve">identification of ways in which evidence should be gathered </w:t>
            </w:r>
            <w:r w:rsidRPr="007038D0">
              <w:rPr>
                <w:rFonts w:ascii="Arial" w:hAnsi="Arial" w:cs="Arial"/>
              </w:rPr>
              <w:t xml:space="preserve">and </w:t>
            </w:r>
            <w:r>
              <w:rPr>
                <w:rFonts w:ascii="Arial" w:hAnsi="Arial" w:cs="Arial"/>
              </w:rPr>
              <w:t>identification of</w:t>
            </w:r>
            <w:r w:rsidRPr="007038D0">
              <w:rPr>
                <w:rFonts w:ascii="Arial" w:hAnsi="Arial" w:cs="Arial"/>
              </w:rPr>
              <w:t xml:space="preserve"> ways </w:t>
            </w:r>
            <w:r>
              <w:rPr>
                <w:rFonts w:ascii="Arial" w:hAnsi="Arial" w:cs="Arial"/>
              </w:rPr>
              <w:t>to prevent</w:t>
            </w:r>
            <w:r w:rsidRPr="007038D0">
              <w:rPr>
                <w:rFonts w:ascii="Arial" w:hAnsi="Arial" w:cs="Arial"/>
              </w:rPr>
              <w:t xml:space="preserve"> reoccurrence.</w:t>
            </w:r>
          </w:p>
          <w:p w:rsidR="00375AB0" w:rsidRPr="007038D0" w:rsidRDefault="00375AB0" w:rsidP="00375AB0">
            <w:pPr>
              <w:spacing w:line="360" w:lineRule="auto"/>
              <w:jc w:val="both"/>
              <w:rPr>
                <w:rFonts w:ascii="Arial" w:hAnsi="Arial" w:cs="Arial"/>
              </w:rPr>
            </w:pPr>
          </w:p>
          <w:p w:rsidR="00375AB0" w:rsidRDefault="00375AB0" w:rsidP="00375AB0">
            <w:pPr>
              <w:pStyle w:val="ListParagraph"/>
              <w:numPr>
                <w:ilvl w:val="0"/>
                <w:numId w:val="5"/>
              </w:numPr>
              <w:spacing w:line="360" w:lineRule="auto"/>
              <w:jc w:val="both"/>
              <w:rPr>
                <w:rFonts w:ascii="Arial" w:hAnsi="Arial" w:cs="Arial"/>
              </w:rPr>
            </w:pPr>
            <w:r>
              <w:rPr>
                <w:rFonts w:ascii="Arial" w:hAnsi="Arial" w:cs="Arial"/>
              </w:rPr>
              <w:t>Gathering evidence</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sidRPr="007038D0">
              <w:rPr>
                <w:rFonts w:ascii="Arial" w:hAnsi="Arial" w:cs="Arial"/>
              </w:rPr>
              <w:t>The investigating team must bear in mind that the evidence gathered and the evidence gathering process will be subject to intense scrutiny if civil or criminal proceedings are brought as a result of the investigation.</w:t>
            </w:r>
          </w:p>
          <w:p w:rsidR="00375AB0" w:rsidRPr="007038D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sidRPr="007A6A1E">
              <w:rPr>
                <w:rFonts w:ascii="Arial" w:hAnsi="Arial" w:cs="Arial"/>
              </w:rPr>
              <w:t>That said this step in the process uses evidence gathering techniques including:</w:t>
            </w:r>
          </w:p>
          <w:p w:rsidR="00375AB0" w:rsidRPr="007A6A1E" w:rsidRDefault="00375AB0" w:rsidP="00375AB0">
            <w:pPr>
              <w:spacing w:line="360" w:lineRule="auto"/>
              <w:jc w:val="both"/>
              <w:rPr>
                <w:rFonts w:ascii="Arial" w:hAnsi="Arial" w:cs="Arial"/>
              </w:rPr>
            </w:pPr>
          </w:p>
          <w:p w:rsidR="00375AB0" w:rsidRDefault="00375AB0" w:rsidP="00375AB0">
            <w:pPr>
              <w:pStyle w:val="ListParagraph"/>
              <w:numPr>
                <w:ilvl w:val="0"/>
                <w:numId w:val="4"/>
              </w:numPr>
              <w:spacing w:line="360" w:lineRule="auto"/>
              <w:ind w:left="1418"/>
              <w:jc w:val="both"/>
              <w:rPr>
                <w:rFonts w:ascii="Arial" w:hAnsi="Arial" w:cs="Arial"/>
              </w:rPr>
            </w:pPr>
            <w:r>
              <w:rPr>
                <w:rFonts w:ascii="Arial" w:hAnsi="Arial" w:cs="Arial"/>
              </w:rPr>
              <w:t>Identifying gaps in internal controls;</w:t>
            </w:r>
          </w:p>
          <w:p w:rsidR="00375AB0" w:rsidRDefault="00375AB0" w:rsidP="00375AB0">
            <w:pPr>
              <w:pStyle w:val="ListParagraph"/>
              <w:numPr>
                <w:ilvl w:val="0"/>
                <w:numId w:val="4"/>
              </w:numPr>
              <w:spacing w:line="360" w:lineRule="auto"/>
              <w:ind w:left="1418"/>
              <w:jc w:val="both"/>
              <w:rPr>
                <w:rFonts w:ascii="Arial" w:hAnsi="Arial" w:cs="Arial"/>
              </w:rPr>
            </w:pPr>
            <w:r>
              <w:rPr>
                <w:rFonts w:ascii="Arial" w:hAnsi="Arial" w:cs="Arial"/>
              </w:rPr>
              <w:t>Comparing trends over time to compare segments of the business</w:t>
            </w:r>
          </w:p>
          <w:p w:rsidR="00375AB0" w:rsidRDefault="00375AB0" w:rsidP="00375AB0">
            <w:pPr>
              <w:pStyle w:val="ListParagraph"/>
              <w:numPr>
                <w:ilvl w:val="0"/>
                <w:numId w:val="4"/>
              </w:numPr>
              <w:spacing w:line="360" w:lineRule="auto"/>
              <w:ind w:left="1418"/>
              <w:jc w:val="both"/>
              <w:rPr>
                <w:rFonts w:ascii="Arial" w:hAnsi="Arial" w:cs="Arial"/>
              </w:rPr>
            </w:pPr>
            <w:r>
              <w:rPr>
                <w:rFonts w:ascii="Arial" w:hAnsi="Arial" w:cs="Arial"/>
              </w:rPr>
              <w:t xml:space="preserve">Identifying the time and location of computer data alterations using computer assisted audit techniques. </w:t>
            </w:r>
          </w:p>
          <w:p w:rsidR="00375AB0" w:rsidRDefault="00375AB0" w:rsidP="00375AB0">
            <w:pPr>
              <w:pStyle w:val="ListParagraph"/>
              <w:numPr>
                <w:ilvl w:val="0"/>
                <w:numId w:val="4"/>
              </w:numPr>
              <w:spacing w:line="360" w:lineRule="auto"/>
              <w:ind w:left="1418"/>
              <w:jc w:val="both"/>
              <w:rPr>
                <w:rFonts w:ascii="Arial" w:hAnsi="Arial" w:cs="Arial"/>
              </w:rPr>
            </w:pPr>
            <w:r>
              <w:rPr>
                <w:rFonts w:ascii="Arial" w:hAnsi="Arial" w:cs="Arial"/>
              </w:rPr>
              <w:t>Reconciling cash accounts and reviewing documents</w:t>
            </w:r>
          </w:p>
          <w:p w:rsidR="00375AB0" w:rsidRDefault="00375AB0" w:rsidP="00375AB0">
            <w:pPr>
              <w:pStyle w:val="ListParagraph"/>
              <w:spacing w:line="360" w:lineRule="auto"/>
              <w:ind w:left="1418"/>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The evidence gathering stage will also include securing and preserving documents and other evidence including:</w:t>
            </w:r>
          </w:p>
          <w:p w:rsidR="00375AB0" w:rsidRDefault="00375AB0" w:rsidP="00375AB0">
            <w:pPr>
              <w:spacing w:line="360" w:lineRule="auto"/>
              <w:jc w:val="both"/>
              <w:rPr>
                <w:rFonts w:ascii="Arial" w:hAnsi="Arial" w:cs="Arial"/>
              </w:rPr>
            </w:pPr>
          </w:p>
          <w:p w:rsidR="00375AB0" w:rsidRDefault="00375AB0" w:rsidP="00375AB0">
            <w:pPr>
              <w:pStyle w:val="ListParagraph"/>
              <w:numPr>
                <w:ilvl w:val="0"/>
                <w:numId w:val="4"/>
              </w:numPr>
              <w:spacing w:line="360" w:lineRule="auto"/>
              <w:ind w:left="1418"/>
              <w:jc w:val="both"/>
              <w:rPr>
                <w:rFonts w:ascii="Arial" w:hAnsi="Arial" w:cs="Arial"/>
              </w:rPr>
            </w:pPr>
            <w:r>
              <w:rPr>
                <w:rFonts w:ascii="Arial" w:hAnsi="Arial" w:cs="Arial"/>
              </w:rPr>
              <w:t>Electronic evidence including computers used by the subject of the investigation and perhaps those of any witnesses, servers if these are at risk of being removed and electronic access control systems</w:t>
            </w:r>
          </w:p>
          <w:p w:rsidR="00375AB0" w:rsidRDefault="00375AB0" w:rsidP="00375AB0">
            <w:pPr>
              <w:pStyle w:val="ListParagraph"/>
              <w:numPr>
                <w:ilvl w:val="0"/>
                <w:numId w:val="4"/>
              </w:numPr>
              <w:spacing w:line="360" w:lineRule="auto"/>
              <w:ind w:left="1418"/>
              <w:jc w:val="both"/>
              <w:rPr>
                <w:rFonts w:ascii="Arial" w:hAnsi="Arial" w:cs="Arial"/>
              </w:rPr>
            </w:pPr>
            <w:r>
              <w:rPr>
                <w:rFonts w:ascii="Arial" w:hAnsi="Arial" w:cs="Arial"/>
              </w:rPr>
              <w:t>Video surveillance</w:t>
            </w:r>
          </w:p>
          <w:p w:rsidR="00375AB0" w:rsidRDefault="00375AB0" w:rsidP="00375AB0">
            <w:pPr>
              <w:pStyle w:val="ListParagraph"/>
              <w:numPr>
                <w:ilvl w:val="0"/>
                <w:numId w:val="4"/>
              </w:numPr>
              <w:spacing w:line="360" w:lineRule="auto"/>
              <w:ind w:left="1418"/>
              <w:jc w:val="both"/>
              <w:rPr>
                <w:rFonts w:ascii="Arial" w:hAnsi="Arial" w:cs="Arial"/>
              </w:rPr>
            </w:pPr>
            <w:r>
              <w:rPr>
                <w:rFonts w:ascii="Arial" w:hAnsi="Arial" w:cs="Arial"/>
              </w:rPr>
              <w:t>Relevant documents (original documents where ever possible)</w:t>
            </w:r>
          </w:p>
          <w:p w:rsidR="00375AB0" w:rsidRDefault="00375AB0" w:rsidP="00375AB0">
            <w:pPr>
              <w:pStyle w:val="ListParagraph"/>
              <w:numPr>
                <w:ilvl w:val="0"/>
                <w:numId w:val="4"/>
              </w:numPr>
              <w:spacing w:line="360" w:lineRule="auto"/>
              <w:ind w:left="1418"/>
              <w:jc w:val="both"/>
              <w:rPr>
                <w:rFonts w:ascii="Arial" w:hAnsi="Arial" w:cs="Arial"/>
              </w:rPr>
            </w:pPr>
            <w:r>
              <w:rPr>
                <w:rFonts w:ascii="Arial" w:hAnsi="Arial" w:cs="Arial"/>
              </w:rPr>
              <w:t>Any relevant physical evidence (e.g. goods or equipment)</w:t>
            </w:r>
          </w:p>
          <w:p w:rsidR="00375AB0" w:rsidRDefault="00375AB0" w:rsidP="00375AB0">
            <w:pPr>
              <w:pStyle w:val="ListParagraph"/>
              <w:numPr>
                <w:ilvl w:val="0"/>
                <w:numId w:val="4"/>
              </w:numPr>
              <w:spacing w:line="360" w:lineRule="auto"/>
              <w:ind w:left="1418"/>
              <w:jc w:val="both"/>
              <w:rPr>
                <w:rFonts w:ascii="Arial" w:hAnsi="Arial" w:cs="Arial"/>
              </w:rPr>
            </w:pPr>
            <w:r>
              <w:rPr>
                <w:rFonts w:ascii="Arial" w:hAnsi="Arial" w:cs="Arial"/>
              </w:rPr>
              <w:t>Forensic evidence, for example handwriting or DNA or fingerprint analysis on disputed documents.</w:t>
            </w:r>
          </w:p>
          <w:p w:rsidR="00375AB0" w:rsidRDefault="00375AB0" w:rsidP="00375AB0">
            <w:pPr>
              <w:pStyle w:val="ListParagraph"/>
              <w:spacing w:line="360" w:lineRule="auto"/>
              <w:ind w:left="1418"/>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lastRenderedPageBreak/>
              <w:t xml:space="preserve">It will be critical to establish chain of custody when securing and handling evidence. Evidence should be secured in suitable containers i.e. purpose made plastic bags or in the case of large quantities of records special containers or alternative secure premises. The labels should note the date, location, description of the evidence and unique number of the bag. Any movement of the evidence should be recorded. </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 xml:space="preserve">Witnesses will usually be interviewed at this stage. The presence of a lawyer should be considered if litigation privilege is to be maintained over any attendance notes of the interview. </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 xml:space="preserve">Depending on the nature of the investigation, the subject accused of the fraud may be interviewed as well. </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Other tasks may be relevant, for example, in exceptional circumstances a forensic investigator might try to re-create the financial statement using trial balances and general ledgers to compare them against the issued financial statements to discover where there might have been a financial statement fraud.</w:t>
            </w:r>
          </w:p>
          <w:p w:rsidR="00375AB0" w:rsidRDefault="00375AB0" w:rsidP="00375AB0">
            <w:pPr>
              <w:spacing w:line="360" w:lineRule="auto"/>
              <w:jc w:val="both"/>
              <w:rPr>
                <w:rFonts w:ascii="Arial" w:hAnsi="Arial" w:cs="Arial"/>
              </w:rPr>
            </w:pPr>
          </w:p>
          <w:p w:rsidR="00375AB0" w:rsidRDefault="00375AB0" w:rsidP="00375AB0">
            <w:pPr>
              <w:pStyle w:val="ListParagraph"/>
              <w:numPr>
                <w:ilvl w:val="0"/>
                <w:numId w:val="5"/>
              </w:numPr>
              <w:spacing w:line="360" w:lineRule="auto"/>
              <w:jc w:val="both"/>
              <w:rPr>
                <w:rFonts w:ascii="Arial" w:hAnsi="Arial" w:cs="Arial"/>
              </w:rPr>
            </w:pPr>
            <w:r>
              <w:rPr>
                <w:rFonts w:ascii="Arial" w:hAnsi="Arial" w:cs="Arial"/>
              </w:rPr>
              <w:t>Reporting</w:t>
            </w:r>
          </w:p>
          <w:p w:rsidR="00375AB0" w:rsidRDefault="00375AB0" w:rsidP="00375AB0">
            <w:pPr>
              <w:pStyle w:val="ListParagraph"/>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 xml:space="preserve">It is likely that the client will ask for a written report </w:t>
            </w:r>
            <w:proofErr w:type="spellStart"/>
            <w:r>
              <w:rPr>
                <w:rFonts w:ascii="Arial" w:hAnsi="Arial" w:cs="Arial"/>
              </w:rPr>
              <w:t>summarising</w:t>
            </w:r>
            <w:proofErr w:type="spellEnd"/>
            <w:r>
              <w:rPr>
                <w:rFonts w:ascii="Arial" w:hAnsi="Arial" w:cs="Arial"/>
              </w:rPr>
              <w:t xml:space="preserve"> the evidence, the extent of any losses, the root cause of the fraud, the mechanics of the fraud, improvements to the company’s control mechanisms, as well as any other aspects related to the scope of the investigation. </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 xml:space="preserve">It is likely that the client will also request an oral presentation of the findings and recommendations. </w:t>
            </w:r>
          </w:p>
          <w:p w:rsidR="00375AB0" w:rsidRPr="005E71E1" w:rsidRDefault="00375AB0" w:rsidP="00375AB0">
            <w:pPr>
              <w:spacing w:line="360" w:lineRule="auto"/>
              <w:jc w:val="both"/>
              <w:rPr>
                <w:rFonts w:ascii="Arial" w:hAnsi="Arial" w:cs="Arial"/>
              </w:rPr>
            </w:pPr>
          </w:p>
          <w:p w:rsidR="00375AB0" w:rsidRDefault="00375AB0" w:rsidP="00375AB0">
            <w:pPr>
              <w:pStyle w:val="ListParagraph"/>
              <w:numPr>
                <w:ilvl w:val="0"/>
                <w:numId w:val="5"/>
              </w:numPr>
              <w:spacing w:line="360" w:lineRule="auto"/>
              <w:jc w:val="both"/>
              <w:rPr>
                <w:rFonts w:ascii="Arial" w:hAnsi="Arial" w:cs="Arial"/>
              </w:rPr>
            </w:pPr>
            <w:r>
              <w:rPr>
                <w:rFonts w:ascii="Arial" w:hAnsi="Arial" w:cs="Arial"/>
              </w:rPr>
              <w:t>Possible other steps such as court proceedings</w:t>
            </w:r>
          </w:p>
          <w:p w:rsidR="00375AB0" w:rsidRDefault="00375AB0" w:rsidP="00375AB0">
            <w:pPr>
              <w:pStyle w:val="ListParagraph"/>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 xml:space="preserve">A company is likely to bring court proceedings against the perpetrators of any fraud in order to recover any losses. The members of the investigating team may therefore be called as witnesses – their ability to explain complex issues to a judge or jury in a way that is comprehensible to a non-accountant will be critical. Any documentary or other evidence gathered will certainly be used in court proceedings. </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lastRenderedPageBreak/>
              <w:t xml:space="preserve">Whilst mostly relevant to an internal investigation, the World Intellectual Property </w:t>
            </w:r>
            <w:proofErr w:type="spellStart"/>
            <w:r>
              <w:rPr>
                <w:rFonts w:ascii="Arial" w:hAnsi="Arial" w:cs="Arial"/>
              </w:rPr>
              <w:t>Organisation</w:t>
            </w:r>
            <w:proofErr w:type="spellEnd"/>
            <w:r>
              <w:rPr>
                <w:rFonts w:ascii="Arial" w:hAnsi="Arial" w:cs="Arial"/>
              </w:rPr>
              <w:t xml:space="preserve"> Investigation and Procedure Manual provides a helpful diagram that shows the investigation process showing the following steps: discovery or receipt of the complaint; registration and evaluation of the complaint; the appointment of an investigator and creation of an investigation plan; the investigation activity (which would include evidence gathering an interviewing witnesses), and reporting. That may then lead to disciplinary procedure in the diagram, or court proceedings in other instances.</w:t>
            </w:r>
            <w:r>
              <w:rPr>
                <w:rStyle w:val="FootnoteReference"/>
                <w:rFonts w:ascii="Arial" w:hAnsi="Arial" w:cs="Arial"/>
              </w:rPr>
              <w:footnoteReference w:id="21"/>
            </w:r>
          </w:p>
          <w:p w:rsidR="00375AB0" w:rsidRPr="00EC1232" w:rsidRDefault="00375AB0" w:rsidP="00375AB0">
            <w:pPr>
              <w:spacing w:line="360" w:lineRule="auto"/>
              <w:jc w:val="both"/>
              <w:rPr>
                <w:rFonts w:ascii="Arial" w:hAnsi="Arial" w:cs="Arial"/>
              </w:rPr>
            </w:pPr>
          </w:p>
          <w:p w:rsidR="00375AB0" w:rsidRPr="00004A32" w:rsidRDefault="00375AB0" w:rsidP="00375AB0">
            <w:pPr>
              <w:spacing w:line="360" w:lineRule="auto"/>
              <w:jc w:val="both"/>
              <w:rPr>
                <w:rFonts w:ascii="Arial" w:hAnsi="Arial" w:cs="Arial"/>
                <w:b/>
              </w:rPr>
            </w:pPr>
            <w:r w:rsidRPr="00004A32">
              <w:rPr>
                <w:rFonts w:ascii="Arial" w:hAnsi="Arial" w:cs="Arial"/>
                <w:b/>
              </w:rPr>
              <w:t xml:space="preserve">v. How would you distinguish forensic accounting, fraud accounting, and investigative auditing from financial </w:t>
            </w:r>
            <w:proofErr w:type="gramStart"/>
            <w:r w:rsidRPr="00004A32">
              <w:rPr>
                <w:rFonts w:ascii="Arial" w:hAnsi="Arial" w:cs="Arial"/>
                <w:b/>
              </w:rPr>
              <w:t>auditing.</w:t>
            </w:r>
            <w:proofErr w:type="gramEnd"/>
            <w:r w:rsidRPr="00004A32">
              <w:rPr>
                <w:rFonts w:ascii="Arial" w:hAnsi="Arial" w:cs="Arial"/>
                <w:b/>
              </w:rPr>
              <w:t xml:space="preserve"> </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sidRPr="007A4E85">
              <w:rPr>
                <w:rFonts w:ascii="Arial" w:hAnsi="Arial" w:cs="Arial"/>
              </w:rPr>
              <w:t>Forensic accountan</w:t>
            </w:r>
            <w:r>
              <w:rPr>
                <w:rFonts w:ascii="Arial" w:hAnsi="Arial" w:cs="Arial"/>
              </w:rPr>
              <w:t>t</w:t>
            </w:r>
            <w:r w:rsidRPr="007A4E85">
              <w:rPr>
                <w:rFonts w:ascii="Arial" w:hAnsi="Arial" w:cs="Arial"/>
              </w:rPr>
              <w:t xml:space="preserve">s are trained in carrying out </w:t>
            </w:r>
            <w:r>
              <w:rPr>
                <w:rFonts w:ascii="Arial" w:hAnsi="Arial" w:cs="Arial"/>
              </w:rPr>
              <w:t xml:space="preserve">investigations, provide solutions to accounting problems, draft expert reports, gather evidence and present it in court. A forensic accountant is able to work with and provide assistance to lawyers. </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 xml:space="preserve">Fraud auditing and is an area of forensic accounting and deals with criminal activities restricted to fraud. </w:t>
            </w:r>
          </w:p>
          <w:p w:rsidR="00375AB0" w:rsidRPr="007A4E85"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i/>
              </w:rPr>
            </w:pPr>
            <w:r w:rsidRPr="007A4E85">
              <w:rPr>
                <w:rFonts w:ascii="Arial" w:hAnsi="Arial" w:cs="Arial"/>
              </w:rPr>
              <w:t>Price</w:t>
            </w:r>
            <w:r>
              <w:rPr>
                <w:rFonts w:ascii="Arial" w:hAnsi="Arial" w:cs="Arial"/>
              </w:rPr>
              <w:t xml:space="preserve"> </w:t>
            </w:r>
            <w:r w:rsidRPr="007A4E85">
              <w:rPr>
                <w:rFonts w:ascii="Arial" w:hAnsi="Arial" w:cs="Arial"/>
              </w:rPr>
              <w:t>Waterhouse Coopers define an audit as</w:t>
            </w:r>
            <w:r>
              <w:rPr>
                <w:rFonts w:ascii="Arial" w:hAnsi="Arial" w:cs="Arial"/>
              </w:rPr>
              <w:t xml:space="preserve"> follows</w:t>
            </w:r>
            <w:r w:rsidRPr="007A4E85">
              <w:rPr>
                <w:rFonts w:ascii="Arial" w:hAnsi="Arial" w:cs="Arial"/>
              </w:rPr>
              <w:t xml:space="preserve"> “</w:t>
            </w:r>
            <w:r w:rsidRPr="007A4E85">
              <w:rPr>
                <w:rFonts w:ascii="Arial" w:hAnsi="Arial" w:cs="Arial"/>
                <w:i/>
              </w:rPr>
              <w:t>an audit consists of evaluation of a subject matter with a view to express an opinion on whether the subject matter is fairly presented</w:t>
            </w:r>
            <w:r w:rsidRPr="007A4E85">
              <w:rPr>
                <w:rFonts w:ascii="Arial" w:hAnsi="Arial" w:cs="Arial"/>
              </w:rPr>
              <w:t>.”</w:t>
            </w:r>
            <w:r>
              <w:rPr>
                <w:rStyle w:val="FootnoteReference"/>
                <w:rFonts w:ascii="Arial" w:hAnsi="Arial" w:cs="Arial"/>
              </w:rPr>
              <w:footnoteReference w:id="22"/>
            </w:r>
            <w:r w:rsidRPr="007A4E85">
              <w:rPr>
                <w:rFonts w:ascii="Arial" w:hAnsi="Arial" w:cs="Arial"/>
              </w:rPr>
              <w:t xml:space="preserve"> There are different forms of audits but an audit of financial statements is “</w:t>
            </w:r>
            <w:r w:rsidRPr="007A4E85">
              <w:rPr>
                <w:rFonts w:ascii="Arial" w:hAnsi="Arial" w:cs="Arial"/>
                <w:i/>
              </w:rPr>
              <w:t>undertaken to form an independent opinion on the financial statements of a company”.</w:t>
            </w:r>
            <w:r>
              <w:rPr>
                <w:rFonts w:ascii="Arial" w:hAnsi="Arial" w:cs="Arial"/>
                <w:i/>
              </w:rPr>
              <w:t xml:space="preserve"> </w:t>
            </w:r>
          </w:p>
          <w:p w:rsidR="00375AB0" w:rsidRDefault="00375AB0" w:rsidP="00375AB0">
            <w:pPr>
              <w:spacing w:line="360" w:lineRule="auto"/>
              <w:jc w:val="both"/>
              <w:rPr>
                <w:rFonts w:ascii="Arial" w:hAnsi="Arial" w:cs="Arial"/>
                <w:i/>
              </w:rPr>
            </w:pPr>
          </w:p>
          <w:p w:rsidR="00375AB0" w:rsidRDefault="00375AB0" w:rsidP="00375AB0">
            <w:pPr>
              <w:spacing w:line="360" w:lineRule="auto"/>
              <w:jc w:val="both"/>
              <w:rPr>
                <w:rFonts w:ascii="Arial" w:hAnsi="Arial" w:cs="Arial"/>
              </w:rPr>
            </w:pPr>
            <w:r w:rsidRPr="00ED148B">
              <w:rPr>
                <w:rFonts w:ascii="Arial" w:hAnsi="Arial" w:cs="Arial"/>
              </w:rPr>
              <w:t>I would distinguish forensic accounting</w:t>
            </w:r>
            <w:r>
              <w:rPr>
                <w:rFonts w:ascii="Arial" w:hAnsi="Arial" w:cs="Arial"/>
              </w:rPr>
              <w:t>, fraud accounting and investigative auditing on the basis that</w:t>
            </w:r>
            <w:r w:rsidRPr="00ED148B">
              <w:rPr>
                <w:rFonts w:ascii="Arial" w:hAnsi="Arial" w:cs="Arial"/>
              </w:rPr>
              <w:t xml:space="preserve"> </w:t>
            </w:r>
            <w:r>
              <w:rPr>
                <w:rFonts w:ascii="Arial" w:hAnsi="Arial" w:cs="Arial"/>
              </w:rPr>
              <w:t xml:space="preserve">they all have more of an investigative and probative aspect to the processes and tasks than financial auditing. They are not limited to examining financial statements and opining on them; auditing is limited in scope to this extent. They are processes designed to fact find, uncover fraudulent practices and to gather facts for use in legal proceedings. They do not simply certify the state of the businesses’ financial statements by reference to general accounting principles. Reporting by forensic accountants is likely to be tailored to the extent that each investigation will be different and reports will be tailored to each business – they will often also include recommendations. Auditing often results in a simple letter, statement </w:t>
            </w:r>
            <w:r>
              <w:rPr>
                <w:rFonts w:ascii="Arial" w:hAnsi="Arial" w:cs="Arial"/>
              </w:rPr>
              <w:lastRenderedPageBreak/>
              <w:t>or auditors report verifying the compliance of the financial statements with regulatory standards.</w:t>
            </w:r>
          </w:p>
          <w:p w:rsidR="00375AB0" w:rsidRPr="00ED148B"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b/>
                <w:u w:val="single"/>
              </w:rPr>
            </w:pPr>
            <w:r w:rsidRPr="00ED044C">
              <w:rPr>
                <w:rFonts w:ascii="Arial" w:hAnsi="Arial" w:cs="Arial"/>
                <w:b/>
                <w:u w:val="single"/>
              </w:rPr>
              <w:t>Question 2</w:t>
            </w:r>
          </w:p>
          <w:p w:rsidR="00375AB0" w:rsidRPr="00ED044C" w:rsidRDefault="00375AB0" w:rsidP="00375AB0">
            <w:pPr>
              <w:spacing w:line="360" w:lineRule="auto"/>
              <w:jc w:val="both"/>
              <w:rPr>
                <w:rFonts w:ascii="Arial" w:hAnsi="Arial" w:cs="Arial"/>
                <w:b/>
                <w:u w:val="single"/>
              </w:rPr>
            </w:pPr>
          </w:p>
          <w:p w:rsidR="00375AB0" w:rsidRDefault="00375AB0" w:rsidP="00375AB0">
            <w:pPr>
              <w:pStyle w:val="ListParagraph"/>
              <w:numPr>
                <w:ilvl w:val="0"/>
                <w:numId w:val="6"/>
              </w:numPr>
              <w:spacing w:line="360" w:lineRule="auto"/>
              <w:jc w:val="both"/>
              <w:rPr>
                <w:rFonts w:ascii="Arial" w:hAnsi="Arial" w:cs="Arial"/>
                <w:b/>
              </w:rPr>
            </w:pPr>
            <w:r w:rsidRPr="00ED044C">
              <w:rPr>
                <w:rFonts w:ascii="Arial" w:hAnsi="Arial" w:cs="Arial"/>
                <w:b/>
              </w:rPr>
              <w:t>How the investigation for the above case should be started?</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 xml:space="preserve">In this instance, the alleged or suspected fraud is an ‘occupational fraud’ whereby an employee of the school board is misappropriating assets by (a) writing </w:t>
            </w:r>
            <w:proofErr w:type="spellStart"/>
            <w:r>
              <w:rPr>
                <w:rFonts w:ascii="Arial" w:hAnsi="Arial" w:cs="Arial"/>
              </w:rPr>
              <w:t>cheques</w:t>
            </w:r>
            <w:proofErr w:type="spellEnd"/>
            <w:r>
              <w:rPr>
                <w:rFonts w:ascii="Arial" w:hAnsi="Arial" w:cs="Arial"/>
              </w:rPr>
              <w:t xml:space="preserve"> to himself; and (b) submitting fake expense reimbursements. </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 xml:space="preserve">However, the fraud is only alleged at this stage and whilst on its face it does appear as though there has been impropriety (in particular writing </w:t>
            </w:r>
            <w:proofErr w:type="spellStart"/>
            <w:r>
              <w:rPr>
                <w:rFonts w:ascii="Arial" w:hAnsi="Arial" w:cs="Arial"/>
              </w:rPr>
              <w:t>cheques</w:t>
            </w:r>
            <w:proofErr w:type="spellEnd"/>
            <w:r>
              <w:rPr>
                <w:rFonts w:ascii="Arial" w:hAnsi="Arial" w:cs="Arial"/>
              </w:rPr>
              <w:t xml:space="preserve"> to </w:t>
            </w:r>
            <w:proofErr w:type="gramStart"/>
            <w:r>
              <w:rPr>
                <w:rFonts w:ascii="Arial" w:hAnsi="Arial" w:cs="Arial"/>
              </w:rPr>
              <w:t>himself</w:t>
            </w:r>
            <w:proofErr w:type="gramEnd"/>
            <w:r>
              <w:rPr>
                <w:rFonts w:ascii="Arial" w:hAnsi="Arial" w:cs="Arial"/>
              </w:rPr>
              <w:t xml:space="preserve">) there may be innocent explanations for the alleged fraudulent conduct. For example, the bills submitted for meals and entertainment might have been related to school board business; he may have been working away. He may also have authority to approve his own expenses below a certain amount. It is not clear.   </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i/>
              </w:rPr>
            </w:pPr>
            <w:r>
              <w:rPr>
                <w:rFonts w:ascii="Arial" w:hAnsi="Arial" w:cs="Arial"/>
              </w:rPr>
              <w:t xml:space="preserve">The ‘tip-off’ was made by the administrator’s secretary </w:t>
            </w:r>
            <w:r>
              <w:rPr>
                <w:rFonts w:ascii="Arial" w:hAnsi="Arial" w:cs="Arial"/>
                <w:i/>
              </w:rPr>
              <w:t xml:space="preserve">“when she became aware of some of these activities.” </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 xml:space="preserve">For the purposes of this question, I have made a number of assumptions: (1) that the secretary has reported some of the activities </w:t>
            </w:r>
            <w:r w:rsidRPr="00877983">
              <w:rPr>
                <w:rFonts w:ascii="Arial" w:hAnsi="Arial" w:cs="Arial"/>
                <w:u w:val="single"/>
              </w:rPr>
              <w:t>to the board</w:t>
            </w:r>
            <w:r>
              <w:rPr>
                <w:rFonts w:ascii="Arial" w:hAnsi="Arial" w:cs="Arial"/>
              </w:rPr>
              <w:t>; (2) I am answering the question from the point of view of the board; (3) the question deals with the steps up to but not including the instruction of a forensic accountant, as that is dealt with in question 3; (4) that there is no internal investigation department as that has not been expressly mentioned in the question; (4) that if the administrator is tipped off then there is a real risk of the destruction or removal of records.</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Once the information has been received from the secretary the board will need to be a preliminary assessment / evaluation to determine whether an investigation is warranted. It appears on its face in this instance that an investigation is warranted, albeit the secretary has only apparently become aware of “some” of the activities; it is not clear which ones.</w:t>
            </w:r>
          </w:p>
          <w:p w:rsidR="00375AB0" w:rsidRDefault="00375AB0" w:rsidP="00375AB0">
            <w:pPr>
              <w:spacing w:line="360" w:lineRule="auto"/>
              <w:jc w:val="both"/>
              <w:rPr>
                <w:rFonts w:ascii="Arial" w:hAnsi="Arial" w:cs="Arial"/>
              </w:rPr>
            </w:pPr>
            <w:r>
              <w:rPr>
                <w:rFonts w:ascii="Arial" w:hAnsi="Arial" w:cs="Arial"/>
              </w:rPr>
              <w:t xml:space="preserve"> </w:t>
            </w:r>
          </w:p>
          <w:p w:rsidR="00375AB0" w:rsidRDefault="00375AB0" w:rsidP="00375AB0">
            <w:pPr>
              <w:spacing w:line="360" w:lineRule="auto"/>
              <w:jc w:val="both"/>
              <w:rPr>
                <w:rFonts w:ascii="Arial" w:hAnsi="Arial" w:cs="Arial"/>
              </w:rPr>
            </w:pPr>
            <w:r>
              <w:rPr>
                <w:rFonts w:ascii="Arial" w:hAnsi="Arial" w:cs="Arial"/>
              </w:rPr>
              <w:t xml:space="preserve">The board will need to determine the scope of any investigation. Will it simply cover whether or not there has been any wrongdoing by the administrator, whether anyone else is involved, </w:t>
            </w:r>
            <w:r>
              <w:rPr>
                <w:rFonts w:ascii="Arial" w:hAnsi="Arial" w:cs="Arial"/>
              </w:rPr>
              <w:lastRenderedPageBreak/>
              <w:t xml:space="preserve">the duration and mechanics of the wrongdoing and the extent of </w:t>
            </w:r>
            <w:proofErr w:type="gramStart"/>
            <w:r>
              <w:rPr>
                <w:rFonts w:ascii="Arial" w:hAnsi="Arial" w:cs="Arial"/>
              </w:rPr>
              <w:t>losses.</w:t>
            </w:r>
            <w:proofErr w:type="gramEnd"/>
            <w:r>
              <w:rPr>
                <w:rFonts w:ascii="Arial" w:hAnsi="Arial" w:cs="Arial"/>
              </w:rPr>
              <w:t xml:space="preserve"> Or will it also extend to the root cause of any fraud and improvements that need to be made to the company’s control mechanisms. Are there any elements of the investigation that should be </w:t>
            </w:r>
            <w:proofErr w:type="spellStart"/>
            <w:r>
              <w:rPr>
                <w:rFonts w:ascii="Arial" w:hAnsi="Arial" w:cs="Arial"/>
              </w:rPr>
              <w:t>prioritised</w:t>
            </w:r>
            <w:proofErr w:type="spellEnd"/>
            <w:r>
              <w:rPr>
                <w:rFonts w:ascii="Arial" w:hAnsi="Arial" w:cs="Arial"/>
              </w:rPr>
              <w:t>?</w:t>
            </w:r>
          </w:p>
          <w:p w:rsidR="00375AB0" w:rsidRDefault="00375AB0" w:rsidP="00375AB0">
            <w:pPr>
              <w:spacing w:line="360" w:lineRule="auto"/>
              <w:jc w:val="both"/>
              <w:rPr>
                <w:rFonts w:ascii="Arial" w:hAnsi="Arial" w:cs="Arial"/>
              </w:rPr>
            </w:pPr>
            <w:r>
              <w:rPr>
                <w:rFonts w:ascii="Arial" w:hAnsi="Arial" w:cs="Arial"/>
              </w:rPr>
              <w:t xml:space="preserve">The board may want to interview the secretary at an early stage to determine the extent of the activities she has become aware of and any details. </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 xml:space="preserve">It will be important that confidentiality is maintained. </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Guidelines differ as to when the administrator should be notified that he is the subject of an investigation. Depending on the risk that he will attempt to destroy or remove records, he may not be notified until those records have been secured. Therefore the board may want to immediately secure the relevant records, ensuring that there is a clear record (in the absence of a ready supply of barcoded evidence bags and storage containers) of where those documents were initially held, and where they have been moved to, by whom and when. If it is considered that the administrator has documents at his home or that third parties have documents relating to the fraud, the board may wish to immediately engage solicitors and to obtain an Anton Pillar order i.e. a search and seizure order to preserve evidence and property.</w:t>
            </w:r>
          </w:p>
          <w:p w:rsidR="00375AB0" w:rsidRPr="00673D09" w:rsidRDefault="00375AB0" w:rsidP="00375AB0">
            <w:pPr>
              <w:spacing w:line="360" w:lineRule="auto"/>
              <w:jc w:val="both"/>
              <w:rPr>
                <w:rFonts w:ascii="Arial" w:hAnsi="Arial" w:cs="Arial"/>
              </w:rPr>
            </w:pPr>
          </w:p>
          <w:p w:rsidR="00375AB0" w:rsidRPr="00414B33" w:rsidRDefault="00375AB0" w:rsidP="00375AB0">
            <w:pPr>
              <w:spacing w:line="360" w:lineRule="auto"/>
              <w:jc w:val="both"/>
              <w:rPr>
                <w:rFonts w:ascii="Arial" w:hAnsi="Arial" w:cs="Arial"/>
              </w:rPr>
            </w:pPr>
            <w:r>
              <w:rPr>
                <w:rFonts w:ascii="Arial" w:hAnsi="Arial" w:cs="Arial"/>
              </w:rPr>
              <w:t>The board m</w:t>
            </w:r>
            <w:r w:rsidRPr="00414B33">
              <w:rPr>
                <w:rFonts w:ascii="Arial" w:hAnsi="Arial" w:cs="Arial"/>
              </w:rPr>
              <w:t xml:space="preserve">ay want to cancel </w:t>
            </w:r>
            <w:r>
              <w:rPr>
                <w:rFonts w:ascii="Arial" w:hAnsi="Arial" w:cs="Arial"/>
              </w:rPr>
              <w:t>the administrator’s</w:t>
            </w:r>
            <w:r w:rsidRPr="00414B33">
              <w:rPr>
                <w:rFonts w:ascii="Arial" w:hAnsi="Arial" w:cs="Arial"/>
              </w:rPr>
              <w:t xml:space="preserve"> credit card</w:t>
            </w:r>
            <w:r>
              <w:rPr>
                <w:rFonts w:ascii="Arial" w:hAnsi="Arial" w:cs="Arial"/>
              </w:rPr>
              <w:t xml:space="preserve">s with immediate effect and notify the bank that his signing authority (for </w:t>
            </w:r>
            <w:proofErr w:type="spellStart"/>
            <w:r>
              <w:rPr>
                <w:rFonts w:ascii="Arial" w:hAnsi="Arial" w:cs="Arial"/>
              </w:rPr>
              <w:t>cheques</w:t>
            </w:r>
            <w:proofErr w:type="spellEnd"/>
            <w:r>
              <w:rPr>
                <w:rFonts w:ascii="Arial" w:hAnsi="Arial" w:cs="Arial"/>
              </w:rPr>
              <w:t>) is revoked in order to prevent further losses. Though this may depend on whether the board wishes to avoid tipping off the administrator at this point.</w:t>
            </w:r>
          </w:p>
          <w:p w:rsidR="00375AB0" w:rsidRPr="00ED044C" w:rsidRDefault="00375AB0" w:rsidP="00375AB0">
            <w:pPr>
              <w:pStyle w:val="ListParagraph"/>
              <w:spacing w:line="360" w:lineRule="auto"/>
              <w:jc w:val="both"/>
              <w:rPr>
                <w:rFonts w:ascii="Arial" w:hAnsi="Arial" w:cs="Arial"/>
                <w:b/>
              </w:rPr>
            </w:pPr>
          </w:p>
          <w:p w:rsidR="00375AB0" w:rsidRDefault="00375AB0" w:rsidP="00375AB0">
            <w:pPr>
              <w:pStyle w:val="ListParagraph"/>
              <w:numPr>
                <w:ilvl w:val="0"/>
                <w:numId w:val="6"/>
              </w:numPr>
              <w:spacing w:line="360" w:lineRule="auto"/>
              <w:jc w:val="both"/>
              <w:rPr>
                <w:rFonts w:ascii="Arial" w:hAnsi="Arial" w:cs="Arial"/>
                <w:b/>
              </w:rPr>
            </w:pPr>
            <w:r w:rsidRPr="00ED044C">
              <w:rPr>
                <w:rFonts w:ascii="Arial" w:hAnsi="Arial" w:cs="Arial"/>
                <w:b/>
              </w:rPr>
              <w:t>Outline some documents which you think can help disclose the administrator’s fraud activities</w:t>
            </w:r>
            <w:r>
              <w:rPr>
                <w:rFonts w:ascii="Arial" w:hAnsi="Arial" w:cs="Arial"/>
                <w:b/>
              </w:rPr>
              <w:t>.</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Pr>
                <w:rFonts w:ascii="Arial" w:hAnsi="Arial" w:cs="Arial"/>
              </w:rPr>
              <w:t>Any investigator should consider gathering and securing the following documents, although priority should be given at an initial stage to original documents to which the administrator (or any accomplices) have ready access to and could remove or destroy. Documents such as credit card statements and bank account statements can be obtained from the bank at a slightly later stage.</w:t>
            </w:r>
          </w:p>
          <w:p w:rsidR="00375AB0" w:rsidRDefault="00375AB0" w:rsidP="00375AB0">
            <w:pPr>
              <w:spacing w:line="360" w:lineRule="auto"/>
              <w:jc w:val="both"/>
              <w:rPr>
                <w:rFonts w:ascii="Arial" w:hAnsi="Arial" w:cs="Arial"/>
              </w:rPr>
            </w:pP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Credit card statements (for accounts to which the administrator has access)</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Bank account statements (for accounts to which the administrator has access)</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Any expense claim forms used to submit mileage expenses</w:t>
            </w:r>
          </w:p>
          <w:p w:rsidR="00375AB0" w:rsidRDefault="00375AB0" w:rsidP="00375AB0">
            <w:pPr>
              <w:pStyle w:val="ListParagraph"/>
              <w:numPr>
                <w:ilvl w:val="0"/>
                <w:numId w:val="4"/>
              </w:numPr>
              <w:spacing w:line="360" w:lineRule="auto"/>
              <w:jc w:val="both"/>
              <w:rPr>
                <w:rFonts w:ascii="Arial" w:hAnsi="Arial" w:cs="Arial"/>
              </w:rPr>
            </w:pPr>
            <w:proofErr w:type="spellStart"/>
            <w:r>
              <w:rPr>
                <w:rFonts w:ascii="Arial" w:hAnsi="Arial" w:cs="Arial"/>
              </w:rPr>
              <w:lastRenderedPageBreak/>
              <w:t>Cheque</w:t>
            </w:r>
            <w:proofErr w:type="spellEnd"/>
            <w:r>
              <w:rPr>
                <w:rFonts w:ascii="Arial" w:hAnsi="Arial" w:cs="Arial"/>
              </w:rPr>
              <w:t xml:space="preserve"> stubs</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 xml:space="preserve">The administrator’s bank is likely to hold the originals and/or hard or electronic copies of any </w:t>
            </w:r>
            <w:proofErr w:type="spellStart"/>
            <w:r>
              <w:rPr>
                <w:rFonts w:ascii="Arial" w:hAnsi="Arial" w:cs="Arial"/>
              </w:rPr>
              <w:t>cheques</w:t>
            </w:r>
            <w:proofErr w:type="spellEnd"/>
            <w:r>
              <w:rPr>
                <w:rFonts w:ascii="Arial" w:hAnsi="Arial" w:cs="Arial"/>
              </w:rPr>
              <w:t xml:space="preserve"> that were signed by the administrator. </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 xml:space="preserve">Original invoices and receipts prepared / submitted / filed by the administrator for meals, entertainment and car repairs. </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Electronic evidence: The board may want to access the administrator’s computer or laptop (if this belongs to the school board). Some of the records may be stored on his computer. There may also be emails on the administrator’s laptop where he has admitted to his wrongdoing or revealed the extent of it. Likewise there may be relevant records on his secretary’s computer, and so that should be secured too.</w:t>
            </w:r>
          </w:p>
          <w:p w:rsidR="00375AB0" w:rsidRDefault="00375AB0" w:rsidP="00375AB0">
            <w:pPr>
              <w:pStyle w:val="ListParagraph"/>
              <w:numPr>
                <w:ilvl w:val="0"/>
                <w:numId w:val="4"/>
              </w:numPr>
              <w:spacing w:line="360" w:lineRule="auto"/>
              <w:jc w:val="both"/>
              <w:rPr>
                <w:rFonts w:ascii="Arial" w:hAnsi="Arial" w:cs="Arial"/>
              </w:rPr>
            </w:pPr>
            <w:r>
              <w:rPr>
                <w:rFonts w:ascii="Arial" w:hAnsi="Arial" w:cs="Arial"/>
              </w:rPr>
              <w:t>The secretary should be interviewed but the point at which this should be done should be considered carefully. She may have been an accomplice and following a disagreement reported the administrator. It will be important to consider that she will not destroy documents that could be relevant, or at the very least ensure that she is interviewed after relevant documents to which she has access have been secured. It will also be important to have confidence that she will not tip-off the administrator if the administrator has not yet been formally notified.</w:t>
            </w:r>
          </w:p>
          <w:p w:rsidR="00375AB0" w:rsidRDefault="00375AB0" w:rsidP="00375AB0">
            <w:pPr>
              <w:pStyle w:val="ListParagraph"/>
              <w:spacing w:line="360" w:lineRule="auto"/>
              <w:jc w:val="both"/>
              <w:rPr>
                <w:rFonts w:ascii="Arial" w:hAnsi="Arial" w:cs="Arial"/>
              </w:rPr>
            </w:pPr>
          </w:p>
          <w:p w:rsidR="00375AB0" w:rsidRPr="00673D09" w:rsidRDefault="00375AB0" w:rsidP="00375AB0">
            <w:pPr>
              <w:spacing w:line="360" w:lineRule="auto"/>
              <w:jc w:val="both"/>
              <w:rPr>
                <w:rFonts w:ascii="Arial" w:hAnsi="Arial" w:cs="Arial"/>
              </w:rPr>
            </w:pPr>
            <w:r>
              <w:rPr>
                <w:rFonts w:ascii="Arial" w:hAnsi="Arial" w:cs="Arial"/>
              </w:rPr>
              <w:t xml:space="preserve">If it is considered that the administrator has documents at his home or that third parties have documents relating to the fraud, the board may wish to immediately engage solicitors and to consider obtaining an Anton Pillar order i.e. a search and seizure order. </w:t>
            </w:r>
          </w:p>
          <w:p w:rsidR="00375AB0" w:rsidRPr="001C66DA" w:rsidRDefault="00375AB0" w:rsidP="00375AB0">
            <w:pPr>
              <w:pStyle w:val="ListParagraph"/>
              <w:rPr>
                <w:rFonts w:ascii="Arial" w:hAnsi="Arial" w:cs="Arial"/>
              </w:rPr>
            </w:pPr>
          </w:p>
          <w:p w:rsidR="00375AB0" w:rsidRDefault="00375AB0" w:rsidP="00375AB0">
            <w:pPr>
              <w:pStyle w:val="ListParagraph"/>
              <w:numPr>
                <w:ilvl w:val="0"/>
                <w:numId w:val="6"/>
              </w:numPr>
              <w:spacing w:line="360" w:lineRule="auto"/>
              <w:jc w:val="both"/>
              <w:rPr>
                <w:rFonts w:ascii="Arial" w:hAnsi="Arial" w:cs="Arial"/>
                <w:b/>
              </w:rPr>
            </w:pPr>
            <w:r w:rsidRPr="00ED044C">
              <w:rPr>
                <w:rFonts w:ascii="Arial" w:hAnsi="Arial" w:cs="Arial"/>
                <w:b/>
              </w:rPr>
              <w:t>If the forensic accountant is to be hired, how should he be chosen?</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rPr>
            </w:pPr>
            <w:r w:rsidRPr="007A23CB">
              <w:rPr>
                <w:rFonts w:ascii="Arial" w:hAnsi="Arial" w:cs="Arial"/>
              </w:rPr>
              <w:t>If a forensic accountant is to be hired, the following factors should be considered:</w:t>
            </w:r>
          </w:p>
          <w:p w:rsidR="00375AB0" w:rsidRPr="007A23CB" w:rsidRDefault="00375AB0" w:rsidP="00375AB0">
            <w:pPr>
              <w:spacing w:line="360" w:lineRule="auto"/>
              <w:jc w:val="both"/>
              <w:rPr>
                <w:rFonts w:ascii="Arial" w:hAnsi="Arial" w:cs="Arial"/>
              </w:rPr>
            </w:pPr>
          </w:p>
          <w:p w:rsidR="00375AB0" w:rsidRDefault="00375AB0" w:rsidP="00375AB0">
            <w:pPr>
              <w:pStyle w:val="ListParagraph"/>
              <w:numPr>
                <w:ilvl w:val="0"/>
                <w:numId w:val="7"/>
              </w:numPr>
              <w:spacing w:line="360" w:lineRule="auto"/>
              <w:jc w:val="both"/>
              <w:rPr>
                <w:rFonts w:ascii="Arial" w:hAnsi="Arial" w:cs="Arial"/>
              </w:rPr>
            </w:pPr>
            <w:r>
              <w:rPr>
                <w:rFonts w:ascii="Arial" w:hAnsi="Arial" w:cs="Arial"/>
              </w:rPr>
              <w:t>Does the forensic accountant have the required experience and skills? Has the forensic accountant undertaken similar investigations of a similar complexity and size? Can anyone recommend a forensic accountant with the required skills and personal qualities?</w:t>
            </w:r>
          </w:p>
          <w:p w:rsidR="00375AB0" w:rsidRDefault="00375AB0" w:rsidP="00375AB0">
            <w:pPr>
              <w:pStyle w:val="ListParagraph"/>
              <w:spacing w:line="360" w:lineRule="auto"/>
              <w:jc w:val="both"/>
              <w:rPr>
                <w:rFonts w:ascii="Arial" w:hAnsi="Arial" w:cs="Arial"/>
              </w:rPr>
            </w:pPr>
          </w:p>
          <w:p w:rsidR="00375AB0" w:rsidRDefault="00375AB0" w:rsidP="00375AB0">
            <w:pPr>
              <w:pStyle w:val="ListParagraph"/>
              <w:numPr>
                <w:ilvl w:val="0"/>
                <w:numId w:val="7"/>
              </w:numPr>
              <w:spacing w:line="360" w:lineRule="auto"/>
              <w:jc w:val="both"/>
              <w:rPr>
                <w:rFonts w:ascii="Arial" w:hAnsi="Arial" w:cs="Arial"/>
              </w:rPr>
            </w:pPr>
            <w:r>
              <w:rPr>
                <w:rFonts w:ascii="Arial" w:hAnsi="Arial" w:cs="Arial"/>
              </w:rPr>
              <w:t xml:space="preserve">Is there any actual or potential conflicts of interest? Does the forensic investigator know the administrator? Is the forensic accountant from the same firm that audits the school board or has the same firm been instructed on a previous occasion? Or has that firm been instructed by the administrator in a personal capacity on a previous occasion. This may not automatically result in a conflict of interest but should be considered carefully. </w:t>
            </w:r>
          </w:p>
          <w:p w:rsidR="00375AB0" w:rsidRPr="007A23CB" w:rsidRDefault="00375AB0" w:rsidP="00375AB0">
            <w:pPr>
              <w:pStyle w:val="ListParagraph"/>
              <w:spacing w:line="360" w:lineRule="auto"/>
              <w:jc w:val="both"/>
              <w:rPr>
                <w:rFonts w:ascii="Arial" w:hAnsi="Arial" w:cs="Arial"/>
              </w:rPr>
            </w:pPr>
          </w:p>
          <w:p w:rsidR="00375AB0" w:rsidRDefault="00375AB0" w:rsidP="00375AB0">
            <w:pPr>
              <w:pStyle w:val="ListParagraph"/>
              <w:numPr>
                <w:ilvl w:val="0"/>
                <w:numId w:val="7"/>
              </w:numPr>
              <w:spacing w:line="360" w:lineRule="auto"/>
              <w:jc w:val="both"/>
              <w:rPr>
                <w:rFonts w:ascii="Arial" w:hAnsi="Arial" w:cs="Arial"/>
              </w:rPr>
            </w:pPr>
            <w:r>
              <w:rPr>
                <w:rFonts w:ascii="Arial" w:hAnsi="Arial" w:cs="Arial"/>
              </w:rPr>
              <w:t xml:space="preserve">Will the forensic investigator conduct a fact finding exercise with professionalism, integrity and ethical </w:t>
            </w:r>
            <w:proofErr w:type="spellStart"/>
            <w:r>
              <w:rPr>
                <w:rFonts w:ascii="Arial" w:hAnsi="Arial" w:cs="Arial"/>
              </w:rPr>
              <w:t>behaviour</w:t>
            </w:r>
            <w:proofErr w:type="spellEnd"/>
            <w:r>
              <w:rPr>
                <w:rFonts w:ascii="Arial" w:hAnsi="Arial" w:cs="Arial"/>
              </w:rPr>
              <w:t xml:space="preserve">, objectivity and impartiality. </w:t>
            </w:r>
          </w:p>
          <w:p w:rsidR="00375AB0" w:rsidRPr="007038D0" w:rsidRDefault="00375AB0" w:rsidP="00375AB0">
            <w:pPr>
              <w:pStyle w:val="ListParagraph"/>
              <w:rPr>
                <w:rFonts w:ascii="Arial" w:hAnsi="Arial" w:cs="Arial"/>
              </w:rPr>
            </w:pPr>
          </w:p>
          <w:p w:rsidR="00375AB0" w:rsidRPr="007A23CB" w:rsidRDefault="00375AB0" w:rsidP="00375AB0">
            <w:pPr>
              <w:pStyle w:val="ListParagraph"/>
              <w:numPr>
                <w:ilvl w:val="0"/>
                <w:numId w:val="7"/>
              </w:numPr>
              <w:spacing w:line="360" w:lineRule="auto"/>
              <w:jc w:val="both"/>
              <w:rPr>
                <w:rFonts w:ascii="Arial" w:hAnsi="Arial" w:cs="Arial"/>
              </w:rPr>
            </w:pPr>
            <w:r>
              <w:rPr>
                <w:rFonts w:ascii="Arial" w:hAnsi="Arial" w:cs="Arial"/>
              </w:rPr>
              <w:t xml:space="preserve">Cost – Is the cost of instructing the forensic accountant commensurate with the scale and scope of investigation and potentially recoverable losses. </w:t>
            </w:r>
          </w:p>
          <w:p w:rsidR="00375AB0" w:rsidRPr="00ED044C" w:rsidRDefault="00375AB0" w:rsidP="00375AB0">
            <w:pPr>
              <w:pStyle w:val="ListParagraph"/>
              <w:spacing w:line="360" w:lineRule="auto"/>
              <w:jc w:val="both"/>
              <w:rPr>
                <w:rFonts w:ascii="Arial" w:hAnsi="Arial" w:cs="Arial"/>
                <w:b/>
              </w:rPr>
            </w:pPr>
          </w:p>
          <w:p w:rsidR="00375AB0" w:rsidRDefault="00375AB0" w:rsidP="00375AB0">
            <w:pPr>
              <w:pStyle w:val="ListParagraph"/>
              <w:numPr>
                <w:ilvl w:val="0"/>
                <w:numId w:val="6"/>
              </w:numPr>
              <w:spacing w:line="360" w:lineRule="auto"/>
              <w:jc w:val="both"/>
              <w:rPr>
                <w:rFonts w:ascii="Arial" w:hAnsi="Arial" w:cs="Arial"/>
                <w:b/>
              </w:rPr>
            </w:pPr>
            <w:r w:rsidRPr="00ED044C">
              <w:rPr>
                <w:rFonts w:ascii="Arial" w:hAnsi="Arial" w:cs="Arial"/>
                <w:b/>
              </w:rPr>
              <w:t>Should the administrator be interviewed? If so at what stage?</w:t>
            </w:r>
          </w:p>
          <w:p w:rsidR="00375AB0" w:rsidRDefault="00375AB0" w:rsidP="00375AB0">
            <w:pPr>
              <w:spacing w:line="360" w:lineRule="auto"/>
              <w:jc w:val="both"/>
              <w:rPr>
                <w:rFonts w:ascii="Arial" w:hAnsi="Arial" w:cs="Arial"/>
              </w:rPr>
            </w:pPr>
            <w:r>
              <w:rPr>
                <w:rFonts w:ascii="Arial" w:hAnsi="Arial" w:cs="Arial"/>
              </w:rPr>
              <w:t>According to WIPO guidelines</w:t>
            </w:r>
            <w:r>
              <w:rPr>
                <w:rStyle w:val="FootnoteReference"/>
                <w:rFonts w:ascii="Arial" w:hAnsi="Arial" w:cs="Arial"/>
              </w:rPr>
              <w:footnoteReference w:id="23"/>
            </w:r>
            <w:r>
              <w:rPr>
                <w:rFonts w:ascii="Arial" w:hAnsi="Arial" w:cs="Arial"/>
              </w:rPr>
              <w:t xml:space="preserve"> </w:t>
            </w:r>
          </w:p>
          <w:p w:rsidR="00375AB0" w:rsidRDefault="00375AB0" w:rsidP="00375AB0">
            <w:pPr>
              <w:spacing w:line="360" w:lineRule="auto"/>
              <w:jc w:val="both"/>
              <w:rPr>
                <w:rFonts w:ascii="Arial" w:hAnsi="Arial" w:cs="Arial"/>
              </w:rPr>
            </w:pPr>
          </w:p>
          <w:p w:rsidR="00375AB0" w:rsidRDefault="00375AB0" w:rsidP="00375AB0">
            <w:pPr>
              <w:spacing w:line="360" w:lineRule="auto"/>
              <w:jc w:val="both"/>
              <w:rPr>
                <w:rFonts w:ascii="Arial" w:hAnsi="Arial" w:cs="Arial"/>
                <w:i/>
              </w:rPr>
            </w:pPr>
            <w:r>
              <w:rPr>
                <w:rFonts w:ascii="Arial" w:hAnsi="Arial" w:cs="Arial"/>
                <w:i/>
              </w:rPr>
              <w:t xml:space="preserve">“104. When a person is identified as a subject they will be notified in writing of the alleged misconduct and will be requested to attend an interview and provide any information which may be exculpatory or mitigating. </w:t>
            </w:r>
          </w:p>
          <w:p w:rsidR="00375AB0" w:rsidRDefault="00375AB0" w:rsidP="00375AB0">
            <w:pPr>
              <w:spacing w:line="360" w:lineRule="auto"/>
              <w:jc w:val="both"/>
              <w:rPr>
                <w:rFonts w:ascii="Arial" w:hAnsi="Arial" w:cs="Arial"/>
                <w:i/>
              </w:rPr>
            </w:pPr>
            <w:r>
              <w:rPr>
                <w:rFonts w:ascii="Arial" w:hAnsi="Arial" w:cs="Arial"/>
                <w:i/>
              </w:rPr>
              <w:t>105. Normally interviews with a subject will take place after available witnesses have been interviewed, to enable the subject to provide exculpatory or mitigating information on the gathered evidence.”</w:t>
            </w:r>
          </w:p>
          <w:p w:rsidR="00375AB0" w:rsidRDefault="00375AB0" w:rsidP="00375AB0">
            <w:pPr>
              <w:spacing w:line="360" w:lineRule="auto"/>
              <w:jc w:val="both"/>
              <w:rPr>
                <w:rFonts w:ascii="Arial" w:hAnsi="Arial" w:cs="Arial"/>
                <w:i/>
              </w:rPr>
            </w:pPr>
          </w:p>
          <w:p w:rsidR="00375AB0" w:rsidRDefault="00375AB0" w:rsidP="00375AB0">
            <w:pPr>
              <w:spacing w:line="360" w:lineRule="auto"/>
              <w:jc w:val="both"/>
              <w:rPr>
                <w:rFonts w:ascii="Arial" w:hAnsi="Arial" w:cs="Arial"/>
              </w:rPr>
            </w:pPr>
            <w:r>
              <w:rPr>
                <w:rFonts w:ascii="Arial" w:hAnsi="Arial" w:cs="Arial"/>
              </w:rPr>
              <w:t xml:space="preserve">The United National Development Programme Investigation Guidelines says that their guidelines </w:t>
            </w:r>
            <w:r>
              <w:rPr>
                <w:rFonts w:ascii="Arial" w:hAnsi="Arial" w:cs="Arial"/>
                <w:i/>
              </w:rPr>
              <w:t xml:space="preserve">“are a guide to best practice but are not mandatory in every situation. To ensure consistence in the investigation of OAI cases, investigations are to be conducted in accordance with these guidelines to the extent possible. However, the circumstances of a particular investigation – </w:t>
            </w:r>
            <w:r w:rsidRPr="00EA785D">
              <w:rPr>
                <w:rFonts w:ascii="Arial" w:hAnsi="Arial" w:cs="Arial"/>
                <w:b/>
                <w:i/>
              </w:rPr>
              <w:t>for example, the need to preserve evidence before notifying a subject</w:t>
            </w:r>
            <w:r>
              <w:rPr>
                <w:rFonts w:ascii="Arial" w:hAnsi="Arial" w:cs="Arial"/>
                <w:i/>
              </w:rPr>
              <w:t xml:space="preserve"> – may necessarily affect the application of the guidelines to the specific circumstances of a case…”</w:t>
            </w:r>
            <w:r>
              <w:rPr>
                <w:rStyle w:val="FootnoteReference"/>
                <w:rFonts w:ascii="Arial" w:hAnsi="Arial" w:cs="Arial"/>
                <w:i/>
              </w:rPr>
              <w:footnoteReference w:id="24"/>
            </w:r>
            <w:r>
              <w:rPr>
                <w:rFonts w:ascii="Arial" w:hAnsi="Arial" w:cs="Arial"/>
                <w:i/>
              </w:rPr>
              <w:t xml:space="preserve"> </w:t>
            </w:r>
            <w:r>
              <w:rPr>
                <w:rFonts w:ascii="Arial" w:hAnsi="Arial" w:cs="Arial"/>
              </w:rPr>
              <w:t xml:space="preserve">(emphasis added). </w:t>
            </w:r>
          </w:p>
          <w:p w:rsidR="00375AB0" w:rsidRDefault="00375AB0" w:rsidP="00375AB0">
            <w:pPr>
              <w:spacing w:line="360" w:lineRule="auto"/>
              <w:jc w:val="both"/>
              <w:rPr>
                <w:rFonts w:ascii="Arial" w:hAnsi="Arial" w:cs="Arial"/>
              </w:rPr>
            </w:pPr>
          </w:p>
          <w:p w:rsidR="00375AB0" w:rsidRPr="00EA785D" w:rsidRDefault="00375AB0" w:rsidP="00375AB0">
            <w:pPr>
              <w:spacing w:line="360" w:lineRule="auto"/>
              <w:jc w:val="both"/>
              <w:rPr>
                <w:rFonts w:ascii="Arial" w:hAnsi="Arial" w:cs="Arial"/>
              </w:rPr>
            </w:pPr>
            <w:r>
              <w:rPr>
                <w:rFonts w:ascii="Arial" w:hAnsi="Arial" w:cs="Arial"/>
              </w:rPr>
              <w:t xml:space="preserve">The administrator should be interviewed. Obviously this should take place after he has been notified that he is the subject of an investigation. Ideally the interview should take place after other witnesses have been interviewed. It should certainly take place after relevant evidence has been secured. </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375AB0" w:rsidRDefault="00375AB0"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375AB0">
        <w:trPr>
          <w:trHeight w:val="992"/>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Default="00375AB0" w:rsidP="00A851DA">
            <w:pPr>
              <w:rPr>
                <w:rFonts w:cs="Bliss-Regular"/>
                <w:color w:val="000000"/>
              </w:rPr>
            </w:pPr>
            <w:r>
              <w:rPr>
                <w:noProof/>
                <w:lang w:eastAsia="en-GB"/>
              </w:rPr>
              <w:drawing>
                <wp:inline distT="0" distB="0" distL="0" distR="0" wp14:anchorId="603CF0C8" wp14:editId="1CEE1FB8">
                  <wp:extent cx="142875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428750" cy="495300"/>
                          </a:xfrm>
                          <a:prstGeom prst="rect">
                            <a:avLst/>
                          </a:prstGeom>
                        </pic:spPr>
                      </pic:pic>
                    </a:graphicData>
                  </a:graphic>
                </wp:inline>
              </w:drawing>
            </w:r>
          </w:p>
          <w:p w:rsidR="00375AB0" w:rsidRDefault="00375AB0" w:rsidP="00A851DA">
            <w:pPr>
              <w:rPr>
                <w:rFonts w:cs="Bliss-Regular"/>
                <w:color w:val="000000"/>
              </w:rPr>
            </w:pPr>
          </w:p>
          <w:p w:rsidR="00375AB0" w:rsidRPr="00B0415E" w:rsidRDefault="00375AB0"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75AB0" w:rsidP="00A851DA">
            <w:pPr>
              <w:rPr>
                <w:rFonts w:cs="Bliss-Regular"/>
                <w:color w:val="000000"/>
              </w:rPr>
            </w:pPr>
            <w:r>
              <w:rPr>
                <w:rFonts w:cs="Bliss-Regular"/>
                <w:color w:val="000000"/>
              </w:rPr>
              <w:t>9/8/17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 w:id="1">
    <w:p w:rsidR="00375AB0" w:rsidRDefault="00375AB0" w:rsidP="00375AB0">
      <w:pPr>
        <w:pStyle w:val="FootnoteText"/>
      </w:pPr>
      <w:r>
        <w:rPr>
          <w:rStyle w:val="FootnoteReference"/>
        </w:rPr>
        <w:footnoteRef/>
      </w:r>
      <w:r>
        <w:t xml:space="preserve"> ‘</w:t>
      </w:r>
      <w:r w:rsidRPr="008F6A7F">
        <w:rPr>
          <w:i/>
        </w:rPr>
        <w:t xml:space="preserve">Report to the National on Occupational Fraud and Abuse </w:t>
      </w:r>
      <w:proofErr w:type="gramStart"/>
      <w:r w:rsidRPr="008F6A7F">
        <w:rPr>
          <w:i/>
        </w:rPr>
        <w:t>-  2014</w:t>
      </w:r>
      <w:proofErr w:type="gramEnd"/>
      <w:r w:rsidRPr="008F6A7F">
        <w:rPr>
          <w:i/>
        </w:rPr>
        <w:t xml:space="preserve"> Global Fraud Study’</w:t>
      </w:r>
      <w:r>
        <w:t xml:space="preserve">, Association of Certified Fraud Examiners. See introduction. Available at </w:t>
      </w:r>
      <w:hyperlink r:id="rId1" w:history="1">
        <w:r w:rsidRPr="00BE379E">
          <w:rPr>
            <w:rStyle w:val="Hyperlink"/>
          </w:rPr>
          <w:t>http://www.acfe.com/rttn-introduction.aspx</w:t>
        </w:r>
      </w:hyperlink>
      <w:r>
        <w:t xml:space="preserve"> </w:t>
      </w:r>
    </w:p>
  </w:footnote>
  <w:footnote w:id="2">
    <w:p w:rsidR="00375AB0" w:rsidRDefault="00375AB0" w:rsidP="00375AB0">
      <w:pPr>
        <w:pStyle w:val="FootnoteText"/>
      </w:pPr>
      <w:r>
        <w:rPr>
          <w:rStyle w:val="FootnoteReference"/>
        </w:rPr>
        <w:footnoteRef/>
      </w:r>
      <w:hyperlink r:id="rId2" w:history="1">
        <w:r w:rsidRPr="00BE379E">
          <w:rPr>
            <w:rStyle w:val="Hyperlink"/>
          </w:rPr>
          <w:t>http://www.cipfa.org/html/elearning/nasbm/fraud%20awareness/resources/frauddefinitionandexamples.pdf</w:t>
        </w:r>
      </w:hyperlink>
      <w:r>
        <w:t xml:space="preserve"> </w:t>
      </w:r>
    </w:p>
  </w:footnote>
  <w:footnote w:id="3">
    <w:p w:rsidR="00375AB0" w:rsidRPr="00CB552A" w:rsidRDefault="00375AB0" w:rsidP="00375AB0">
      <w:pPr>
        <w:pStyle w:val="FootnoteText"/>
        <w:rPr>
          <w:i/>
        </w:rPr>
      </w:pPr>
      <w:r>
        <w:rPr>
          <w:rStyle w:val="FootnoteReference"/>
        </w:rPr>
        <w:footnoteRef/>
      </w:r>
      <w:r>
        <w:t xml:space="preserve"> </w:t>
      </w:r>
      <w:r>
        <w:rPr>
          <w:i/>
        </w:rPr>
        <w:t>ibid</w:t>
      </w:r>
    </w:p>
  </w:footnote>
  <w:footnote w:id="4">
    <w:p w:rsidR="00375AB0" w:rsidRDefault="00375AB0" w:rsidP="00375AB0">
      <w:pPr>
        <w:pStyle w:val="FootnoteText"/>
      </w:pPr>
      <w:r>
        <w:rPr>
          <w:rStyle w:val="FootnoteReference"/>
        </w:rPr>
        <w:footnoteRef/>
      </w:r>
      <w:r>
        <w:t xml:space="preserve"> Learning materials  - Unit 1 – page 6</w:t>
      </w:r>
    </w:p>
  </w:footnote>
  <w:footnote w:id="5">
    <w:p w:rsidR="00375AB0" w:rsidRDefault="00375AB0" w:rsidP="00375AB0">
      <w:pPr>
        <w:pStyle w:val="FootnoteText"/>
      </w:pPr>
      <w:r>
        <w:rPr>
          <w:rStyle w:val="FootnoteReference"/>
        </w:rPr>
        <w:footnoteRef/>
      </w:r>
      <w:r>
        <w:t xml:space="preserve"> </w:t>
      </w:r>
      <w:proofErr w:type="spellStart"/>
      <w:r>
        <w:t>PriceWaterhouse</w:t>
      </w:r>
      <w:proofErr w:type="spellEnd"/>
      <w:r>
        <w:t xml:space="preserve"> Coopers </w:t>
      </w:r>
      <w:r>
        <w:rPr>
          <w:i/>
        </w:rPr>
        <w:t xml:space="preserve">‘Key Elements of Antifraud Programs and Controls – A White Paper,’ </w:t>
      </w:r>
      <w:r>
        <w:t>(2003) page 1</w:t>
      </w:r>
    </w:p>
  </w:footnote>
  <w:footnote w:id="6">
    <w:p w:rsidR="00375AB0" w:rsidRPr="00124ABE" w:rsidRDefault="00375AB0" w:rsidP="00375AB0">
      <w:pPr>
        <w:pStyle w:val="FootnoteText"/>
      </w:pPr>
      <w:r>
        <w:rPr>
          <w:rStyle w:val="FootnoteReference"/>
        </w:rPr>
        <w:footnoteRef/>
      </w:r>
      <w:r>
        <w:t xml:space="preserve"> </w:t>
      </w:r>
      <w:proofErr w:type="spellStart"/>
      <w:r>
        <w:t>PriceWaterhouse</w:t>
      </w:r>
      <w:proofErr w:type="spellEnd"/>
      <w:r>
        <w:t xml:space="preserve"> Coopers </w:t>
      </w:r>
      <w:r>
        <w:rPr>
          <w:i/>
        </w:rPr>
        <w:t xml:space="preserve">‘Key Elements of Antifraud Programs and Controls – A White Paper,’ </w:t>
      </w:r>
      <w:r>
        <w:t>(2003) page 1</w:t>
      </w:r>
    </w:p>
  </w:footnote>
  <w:footnote w:id="7">
    <w:p w:rsidR="00375AB0" w:rsidRDefault="00375AB0" w:rsidP="00375AB0">
      <w:pPr>
        <w:pStyle w:val="FootnoteText"/>
      </w:pPr>
      <w:r>
        <w:rPr>
          <w:rStyle w:val="FootnoteReference"/>
        </w:rPr>
        <w:footnoteRef/>
      </w:r>
      <w:r>
        <w:t xml:space="preserve"> Available at </w:t>
      </w:r>
      <w:hyperlink r:id="rId3" w:history="1">
        <w:r w:rsidRPr="00BE379E">
          <w:rPr>
            <w:rStyle w:val="Hyperlink"/>
          </w:rPr>
          <w:t>http://www.legislation.gov.uk/ukpga/2006/35/contents</w:t>
        </w:r>
      </w:hyperlink>
      <w:r>
        <w:t xml:space="preserve"> </w:t>
      </w:r>
    </w:p>
  </w:footnote>
  <w:footnote w:id="8">
    <w:p w:rsidR="00375AB0" w:rsidRDefault="00375AB0" w:rsidP="00375AB0">
      <w:pPr>
        <w:pStyle w:val="FootnoteText"/>
      </w:pPr>
      <w:r>
        <w:rPr>
          <w:rStyle w:val="FootnoteReference"/>
        </w:rPr>
        <w:footnoteRef/>
      </w:r>
      <w:r>
        <w:t xml:space="preserve"> Fraud Act 2006 s1(1) and (2)</w:t>
      </w:r>
    </w:p>
  </w:footnote>
  <w:footnote w:id="9">
    <w:p w:rsidR="00375AB0" w:rsidRDefault="00375AB0" w:rsidP="00375AB0">
      <w:pPr>
        <w:pStyle w:val="FootnoteText"/>
      </w:pPr>
      <w:r>
        <w:rPr>
          <w:rStyle w:val="FootnoteReference"/>
        </w:rPr>
        <w:footnoteRef/>
      </w:r>
      <w:r>
        <w:t xml:space="preserve"> Fraud Act 2006 s2</w:t>
      </w:r>
    </w:p>
  </w:footnote>
  <w:footnote w:id="10">
    <w:p w:rsidR="00375AB0" w:rsidRDefault="00375AB0" w:rsidP="00375AB0">
      <w:pPr>
        <w:pStyle w:val="FootnoteText"/>
      </w:pPr>
      <w:r>
        <w:rPr>
          <w:rStyle w:val="FootnoteReference"/>
        </w:rPr>
        <w:footnoteRef/>
      </w:r>
      <w:r>
        <w:t xml:space="preserve"> Fraud Act 2006 s2(1)</w:t>
      </w:r>
    </w:p>
  </w:footnote>
  <w:footnote w:id="11">
    <w:p w:rsidR="00375AB0" w:rsidRDefault="00375AB0" w:rsidP="00375AB0">
      <w:pPr>
        <w:pStyle w:val="FootnoteText"/>
      </w:pPr>
      <w:r>
        <w:rPr>
          <w:rStyle w:val="FootnoteReference"/>
        </w:rPr>
        <w:footnoteRef/>
      </w:r>
      <w:r>
        <w:t xml:space="preserve"> Fraud Act 2006 s3</w:t>
      </w:r>
    </w:p>
  </w:footnote>
  <w:footnote w:id="12">
    <w:p w:rsidR="00375AB0" w:rsidRPr="00124ABE" w:rsidRDefault="00375AB0" w:rsidP="00375AB0">
      <w:pPr>
        <w:pStyle w:val="FootnoteText"/>
      </w:pPr>
      <w:r>
        <w:rPr>
          <w:rStyle w:val="FootnoteReference"/>
        </w:rPr>
        <w:footnoteRef/>
      </w:r>
      <w:r>
        <w:t xml:space="preserve"> </w:t>
      </w:r>
      <w:r>
        <w:rPr>
          <w:i/>
        </w:rPr>
        <w:t>Ibid</w:t>
      </w:r>
    </w:p>
  </w:footnote>
  <w:footnote w:id="13">
    <w:p w:rsidR="00375AB0" w:rsidRDefault="00375AB0" w:rsidP="00375AB0">
      <w:pPr>
        <w:pStyle w:val="FootnoteText"/>
      </w:pPr>
      <w:r>
        <w:rPr>
          <w:rStyle w:val="FootnoteReference"/>
        </w:rPr>
        <w:footnoteRef/>
      </w:r>
      <w:r>
        <w:t xml:space="preserve"> Fraud Act 2006 s4</w:t>
      </w:r>
    </w:p>
  </w:footnote>
  <w:footnote w:id="14">
    <w:p w:rsidR="00375AB0" w:rsidRDefault="00375AB0" w:rsidP="00375AB0">
      <w:pPr>
        <w:pStyle w:val="FootnoteText"/>
      </w:pPr>
      <w:r>
        <w:rPr>
          <w:rStyle w:val="FootnoteReference"/>
        </w:rPr>
        <w:footnoteRef/>
      </w:r>
      <w:r>
        <w:t xml:space="preserve"> Fraud Act 2006 s4(1)</w:t>
      </w:r>
    </w:p>
  </w:footnote>
  <w:footnote w:id="15">
    <w:p w:rsidR="00375AB0" w:rsidRDefault="00375AB0" w:rsidP="00375AB0">
      <w:pPr>
        <w:pStyle w:val="FootnoteText"/>
      </w:pPr>
      <w:r>
        <w:rPr>
          <w:rStyle w:val="FootnoteReference"/>
        </w:rPr>
        <w:footnoteRef/>
      </w:r>
      <w:r>
        <w:t xml:space="preserve"> Fraud Act 2006 s4(2)</w:t>
      </w:r>
    </w:p>
  </w:footnote>
  <w:footnote w:id="16">
    <w:p w:rsidR="00375AB0" w:rsidRPr="0020569F" w:rsidRDefault="00375AB0" w:rsidP="00375AB0">
      <w:pPr>
        <w:pStyle w:val="FootnoteText"/>
        <w:rPr>
          <w:sz w:val="18"/>
        </w:rPr>
      </w:pPr>
      <w:r>
        <w:rPr>
          <w:rStyle w:val="FootnoteReference"/>
        </w:rPr>
        <w:footnoteRef/>
      </w:r>
      <w:r>
        <w:t xml:space="preserve"> </w:t>
      </w:r>
      <w:hyperlink r:id="rId4" w:history="1">
        <w:r w:rsidRPr="00DF41F3">
          <w:rPr>
            <w:rStyle w:val="Hyperlink"/>
            <w:sz w:val="18"/>
          </w:rPr>
          <w:t>http://www.cipfa.org/html/elearning/nasbm/fraud%20awareness/resources/frauddefinitionandexamples.pdf</w:t>
        </w:r>
      </w:hyperlink>
      <w:r w:rsidRPr="00DF41F3">
        <w:rPr>
          <w:sz w:val="18"/>
        </w:rPr>
        <w:t xml:space="preserve"> </w:t>
      </w:r>
    </w:p>
  </w:footnote>
  <w:footnote w:id="17">
    <w:p w:rsidR="00375AB0" w:rsidRPr="007F3415" w:rsidRDefault="00375AB0" w:rsidP="00375AB0">
      <w:pPr>
        <w:pStyle w:val="FootnoteText"/>
      </w:pPr>
      <w:r>
        <w:rPr>
          <w:rStyle w:val="FootnoteReference"/>
        </w:rPr>
        <w:footnoteRef/>
      </w:r>
      <w:r>
        <w:t xml:space="preserve"> </w:t>
      </w:r>
      <w:proofErr w:type="spellStart"/>
      <w:proofErr w:type="gramStart"/>
      <w:r>
        <w:t>Davis.P</w:t>
      </w:r>
      <w:proofErr w:type="spellEnd"/>
      <w:r>
        <w:t>, Farrell.</w:t>
      </w:r>
      <w:proofErr w:type="gramEnd"/>
      <w:r>
        <w:t xml:space="preserve"> R, </w:t>
      </w:r>
      <w:proofErr w:type="spellStart"/>
      <w:r>
        <w:t>Ogilby.S</w:t>
      </w:r>
      <w:proofErr w:type="spellEnd"/>
      <w:r>
        <w:t xml:space="preserve">., </w:t>
      </w:r>
      <w:r>
        <w:rPr>
          <w:i/>
        </w:rPr>
        <w:t xml:space="preserve">‘Characteristics and Skills of the Forensic Accountant’ </w:t>
      </w:r>
      <w:r>
        <w:t>(American Institute of Certified Public Accountants) (publication date not specified) – see figure 4 on page 12</w:t>
      </w:r>
    </w:p>
  </w:footnote>
  <w:footnote w:id="18">
    <w:p w:rsidR="00375AB0" w:rsidRDefault="00375AB0" w:rsidP="00375AB0">
      <w:pPr>
        <w:pStyle w:val="FootnoteText"/>
      </w:pPr>
      <w:r>
        <w:rPr>
          <w:rStyle w:val="FootnoteReference"/>
        </w:rPr>
        <w:footnoteRef/>
      </w:r>
      <w:r>
        <w:t xml:space="preserve"> NB. The skills are listed in the AICPA report but the examples have been added in this answer by the student.</w:t>
      </w:r>
    </w:p>
  </w:footnote>
  <w:footnote w:id="19">
    <w:p w:rsidR="00375AB0" w:rsidRPr="007F3415" w:rsidRDefault="00375AB0" w:rsidP="00375AB0">
      <w:pPr>
        <w:pStyle w:val="FootnoteText"/>
      </w:pPr>
      <w:r>
        <w:rPr>
          <w:rStyle w:val="FootnoteReference"/>
        </w:rPr>
        <w:footnoteRef/>
      </w:r>
      <w:r>
        <w:t xml:space="preserve"> </w:t>
      </w:r>
      <w:proofErr w:type="spellStart"/>
      <w:proofErr w:type="gramStart"/>
      <w:r>
        <w:t>Davis.P</w:t>
      </w:r>
      <w:proofErr w:type="spellEnd"/>
      <w:r>
        <w:t>, Farrell.</w:t>
      </w:r>
      <w:proofErr w:type="gramEnd"/>
      <w:r>
        <w:t xml:space="preserve"> R, </w:t>
      </w:r>
      <w:proofErr w:type="spellStart"/>
      <w:r>
        <w:t>Ogilby.S</w:t>
      </w:r>
      <w:proofErr w:type="spellEnd"/>
      <w:r>
        <w:t xml:space="preserve">., </w:t>
      </w:r>
      <w:r>
        <w:rPr>
          <w:i/>
        </w:rPr>
        <w:t xml:space="preserve">‘Characteristics and Skills of the Forensic Accountant’ </w:t>
      </w:r>
      <w:r>
        <w:t>(American Institute of Certified Public Accountants) (publication date not specified) – see figure 3 on page 11</w:t>
      </w:r>
    </w:p>
  </w:footnote>
  <w:footnote w:id="20">
    <w:p w:rsidR="00375AB0" w:rsidRDefault="00375AB0" w:rsidP="00375AB0">
      <w:pPr>
        <w:pStyle w:val="FootnoteText"/>
      </w:pPr>
      <w:r>
        <w:rPr>
          <w:rStyle w:val="FootnoteReference"/>
        </w:rPr>
        <w:footnoteRef/>
      </w:r>
      <w:r>
        <w:t xml:space="preserve"> United Nations Development Programme – Office of Audit and Investigations – Investigation Guidelines (October 2012)</w:t>
      </w:r>
    </w:p>
  </w:footnote>
  <w:footnote w:id="21">
    <w:p w:rsidR="00375AB0" w:rsidRDefault="00375AB0" w:rsidP="00375AB0">
      <w:pPr>
        <w:pStyle w:val="FootnoteText"/>
      </w:pPr>
      <w:r>
        <w:rPr>
          <w:rStyle w:val="FootnoteReference"/>
        </w:rPr>
        <w:footnoteRef/>
      </w:r>
      <w:r>
        <w:t xml:space="preserve"> </w:t>
      </w:r>
      <w:proofErr w:type="gramStart"/>
      <w:r>
        <w:t>World Intellectual Property Organisation – Internal Audit and Oversight Division – Investigation Procedure Manual’ (July 2010) – See Figure 1 at page 40.</w:t>
      </w:r>
      <w:proofErr w:type="gramEnd"/>
      <w:r>
        <w:t xml:space="preserve"> Available at </w:t>
      </w:r>
      <w:hyperlink r:id="rId5" w:history="1">
        <w:r w:rsidRPr="00BE379E">
          <w:rPr>
            <w:rStyle w:val="Hyperlink"/>
          </w:rPr>
          <w:t>http://www.wipo.int/export/sites/www/about-wipo/en/oversight/iaod/investigations/pdf/investigation_procedure_manual.pdf</w:t>
        </w:r>
      </w:hyperlink>
      <w:r>
        <w:t xml:space="preserve"> </w:t>
      </w:r>
    </w:p>
  </w:footnote>
  <w:footnote w:id="22">
    <w:p w:rsidR="00375AB0" w:rsidRDefault="00375AB0" w:rsidP="00375AB0">
      <w:pPr>
        <w:pStyle w:val="FootnoteText"/>
      </w:pPr>
      <w:r>
        <w:rPr>
          <w:rStyle w:val="FootnoteReference"/>
        </w:rPr>
        <w:footnoteRef/>
      </w:r>
      <w:r>
        <w:t xml:space="preserve"> </w:t>
      </w:r>
      <w:proofErr w:type="gramStart"/>
      <w:r>
        <w:t>‘</w:t>
      </w:r>
      <w:proofErr w:type="spellStart"/>
      <w:r>
        <w:t>Understandning</w:t>
      </w:r>
      <w:proofErr w:type="spellEnd"/>
      <w:r>
        <w:t xml:space="preserve"> a financial statement audit’, Price Waterhouse Coopers (January 2013).</w:t>
      </w:r>
      <w:proofErr w:type="gramEnd"/>
      <w:r>
        <w:t xml:space="preserve"> Available at </w:t>
      </w:r>
      <w:hyperlink r:id="rId6" w:history="1">
        <w:r w:rsidRPr="00BE379E">
          <w:rPr>
            <w:rStyle w:val="Hyperlink"/>
          </w:rPr>
          <w:t>http://download.pwc.com/ie/pubs/2014-pwc-ireland-understanding-financial-statement-audit.pdf</w:t>
        </w:r>
      </w:hyperlink>
      <w:r>
        <w:t xml:space="preserve"> </w:t>
      </w:r>
    </w:p>
  </w:footnote>
  <w:footnote w:id="23">
    <w:p w:rsidR="00375AB0" w:rsidRDefault="00375AB0" w:rsidP="00375AB0">
      <w:pPr>
        <w:pStyle w:val="FootnoteText"/>
      </w:pPr>
      <w:r>
        <w:rPr>
          <w:rStyle w:val="FootnoteReference"/>
        </w:rPr>
        <w:footnoteRef/>
      </w:r>
      <w:r>
        <w:t xml:space="preserve"> World Intellectual Property Organisation – Internal Audit and Oversight Division – Investigation Procedure Manual’ (July 2010) – paras 104 - 105</w:t>
      </w:r>
    </w:p>
  </w:footnote>
  <w:footnote w:id="24">
    <w:p w:rsidR="00375AB0" w:rsidRDefault="00375AB0" w:rsidP="00375AB0">
      <w:pPr>
        <w:pStyle w:val="FootnoteText"/>
      </w:pPr>
      <w:r>
        <w:rPr>
          <w:rStyle w:val="FootnoteReference"/>
        </w:rPr>
        <w:footnoteRef/>
      </w:r>
      <w:r>
        <w:t xml:space="preserve"> United Nations Development Programme – Office of Audit and Investigations – Investigation Guidelines (October 2012)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75291"/>
    <w:multiLevelType w:val="hybridMultilevel"/>
    <w:tmpl w:val="581EDB3E"/>
    <w:lvl w:ilvl="0" w:tplc="DE3093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D31FA5"/>
    <w:multiLevelType w:val="hybridMultilevel"/>
    <w:tmpl w:val="ED7077B0"/>
    <w:lvl w:ilvl="0" w:tplc="62A4CB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66727CA2"/>
    <w:multiLevelType w:val="hybridMultilevel"/>
    <w:tmpl w:val="9C3C1CE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9787D7D"/>
    <w:multiLevelType w:val="hybridMultilevel"/>
    <w:tmpl w:val="2A1A8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A7A13A4"/>
    <w:multiLevelType w:val="hybridMultilevel"/>
    <w:tmpl w:val="9E98A4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B3D5DFB"/>
    <w:multiLevelType w:val="hybridMultilevel"/>
    <w:tmpl w:val="8BA837B8"/>
    <w:lvl w:ilvl="0" w:tplc="6A1ADA34">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FA47ABE"/>
    <w:multiLevelType w:val="hybridMultilevel"/>
    <w:tmpl w:val="8F808E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6"/>
  </w:num>
  <w:num w:numId="5">
    <w:abstractNumId w:val="7"/>
  </w:num>
  <w:num w:numId="6">
    <w:abstractNumId w:val="4"/>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30C2"/>
    <w:rsid w:val="0023259C"/>
    <w:rsid w:val="002B0BD7"/>
    <w:rsid w:val="002B573D"/>
    <w:rsid w:val="002C5CB2"/>
    <w:rsid w:val="002F779F"/>
    <w:rsid w:val="00371885"/>
    <w:rsid w:val="00375AB0"/>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1210"/>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49F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75A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75AB0"/>
    <w:rPr>
      <w:sz w:val="20"/>
      <w:szCs w:val="20"/>
    </w:rPr>
  </w:style>
  <w:style w:type="character" w:styleId="FootnoteReference">
    <w:name w:val="footnote reference"/>
    <w:basedOn w:val="DefaultParagraphFont"/>
    <w:uiPriority w:val="99"/>
    <w:semiHidden/>
    <w:unhideWhenUsed/>
    <w:rsid w:val="00375AB0"/>
    <w:rPr>
      <w:vertAlign w:val="superscript"/>
    </w:rPr>
  </w:style>
  <w:style w:type="character" w:styleId="Hyperlink">
    <w:name w:val="Hyperlink"/>
    <w:basedOn w:val="DefaultParagraphFont"/>
    <w:uiPriority w:val="99"/>
    <w:unhideWhenUsed/>
    <w:rsid w:val="00375AB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www.legislation.gov.uk/ukpga/2006/35/contents" TargetMode="External"/><Relationship Id="rId2" Type="http://schemas.openxmlformats.org/officeDocument/2006/relationships/hyperlink" Target="http://www.cipfa.org/html/elearning/nasbm/fraud%20awareness/resources/frauddefinitionandexamples.pdf" TargetMode="External"/><Relationship Id="rId1" Type="http://schemas.openxmlformats.org/officeDocument/2006/relationships/hyperlink" Target="http://www.acfe.com/rttn-introduction.aspx" TargetMode="External"/><Relationship Id="rId6" Type="http://schemas.openxmlformats.org/officeDocument/2006/relationships/hyperlink" Target="http://download.pwc.com/ie/pubs/2014-pwc-ireland-understanding-financial-statement-audit.pdf" TargetMode="External"/><Relationship Id="rId5" Type="http://schemas.openxmlformats.org/officeDocument/2006/relationships/hyperlink" Target="http://www.wipo.int/export/sites/www/about-wipo/en/oversight/iaod/investigations/pdf/investigation_procedure_manual.pdf" TargetMode="External"/><Relationship Id="rId4" Type="http://schemas.openxmlformats.org/officeDocument/2006/relationships/hyperlink" Target="http://www.cipfa.org/html/elearning/nasbm/fraud%20awareness/resources/frauddefinitionandexampl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323577-08D6-4520-8800-CF6042CAE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3910</Words>
  <Characters>22287</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Lipman Karas</Company>
  <LinksUpToDate>false</LinksUpToDate>
  <CharactersWithSpaces>26145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Adam Flacks</cp:lastModifiedBy>
  <cp:revision>2</cp:revision>
  <dcterms:created xsi:type="dcterms:W3CDTF">2017-08-09T11:09:00Z</dcterms:created>
  <dcterms:modified xsi:type="dcterms:W3CDTF">2017-08-09T11:09:00Z</dcterms:modified>
</cp:coreProperties>
</file>