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853A7F" w:rsidP="00A851DA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853A7F" w:rsidP="00A851DA">
      <w:pPr>
        <w:rPr>
          <w:lang w:val="en-US"/>
        </w:rPr>
      </w:pPr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7.55pt;margin-top:7.85pt;width:245.2pt;height:36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bookmarkStart w:id="0" w:name="_GoBack"/>
                  <w:bookmarkEnd w:id="0"/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hideMark/>
          </w:tcPr>
          <w:p w:rsidR="00A851DA" w:rsidRPr="00B0415E" w:rsidRDefault="003F52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OVERTONE KANYENDA</w:t>
            </w:r>
          </w:p>
        </w:tc>
      </w:tr>
      <w:tr w:rsidR="00A851DA" w:rsidRPr="00B0415E" w:rsidTr="00591365">
        <w:tc>
          <w:tcPr>
            <w:tcW w:w="2566" w:type="dxa"/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</w:tcPr>
          <w:p w:rsidR="00A851DA" w:rsidRPr="00B0415E" w:rsidRDefault="00FE61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2736</w:t>
            </w:r>
          </w:p>
        </w:tc>
      </w:tr>
      <w:tr w:rsidR="00A851DA" w:rsidRPr="00B0415E" w:rsidTr="00591365">
        <w:tc>
          <w:tcPr>
            <w:tcW w:w="2566" w:type="dxa"/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hideMark/>
          </w:tcPr>
          <w:p w:rsidR="00A851DA" w:rsidRPr="00B0415E" w:rsidRDefault="00FE61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 LEVEL 4</w:t>
            </w:r>
          </w:p>
        </w:tc>
      </w:tr>
      <w:tr w:rsidR="00A851DA" w:rsidRPr="00B0415E" w:rsidTr="00591365">
        <w:tc>
          <w:tcPr>
            <w:tcW w:w="2566" w:type="dxa"/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hideMark/>
          </w:tcPr>
          <w:p w:rsidR="00A851DA" w:rsidRPr="00B0415E" w:rsidRDefault="003F52E5">
            <w:r>
              <w:t>0</w:t>
            </w:r>
            <w:r w:rsidR="00A27F73"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96439E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152FDC" w:rsidRPr="00E9409D" w:rsidRDefault="00276291" w:rsidP="00152FD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9409D">
              <w:rPr>
                <w:b/>
                <w:sz w:val="24"/>
                <w:szCs w:val="24"/>
              </w:rPr>
              <w:t>1. (</w:t>
            </w:r>
            <w:r w:rsidR="00152FDC" w:rsidRPr="00E9409D">
              <w:rPr>
                <w:b/>
                <w:sz w:val="24"/>
                <w:szCs w:val="24"/>
              </w:rPr>
              <w:t>i)</w:t>
            </w:r>
            <w:r w:rsidR="00152FDC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Non-financial sources of evidence range from .</w:t>
            </w:r>
          </w:p>
          <w:p w:rsidR="00152FDC" w:rsidRPr="00E9409D" w:rsidRDefault="00152FDC" w:rsidP="00152FDC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Interviews</w:t>
            </w:r>
          </w:p>
          <w:p w:rsidR="00152FDC" w:rsidRPr="00E9409D" w:rsidRDefault="00152FDC" w:rsidP="00152FDC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handwriting analysis</w:t>
            </w:r>
          </w:p>
          <w:p w:rsidR="000C4936" w:rsidRPr="00E9409D" w:rsidRDefault="00152FDC" w:rsidP="00152FDC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0C4936" w:rsidRPr="00E9409D">
              <w:rPr>
                <w:rFonts w:cs="Calibri"/>
                <w:color w:val="000000"/>
                <w:sz w:val="24"/>
                <w:szCs w:val="24"/>
              </w:rPr>
              <w:t>D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ocument</w:t>
            </w:r>
            <w:r w:rsidR="000C4936" w:rsidRPr="00E9409D">
              <w:rPr>
                <w:rFonts w:cs="Calibri"/>
                <w:color w:val="000000"/>
                <w:sz w:val="24"/>
                <w:szCs w:val="24"/>
              </w:rPr>
              <w:t xml:space="preserve"> examination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</w:p>
          <w:p w:rsidR="000C4936" w:rsidRPr="008E51DC" w:rsidRDefault="000C4936" w:rsidP="00152FDC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Physiological</w:t>
            </w:r>
            <w:r w:rsidR="00152FDC" w:rsidRPr="00E9409D">
              <w:rPr>
                <w:rFonts w:cs="Calibri"/>
                <w:color w:val="000000"/>
                <w:sz w:val="24"/>
                <w:szCs w:val="24"/>
              </w:rPr>
              <w:t xml:space="preserve"> traits of the fraudster.</w:t>
            </w:r>
          </w:p>
          <w:p w:rsidR="008E51DC" w:rsidRPr="008E51DC" w:rsidRDefault="008E51DC" w:rsidP="008E51D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3"/>
                <w:szCs w:val="23"/>
              </w:rPr>
            </w:pPr>
            <w:r w:rsidRPr="008E51DC">
              <w:rPr>
                <w:color w:val="000000"/>
                <w:sz w:val="23"/>
                <w:szCs w:val="23"/>
              </w:rPr>
              <w:t>Nonfinancial measures (e.g., number of employees, square feet of</w:t>
            </w:r>
            <w:r>
              <w:rPr>
                <w:color w:val="000000"/>
                <w:sz w:val="23"/>
                <w:szCs w:val="23"/>
              </w:rPr>
              <w:t xml:space="preserve"> operations,</w:t>
            </w:r>
            <w:r w:rsidRPr="008E51DC">
              <w:rPr>
                <w:color w:val="000000"/>
                <w:sz w:val="23"/>
                <w:szCs w:val="23"/>
              </w:rPr>
              <w:t xml:space="preserve"> independent customer satisfaction, number of customer accounts) can be</w:t>
            </w:r>
          </w:p>
          <w:p w:rsidR="008E51DC" w:rsidRDefault="008E51DC" w:rsidP="008E51DC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 xml:space="preserve">              Helpful in assessing the risk of revenue frauds. </w:t>
            </w:r>
          </w:p>
          <w:p w:rsidR="008E51DC" w:rsidRPr="008E51DC" w:rsidRDefault="008E51DC" w:rsidP="008E51DC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3"/>
                <w:szCs w:val="23"/>
              </w:rPr>
            </w:pPr>
            <w:r w:rsidRPr="008E51DC">
              <w:rPr>
                <w:color w:val="000000"/>
                <w:sz w:val="23"/>
                <w:szCs w:val="23"/>
              </w:rPr>
              <w:t>Companies committing such frauds may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8E51DC">
              <w:rPr>
                <w:color w:val="000000"/>
                <w:sz w:val="23"/>
                <w:szCs w:val="23"/>
              </w:rPr>
              <w:t>have a hard time falsifying nonfinancial measures, especially those produced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8E51DC">
              <w:rPr>
                <w:color w:val="000000"/>
                <w:sz w:val="23"/>
                <w:szCs w:val="23"/>
              </w:rPr>
              <w:t>independently (e.g., customer satisfaction). Auditors can benefit from examining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8E51DC">
              <w:rPr>
                <w:color w:val="000000"/>
                <w:sz w:val="23"/>
                <w:szCs w:val="23"/>
              </w:rPr>
              <w:t>relationships between nonfinancial measures and financial measures to validate financial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8E51DC">
              <w:rPr>
                <w:color w:val="000000"/>
                <w:sz w:val="23"/>
                <w:szCs w:val="23"/>
              </w:rPr>
              <w:t>statement data.</w:t>
            </w:r>
          </w:p>
          <w:p w:rsidR="00276291" w:rsidRDefault="00276291" w:rsidP="000C493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152FDC" w:rsidRPr="00E9409D" w:rsidRDefault="000C4936" w:rsidP="000C493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291">
              <w:rPr>
                <w:rFonts w:cs="Calibri"/>
                <w:b/>
                <w:color w:val="000000"/>
                <w:sz w:val="24"/>
                <w:szCs w:val="24"/>
              </w:rPr>
              <w:t>(ii)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The importance of body language or Physiological traits it’s about</w:t>
            </w:r>
            <w:r w:rsidR="00152FDC" w:rsidRPr="00E9409D">
              <w:rPr>
                <w:rFonts w:cs="Calibri"/>
                <w:color w:val="000000"/>
                <w:sz w:val="24"/>
                <w:szCs w:val="24"/>
              </w:rPr>
              <w:t xml:space="preserve"> the fraudster’s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behavior</w:t>
            </w:r>
            <w:r w:rsidR="00152FDC" w:rsidRPr="00E9409D">
              <w:rPr>
                <w:rFonts w:cs="Calibri"/>
                <w:color w:val="000000"/>
                <w:sz w:val="24"/>
                <w:szCs w:val="24"/>
              </w:rPr>
              <w:t>, expressions, or any communication that indicates the fraudster’s involvement in the crime.</w:t>
            </w:r>
          </w:p>
          <w:p w:rsidR="000C4936" w:rsidRPr="00E9409D" w:rsidRDefault="00152FDC" w:rsidP="000C4936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The central aim of physiological techniques is to detect fraud and deception. </w:t>
            </w:r>
          </w:p>
          <w:p w:rsidR="00CC2FB3" w:rsidRPr="00E9409D" w:rsidRDefault="00152FDC" w:rsidP="00152FDC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A fraudster who is</w:t>
            </w:r>
            <w:r w:rsidR="000C4936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committing a crime will invariably be secretive about his/her activities and may even be using deception</w:t>
            </w:r>
            <w:r w:rsidR="000C4936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in appearance and communication</w:t>
            </w:r>
            <w:r w:rsidR="000C4936" w:rsidRPr="00E9409D"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:rsidR="00276291" w:rsidRDefault="00276291" w:rsidP="009643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96439E" w:rsidRPr="00276291" w:rsidRDefault="000C4936" w:rsidP="0096439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291">
              <w:rPr>
                <w:rFonts w:ascii="Times New Roman" w:hAnsi="Times New Roman"/>
                <w:b/>
                <w:sz w:val="24"/>
                <w:szCs w:val="24"/>
              </w:rPr>
              <w:t>(iii)Scan analysis</w:t>
            </w:r>
          </w:p>
          <w:p w:rsidR="0096439E" w:rsidRPr="00E9409D" w:rsidRDefault="0096439E" w:rsidP="0096439E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SCAN, like statement analysis, is aimed at detecting deception rather than determining truthfulness. It is cross-cultural, which makes it more applicable.</w:t>
            </w:r>
          </w:p>
          <w:p w:rsidR="0096439E" w:rsidRPr="00276291" w:rsidRDefault="0096439E" w:rsidP="0096439E">
            <w:pPr>
              <w:pStyle w:val="ListParagraph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Fraudsters tend to deceive indirectly rather than tell blatant lies. This indirect deception involves hedging, leaving out critical facts, pretending to be forgetful or ignorant, using a choice of </w:t>
            </w:r>
            <w:r w:rsidR="00276291" w:rsidRPr="00E9409D">
              <w:rPr>
                <w:rFonts w:cs="Calibri"/>
                <w:color w:val="000000"/>
                <w:sz w:val="24"/>
                <w:szCs w:val="24"/>
              </w:rPr>
              <w:t>words</w:t>
            </w:r>
            <w:r w:rsidR="00276291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276291" w:rsidRPr="00276291">
              <w:rPr>
                <w:rFonts w:cs="Calibri"/>
                <w:color w:val="000000"/>
                <w:sz w:val="24"/>
                <w:szCs w:val="24"/>
              </w:rPr>
              <w:t>that</w:t>
            </w:r>
            <w:r w:rsidRPr="00276291">
              <w:rPr>
                <w:rFonts w:cs="Calibri"/>
                <w:color w:val="000000"/>
                <w:sz w:val="24"/>
                <w:szCs w:val="24"/>
              </w:rPr>
              <w:t xml:space="preserve"> distances them from the event, etc.</w:t>
            </w:r>
          </w:p>
          <w:p w:rsidR="0096439E" w:rsidRPr="00E9409D" w:rsidRDefault="0096439E" w:rsidP="009643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lastRenderedPageBreak/>
              <w:t>In order to avoid making damaging statements, deceitful people use “verbal trickery”. The analyst needs an unambiguous, truthful statement from the suspect in order for SCAN to be effective.</w:t>
            </w:r>
          </w:p>
          <w:p w:rsidR="0018763F" w:rsidRPr="00E9409D" w:rsidRDefault="0096439E" w:rsidP="009643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Like statement analysis, SCAN looks for a shift in pronouns and gaps in the</w:t>
            </w:r>
            <w:r w:rsidR="0018763F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narrative, which indicate deception. Feigning ignorance (saying “I do not know” often) is considered an</w:t>
            </w:r>
            <w:r w:rsidR="0018763F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attempt to conceal truthful facts, and a change in tense reflects a strong emotional response.</w:t>
            </w:r>
          </w:p>
          <w:p w:rsidR="0018763F" w:rsidRPr="00E9409D" w:rsidRDefault="0096439E" w:rsidP="009643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In addition</w:t>
            </w:r>
            <w:r w:rsidR="0018763F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to those discussed here, SCAN uses numerous other techniques. According to some experts, it is as</w:t>
            </w:r>
            <w:r w:rsidR="0018763F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effective as a polygraph test.</w:t>
            </w:r>
          </w:p>
          <w:p w:rsidR="0096439E" w:rsidRPr="00E9409D" w:rsidRDefault="00E9409D" w:rsidP="0096439E">
            <w:pPr>
              <w:pStyle w:val="ListParagraph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Both</w:t>
            </w:r>
            <w:r w:rsidR="0096439E" w:rsidRPr="00E9409D">
              <w:rPr>
                <w:rFonts w:cs="Calibri"/>
                <w:color w:val="000000"/>
                <w:sz w:val="24"/>
                <w:szCs w:val="24"/>
              </w:rPr>
              <w:t xml:space="preserve"> polygraph tests and SCAN are investigative tools and are not</w:t>
            </w:r>
            <w:r w:rsidR="0018763F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96439E" w:rsidRPr="00E9409D">
              <w:rPr>
                <w:rFonts w:cs="Calibri"/>
                <w:color w:val="000000"/>
                <w:sz w:val="24"/>
                <w:szCs w:val="24"/>
              </w:rPr>
              <w:t>legally admissible evidence.</w:t>
            </w:r>
          </w:p>
          <w:p w:rsidR="000C4936" w:rsidRPr="00E9409D" w:rsidRDefault="000C4936" w:rsidP="000C493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CC2FB3" w:rsidRPr="00E9409D" w:rsidRDefault="00CC2FB3" w:rsidP="00A851DA">
            <w:pPr>
              <w:rPr>
                <w:b/>
                <w:sz w:val="24"/>
                <w:szCs w:val="24"/>
              </w:rPr>
            </w:pPr>
          </w:p>
          <w:p w:rsidR="009F5C66" w:rsidRPr="00E9409D" w:rsidRDefault="00A231BA" w:rsidP="009F5C6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b/>
                <w:sz w:val="24"/>
                <w:szCs w:val="24"/>
              </w:rPr>
              <w:t>(iv)</w:t>
            </w:r>
            <w:r w:rsidR="009F5C66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Eye language is a more reliable indicator of truthfulness. According to most experts, the eyes are the</w:t>
            </w:r>
            <w:r w:rsidR="00E94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C66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most communicative part of the body.</w:t>
            </w:r>
          </w:p>
          <w:p w:rsidR="009F5C66" w:rsidRPr="00E9409D" w:rsidRDefault="009F5C66" w:rsidP="009F5C66">
            <w:pPr>
              <w:pStyle w:val="ListParagraph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Visual Accessing Cues (VAC) refers to the language of the eyes and the principles related to it. Eye movement cues and interpretations are only applicable to right-handed people. </w:t>
            </w:r>
          </w:p>
          <w:p w:rsidR="009F5C66" w:rsidRPr="00E9409D" w:rsidRDefault="009F5C66" w:rsidP="009F5C66">
            <w:pPr>
              <w:pStyle w:val="ListParagraph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it is important to know whether the interviewee is left-handed or right-handed in</w:t>
            </w:r>
            <w:r w:rsidR="00254E5B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order to interpret the cues correctly and to avoid interpreting truthful responses as deceitful.</w:t>
            </w:r>
          </w:p>
          <w:p w:rsidR="00364BEC" w:rsidRPr="00E9409D" w:rsidRDefault="00364BEC" w:rsidP="00364BEC">
            <w:pPr>
              <w:pStyle w:val="ListParagraph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When interviewees are asked a question that requires them to recall something, their eye movements betray whether the thought process is truthful or deceptive.</w:t>
            </w:r>
          </w:p>
          <w:p w:rsidR="00364BEC" w:rsidRPr="00E9409D" w:rsidRDefault="00364BEC" w:rsidP="00364BEC">
            <w:pPr>
              <w:pStyle w:val="ListParagraph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Accord</w:t>
            </w:r>
            <w:r w:rsidR="005A5034" w:rsidRPr="00E9409D">
              <w:rPr>
                <w:rFonts w:cs="Calibri"/>
                <w:color w:val="000000"/>
                <w:sz w:val="24"/>
                <w:szCs w:val="24"/>
              </w:rPr>
              <w:t xml:space="preserve">ing to </w:t>
            </w:r>
            <w:r w:rsidR="00E9409D" w:rsidRPr="00E9409D">
              <w:rPr>
                <w:rFonts w:cs="Calibri"/>
                <w:color w:val="000000"/>
                <w:sz w:val="24"/>
                <w:szCs w:val="24"/>
              </w:rPr>
              <w:t>experts, the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following combinations may be helpful in interpretation:</w:t>
            </w:r>
          </w:p>
          <w:p w:rsidR="00364BEC" w:rsidRPr="00E9409D" w:rsidRDefault="00364BEC" w:rsidP="00364BEC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Eyes to the left and up. Recalling the past in visual images, e.g. “what </w:t>
            </w:r>
            <w:r w:rsidR="00E9409D" w:rsidRPr="00E9409D">
              <w:rPr>
                <w:rFonts w:cs="Calibri"/>
                <w:color w:val="000000"/>
                <w:sz w:val="24"/>
                <w:szCs w:val="24"/>
              </w:rPr>
              <w:t>color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was your first car?”</w:t>
            </w:r>
          </w:p>
          <w:p w:rsidR="00364BEC" w:rsidRPr="00E9409D" w:rsidRDefault="00364BEC" w:rsidP="00364BEC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Eyes to the left toward the ear. Retrieving memories in auditory form or recalling sounds. For example, “Who was your first best friend at the office?”</w:t>
            </w:r>
          </w:p>
          <w:p w:rsidR="00364BEC" w:rsidRPr="00E9409D" w:rsidRDefault="00364BEC" w:rsidP="00364BEC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Eyes to the left and down. Generally associated with an internal dialogue, as it is a movement made by people when they are talking to themselves.</w:t>
            </w:r>
          </w:p>
          <w:p w:rsidR="00364BEC" w:rsidRPr="00E9409D" w:rsidRDefault="00364BEC" w:rsidP="00364BEC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Eyes to the right and up. Constructing images for the future, e.g. “What will be the </w:t>
            </w:r>
            <w:r w:rsidR="00E9409D" w:rsidRPr="00E9409D">
              <w:rPr>
                <w:rFonts w:cs="Calibri"/>
                <w:color w:val="000000"/>
                <w:sz w:val="24"/>
                <w:szCs w:val="24"/>
              </w:rPr>
              <w:t>maker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of your next car?”</w:t>
            </w:r>
          </w:p>
          <w:p w:rsidR="00364BEC" w:rsidRPr="00E9409D" w:rsidRDefault="00364BEC" w:rsidP="00364BEC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Eyes to the right toward the ear. Associated with creating sounds, e.g. “Can you create your own song and sing it?”</w:t>
            </w:r>
          </w:p>
          <w:p w:rsidR="00364BEC" w:rsidRPr="00E9409D" w:rsidRDefault="00364BEC" w:rsidP="00364BEC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Eyes to the right and down. Associated with kin aesthetic or feelings, e.g. “Do you remember the smell of campfire?”</w:t>
            </w:r>
          </w:p>
          <w:p w:rsidR="005A5034" w:rsidRPr="00E9409D" w:rsidRDefault="005A5034" w:rsidP="005A5034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Gazing downward. This normally indicates guilt, defeat or submission.</w:t>
            </w:r>
          </w:p>
          <w:p w:rsidR="005A5034" w:rsidRPr="00E9409D" w:rsidRDefault="005A5034" w:rsidP="005A5034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Raising eyebrows. This indicates surprise, disbelief, frustration or uncertainty.</w:t>
            </w:r>
          </w:p>
          <w:p w:rsidR="005A5034" w:rsidRPr="00E9409D" w:rsidRDefault="005A5034" w:rsidP="005A5034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Raising one eyebrow with head tilted back signifies arrogance or disdain.</w:t>
            </w:r>
          </w:p>
          <w:p w:rsidR="005A5034" w:rsidRPr="00E9409D" w:rsidRDefault="005A5034" w:rsidP="005A5034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Dilation of pupils indicates interest in something.</w:t>
            </w:r>
          </w:p>
          <w:p w:rsidR="0014605C" w:rsidRPr="00E9409D" w:rsidRDefault="0014605C" w:rsidP="0014605C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Blinking is also a part of eye language principles. Normally, a person blinks about 20 times per minute, and each blink lasts about a quarter of a second. When a person is under stress, he/she tends to blink faster and more frequently. Some other circumstances not associated with deception, such as being on TV or lack of sleep, cause a person to blink faster or more often.</w:t>
            </w:r>
          </w:p>
          <w:p w:rsidR="0014605C" w:rsidRPr="00E9409D" w:rsidRDefault="0014605C" w:rsidP="0014605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ascii="Times New Roman" w:hAnsi="Times New Roman"/>
                <w:sz w:val="24"/>
                <w:szCs w:val="24"/>
              </w:rPr>
              <w:lastRenderedPageBreak/>
              <w:t>(v)</w:t>
            </w:r>
            <w:r w:rsidRPr="00E9409D">
              <w:rPr>
                <w:rFonts w:ascii="Calibri Bold" w:hAnsi="Calibri Bold" w:cs="Calibri Bold"/>
                <w:color w:val="5A9AD4"/>
                <w:sz w:val="24"/>
                <w:szCs w:val="24"/>
              </w:rPr>
              <w:t xml:space="preserve"> </w:t>
            </w: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Other cues, in addition to those listed under body language indicators, can also be used to</w:t>
            </w:r>
          </w:p>
          <w:p w:rsidR="0014605C" w:rsidRPr="00E9409D" w:rsidRDefault="0014605C" w:rsidP="0014605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</w:t>
            </w:r>
            <w:r w:rsidR="00291540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Identify</w:t>
            </w: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deception. These include the following:</w:t>
            </w:r>
          </w:p>
          <w:p w:rsidR="0014605C" w:rsidRPr="00E9409D" w:rsidRDefault="0014605C" w:rsidP="0014605C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Interpersonal interactions. For example, a person may shake his head and say “yes” after making</w:t>
            </w:r>
          </w:p>
          <w:p w:rsidR="0014605C" w:rsidRPr="00E9409D" w:rsidRDefault="0014605C" w:rsidP="0014605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 a point; these are inconsistent gestures.</w:t>
            </w:r>
          </w:p>
          <w:p w:rsidR="0014605C" w:rsidRPr="00E9409D" w:rsidRDefault="0014605C" w:rsidP="0014605C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Emotional states. A deceitful person will usually avoid touching the person investigating or</w:t>
            </w:r>
          </w:p>
          <w:p w:rsidR="0014605C" w:rsidRPr="00E9409D" w:rsidRDefault="0014605C" w:rsidP="0014605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questioning him/her.</w:t>
            </w:r>
          </w:p>
          <w:p w:rsidR="0014605C" w:rsidRPr="00E9409D" w:rsidRDefault="0014605C" w:rsidP="0014605C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Verbal content. For example, reflecting the question in the answer immediately after the question has been asked. Question: “Did you write a cheque to yourself?” Answer: “No, I did not</w:t>
            </w:r>
          </w:p>
          <w:p w:rsidR="0014605C" w:rsidRPr="00E9409D" w:rsidRDefault="0014605C" w:rsidP="0014605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</w:t>
            </w:r>
            <w:r w:rsidR="00E9409D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Write</w:t>
            </w: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 cheque to myself.”</w:t>
            </w:r>
          </w:p>
          <w:p w:rsidR="0014605C" w:rsidRPr="00E9409D" w:rsidRDefault="0014605C" w:rsidP="0014605C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How comments are phrased. Replacing the pronoun in order to disassociate people or events, for example using “the equipment” instead of “my equipment”.</w:t>
            </w:r>
          </w:p>
          <w:p w:rsidR="0014605C" w:rsidRPr="00276291" w:rsidRDefault="0014605C" w:rsidP="0014605C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Psychological frames. Lies and deceitful statements always leave out details of what went wrong,</w:t>
            </w:r>
            <w:r w:rsidR="00291540" w:rsidRPr="00276291">
              <w:rPr>
                <w:rFonts w:cs="Calibri"/>
                <w:color w:val="000000"/>
                <w:sz w:val="24"/>
                <w:szCs w:val="24"/>
              </w:rPr>
              <w:t xml:space="preserve">  </w:t>
            </w:r>
            <w:r w:rsidRPr="00276291">
              <w:rPr>
                <w:rFonts w:cs="Calibri"/>
                <w:color w:val="000000"/>
                <w:sz w:val="24"/>
                <w:szCs w:val="24"/>
              </w:rPr>
              <w:t>except for details related to delays and cancellations.</w:t>
            </w:r>
          </w:p>
          <w:p w:rsidR="0014605C" w:rsidRPr="00E9409D" w:rsidRDefault="0014605C" w:rsidP="0014605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721" w:rsidRPr="00E9409D" w:rsidRDefault="004B1721" w:rsidP="004B172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9409D">
              <w:rPr>
                <w:rFonts w:ascii="Times New Roman" w:hAnsi="Times New Roman"/>
                <w:sz w:val="24"/>
                <w:szCs w:val="24"/>
              </w:rPr>
              <w:t>.</w:t>
            </w: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The job of auditors in an external or internal audit is to ask questions. However, there is a difference</w:t>
            </w:r>
          </w:p>
          <w:p w:rsidR="00D42C88" w:rsidRPr="00E9409D" w:rsidRDefault="00E9409D" w:rsidP="004B172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Between</w:t>
            </w:r>
            <w:r w:rsidR="004B1721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asking questions during an audit and during a fraud investigation. </w:t>
            </w:r>
          </w:p>
          <w:p w:rsidR="004B1721" w:rsidRPr="00E9409D" w:rsidRDefault="004B1721" w:rsidP="004B1721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In order to ask effective</w:t>
            </w:r>
            <w:r w:rsidR="00D42C88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questions during a fraud investigation, it is important to use best practices for interview techniques.</w:t>
            </w:r>
          </w:p>
          <w:p w:rsidR="00D42C88" w:rsidRPr="00E9409D" w:rsidRDefault="004B1721" w:rsidP="004B1721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According to the founder of the Association of Certified Fraud Examiners (ACFE), Joe Wells, ‘‘the best</w:t>
            </w:r>
            <w:r w:rsidR="00D42C88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clues usually don’t come from the books but from the people who work with them.’’ Questions asked</w:t>
            </w:r>
            <w:r w:rsidR="00D42C88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during an interview might fall into any of the following categories: </w:t>
            </w:r>
          </w:p>
          <w:p w:rsidR="00D42C88" w:rsidRPr="00E9409D" w:rsidRDefault="004B1721" w:rsidP="004B1721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(i) </w:t>
            </w:r>
            <w:r w:rsidR="00E9409D" w:rsidRPr="00E9409D">
              <w:rPr>
                <w:rFonts w:cs="Calibri"/>
                <w:color w:val="000000"/>
                <w:sz w:val="24"/>
                <w:szCs w:val="24"/>
              </w:rPr>
              <w:t>Introductory</w:t>
            </w:r>
            <w:r w:rsidR="00D42C88" w:rsidRPr="00E9409D">
              <w:rPr>
                <w:rFonts w:cs="Calibri"/>
                <w:color w:val="000000"/>
                <w:sz w:val="24"/>
                <w:szCs w:val="24"/>
              </w:rPr>
              <w:t>.</w:t>
            </w:r>
          </w:p>
          <w:p w:rsidR="00D42C88" w:rsidRPr="00E9409D" w:rsidRDefault="004B1721" w:rsidP="004B1721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(ii) informational,</w:t>
            </w:r>
          </w:p>
          <w:p w:rsidR="00D42C88" w:rsidRPr="00E9409D" w:rsidRDefault="004B1721" w:rsidP="004B1721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(iii)assessment,</w:t>
            </w:r>
          </w:p>
          <w:p w:rsidR="00D42C88" w:rsidRPr="00E9409D" w:rsidRDefault="004B1721" w:rsidP="004B1721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(iv) closing,</w:t>
            </w:r>
          </w:p>
          <w:p w:rsidR="00D42C88" w:rsidRPr="00E9409D" w:rsidRDefault="004B1721" w:rsidP="004B1721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(v) admission-seeking.</w:t>
            </w:r>
          </w:p>
          <w:p w:rsidR="00D42C88" w:rsidRPr="00E9409D" w:rsidRDefault="00D42C88" w:rsidP="004B172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-</w:t>
            </w:r>
            <w:r w:rsidR="004B1721" w:rsidRPr="00E9409D">
              <w:rPr>
                <w:rFonts w:cs="Calibri"/>
                <w:color w:val="000000"/>
                <w:sz w:val="24"/>
                <w:szCs w:val="24"/>
              </w:rPr>
              <w:t>According to most experts, open-ended questions are</w:t>
            </w:r>
            <w:r w:rsidRPr="00E94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721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much more effective than simple “yes” or “no” questions.</w:t>
            </w:r>
          </w:p>
          <w:p w:rsidR="004B1721" w:rsidRPr="00E9409D" w:rsidRDefault="004B1721" w:rsidP="004B1721">
            <w:pPr>
              <w:pStyle w:val="ListParagraph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One of the risks associated with interviews</w:t>
            </w:r>
            <w:r w:rsidR="00D42C88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during a fraud investigation is that the interviewer may not be trained or experienced in employing best</w:t>
            </w:r>
            <w:r w:rsidR="00D42C88" w:rsidRPr="00E9409D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practices for interviews, or worse, may not be familiar with the legal protocol of carrying out interviews.</w:t>
            </w:r>
          </w:p>
          <w:p w:rsidR="004B1721" w:rsidRPr="00E9409D" w:rsidRDefault="004B1721" w:rsidP="00D42C88">
            <w:pPr>
              <w:pStyle w:val="ListParagraph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In the event of the latter, the case may not reach a desirable conclusion and may even provoke a</w:t>
            </w:r>
          </w:p>
          <w:p w:rsidR="004B1721" w:rsidRDefault="00D42C88" w:rsidP="004B1721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             </w:t>
            </w:r>
            <w:r w:rsidR="004171D5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Counter-lawsuit</w:t>
            </w:r>
            <w:r w:rsidR="004B1721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BF2881" w:rsidRPr="00BF2881" w:rsidRDefault="00BF2881" w:rsidP="00BF2881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3"/>
                <w:szCs w:val="23"/>
              </w:rPr>
            </w:pPr>
            <w:r w:rsidRPr="00BF2881">
              <w:rPr>
                <w:color w:val="000000"/>
                <w:sz w:val="23"/>
                <w:szCs w:val="23"/>
              </w:rPr>
              <w:t>Auditors long have relied on analytical procedures that use financial statement data to help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BF2881">
              <w:rPr>
                <w:color w:val="000000"/>
                <w:sz w:val="23"/>
                <w:szCs w:val="23"/>
              </w:rPr>
              <w:t>assess and detect fraud, as required by auditing standards (e.g., AICPA 1988, 2002). However, the PCAOB has concluded that analytical procedures using only financial statement data are likely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BF2881">
              <w:rPr>
                <w:color w:val="000000"/>
                <w:sz w:val="23"/>
                <w:szCs w:val="23"/>
              </w:rPr>
              <w:t>to be ineffective in detecting fraud (PCAOB 2004, 16). Relatedly, various audit regulators have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BF2881">
              <w:rPr>
                <w:color w:val="000000"/>
                <w:sz w:val="23"/>
                <w:szCs w:val="23"/>
              </w:rPr>
              <w:t>speculated that nonfinancial measures (NFMs) may improve auditors’ abilities to detect fraud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BF2881">
              <w:rPr>
                <w:color w:val="000000"/>
                <w:sz w:val="23"/>
                <w:szCs w:val="23"/>
              </w:rPr>
              <w:t>(AICPA 1988, 2002; PCAOB 2004).</w:t>
            </w:r>
          </w:p>
          <w:p w:rsidR="00BF2881" w:rsidRPr="00BF2881" w:rsidRDefault="00BF2881" w:rsidP="00BF2881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3"/>
                <w:szCs w:val="23"/>
              </w:rPr>
            </w:pPr>
            <w:r w:rsidRPr="00BF2881">
              <w:rPr>
                <w:color w:val="000000"/>
                <w:sz w:val="23"/>
                <w:szCs w:val="23"/>
              </w:rPr>
              <w:lastRenderedPageBreak/>
              <w:t xml:space="preserve">The premise for using </w:t>
            </w:r>
            <w:r w:rsidR="002C25E5" w:rsidRPr="00BF2881">
              <w:rPr>
                <w:color w:val="000000"/>
                <w:sz w:val="23"/>
                <w:szCs w:val="23"/>
              </w:rPr>
              <w:t>NFMs</w:t>
            </w:r>
            <w:r w:rsidR="002C25E5">
              <w:rPr>
                <w:color w:val="000000"/>
                <w:sz w:val="23"/>
                <w:szCs w:val="23"/>
              </w:rPr>
              <w:t xml:space="preserve"> (</w:t>
            </w:r>
            <w:r>
              <w:rPr>
                <w:color w:val="000000"/>
                <w:sz w:val="23"/>
                <w:szCs w:val="23"/>
              </w:rPr>
              <w:t>non financial measures)</w:t>
            </w:r>
            <w:r w:rsidRPr="00BF2881">
              <w:rPr>
                <w:color w:val="000000"/>
                <w:sz w:val="23"/>
                <w:szCs w:val="23"/>
              </w:rPr>
              <w:t xml:space="preserve"> to help detect fraud is that some NFMs are correlated with ‘‘true ‘financial performance. Such correlations often reflect patterns between the NFMs and applicable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  <w:r w:rsidRPr="00BF2881">
              <w:rPr>
                <w:color w:val="000000"/>
                <w:sz w:val="23"/>
                <w:szCs w:val="23"/>
              </w:rPr>
              <w:t>financial statement measures.</w:t>
            </w:r>
          </w:p>
          <w:p w:rsidR="00E9409D" w:rsidRPr="00E9409D" w:rsidRDefault="00E9409D" w:rsidP="00224D5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4171D5" w:rsidRPr="00E9409D" w:rsidRDefault="00E9409D" w:rsidP="00224D5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cs="Calibri"/>
                <w:b/>
                <w:color w:val="000000"/>
                <w:sz w:val="24"/>
                <w:szCs w:val="24"/>
              </w:rPr>
              <w:t>3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>. Contrary</w:t>
            </w:r>
            <w:r w:rsidR="004171D5" w:rsidRPr="00E9409D">
              <w:rPr>
                <w:rFonts w:cs="Calibri"/>
                <w:color w:val="000000"/>
                <w:sz w:val="24"/>
                <w:szCs w:val="24"/>
              </w:rPr>
              <w:t xml:space="preserve"> to common perception, an interviewer’s best approach is not to write down questions that 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  </w:t>
            </w:r>
            <w:r w:rsidR="004171D5" w:rsidRPr="00E9409D">
              <w:rPr>
                <w:rFonts w:cs="Calibri"/>
                <w:color w:val="000000"/>
                <w:sz w:val="24"/>
                <w:szCs w:val="24"/>
              </w:rPr>
              <w:t>he/she needs to ask the interviewee.</w:t>
            </w:r>
          </w:p>
          <w:p w:rsidR="004171D5" w:rsidRPr="00E9409D" w:rsidRDefault="002C25E5" w:rsidP="004171D5">
            <w:pPr>
              <w:pStyle w:val="ListParagraph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It</w:t>
            </w:r>
            <w:r w:rsidR="004171D5" w:rsidRPr="00E9409D">
              <w:rPr>
                <w:rFonts w:cs="Calibri"/>
                <w:color w:val="000000"/>
                <w:sz w:val="24"/>
                <w:szCs w:val="24"/>
              </w:rPr>
              <w:t xml:space="preserve"> is much better to write down the key points and let the conversation take a natural course. </w:t>
            </w:r>
          </w:p>
          <w:p w:rsidR="004171D5" w:rsidRPr="00E9409D" w:rsidRDefault="004171D5" w:rsidP="004171D5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-A fraudster may even manage</w:t>
            </w:r>
            <w:r w:rsidRPr="00E94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to catch sight of the written questions beforehand and prepare him/herself to answer them; therefore, this approach is best avoided.</w:t>
            </w:r>
          </w:p>
          <w:p w:rsidR="004171D5" w:rsidRPr="00E9409D" w:rsidRDefault="004171D5" w:rsidP="005D3509">
            <w:pPr>
              <w:pStyle w:val="ListParagraph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ascii="Calibri Bold" w:hAnsi="Calibri Bold" w:cs="Calibri Bold"/>
                <w:color w:val="000000"/>
                <w:sz w:val="24"/>
                <w:szCs w:val="24"/>
              </w:rPr>
              <w:t>Steps in a well-prepared interview:</w:t>
            </w:r>
          </w:p>
          <w:p w:rsidR="004171D5" w:rsidRPr="00E9409D" w:rsidRDefault="004171D5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Prepare yourself</w:t>
            </w:r>
          </w:p>
          <w:p w:rsidR="004171D5" w:rsidRPr="00E9409D" w:rsidRDefault="004171D5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Think before you interview</w:t>
            </w:r>
          </w:p>
          <w:p w:rsidR="004171D5" w:rsidRPr="00E9409D" w:rsidRDefault="004171D5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Set the tone</w:t>
            </w:r>
          </w:p>
          <w:p w:rsidR="004171D5" w:rsidRPr="00E9409D" w:rsidRDefault="004171D5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Look for non verbal </w:t>
            </w:r>
            <w:r w:rsidR="00E9409D" w:rsidRPr="00E9409D">
              <w:rPr>
                <w:rFonts w:cs="Calibri"/>
                <w:color w:val="000000"/>
                <w:sz w:val="24"/>
                <w:szCs w:val="24"/>
              </w:rPr>
              <w:t>behavior</w:t>
            </w:r>
          </w:p>
          <w:p w:rsidR="004171D5" w:rsidRPr="00E9409D" w:rsidRDefault="004171D5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Ask your questions in flow</w:t>
            </w:r>
          </w:p>
          <w:p w:rsidR="005D3509" w:rsidRPr="00E9409D" w:rsidRDefault="005D3509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Be direct to the point</w:t>
            </w:r>
          </w:p>
          <w:p w:rsidR="005D3509" w:rsidRPr="00E9409D" w:rsidRDefault="005D3509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Do more </w:t>
            </w:r>
            <w:r w:rsidR="00E9409D" w:rsidRPr="00E9409D">
              <w:rPr>
                <w:rFonts w:cs="Calibri"/>
                <w:color w:val="000000"/>
                <w:sz w:val="24"/>
                <w:szCs w:val="24"/>
              </w:rPr>
              <w:t>listening</w:t>
            </w:r>
            <w:r w:rsidRPr="00E9409D">
              <w:rPr>
                <w:rFonts w:cs="Calibri"/>
                <w:color w:val="000000"/>
                <w:sz w:val="24"/>
                <w:szCs w:val="24"/>
              </w:rPr>
              <w:t xml:space="preserve"> than talking</w:t>
            </w:r>
          </w:p>
          <w:p w:rsidR="005D3509" w:rsidRPr="00E9409D" w:rsidRDefault="005D3509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Take your time</w:t>
            </w:r>
          </w:p>
          <w:p w:rsidR="005D3509" w:rsidRPr="00E9409D" w:rsidRDefault="005D3509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Verify the evidence</w:t>
            </w:r>
          </w:p>
          <w:p w:rsidR="005D3509" w:rsidRPr="00E9409D" w:rsidRDefault="005D3509" w:rsidP="005D3509">
            <w:pPr>
              <w:pStyle w:val="ListParagraph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Get in writing</w:t>
            </w:r>
          </w:p>
          <w:p w:rsidR="001E73E7" w:rsidRPr="00E9409D" w:rsidRDefault="001E73E7" w:rsidP="001E73E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cs="Calibri"/>
                <w:color w:val="000000"/>
                <w:sz w:val="24"/>
                <w:szCs w:val="24"/>
              </w:rPr>
              <w:t>-Humans reveal much more through their body language than through their words, especially when they</w:t>
            </w:r>
          </w:p>
          <w:p w:rsidR="001E73E7" w:rsidRPr="00E9409D" w:rsidRDefault="001E73E7" w:rsidP="001E73E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are under stress; therefore, an interviewer should always observe gestures and non-verbal </w:t>
            </w:r>
            <w:r w:rsidR="009272F6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behavior</w:t>
            </w: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. A</w:t>
            </w:r>
          </w:p>
          <w:p w:rsidR="001E73E7" w:rsidRPr="00E9409D" w:rsidRDefault="001E73E7" w:rsidP="001E73E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well trained and experienced fraud investigator will watch out for signs of stress through a process called</w:t>
            </w:r>
          </w:p>
          <w:p w:rsidR="001E73E7" w:rsidRPr="00E9409D" w:rsidRDefault="009272F6" w:rsidP="001E73E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Calibration</w:t>
            </w:r>
            <w:r w:rsidR="001E73E7" w:rsidRPr="00E9409D">
              <w:rPr>
                <w:rFonts w:ascii="Calibri" w:hAnsi="Calibri" w:cs="Calibri"/>
                <w:color w:val="000000"/>
                <w:sz w:val="24"/>
                <w:szCs w:val="24"/>
              </w:rPr>
              <w:t>. This process gauges a witness’s can dour.</w:t>
            </w:r>
          </w:p>
          <w:p w:rsidR="001E73E7" w:rsidRPr="00E9409D" w:rsidRDefault="001E73E7" w:rsidP="001E73E7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A935D0" w:rsidRPr="00E9409D" w:rsidRDefault="00A935D0" w:rsidP="004171D5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14605C" w:rsidRPr="00E9409D" w:rsidRDefault="0014605C" w:rsidP="0014605C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364BEC" w:rsidRPr="00E9409D" w:rsidRDefault="00364BEC" w:rsidP="00320043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A231BA" w:rsidRPr="00E9409D" w:rsidRDefault="00A231BA" w:rsidP="00A851DA">
            <w:pPr>
              <w:rPr>
                <w:b/>
                <w:sz w:val="24"/>
                <w:szCs w:val="24"/>
              </w:rPr>
            </w:pPr>
          </w:p>
          <w:p w:rsidR="00CC2FB3" w:rsidRPr="00E9409D" w:rsidRDefault="00CC2FB3" w:rsidP="00A851DA">
            <w:pPr>
              <w:rPr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E9409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OVERTONE KANYENDA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9409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17/12/2017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A7F" w:rsidRDefault="00853A7F" w:rsidP="00CB4D0A">
      <w:pPr>
        <w:spacing w:after="0" w:line="240" w:lineRule="auto"/>
      </w:pPr>
      <w:r>
        <w:separator/>
      </w:r>
    </w:p>
  </w:endnote>
  <w:endnote w:type="continuationSeparator" w:id="1">
    <w:p w:rsidR="00853A7F" w:rsidRDefault="00853A7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A7F" w:rsidRDefault="00853A7F" w:rsidP="00CB4D0A">
      <w:pPr>
        <w:spacing w:after="0" w:line="240" w:lineRule="auto"/>
      </w:pPr>
      <w:r>
        <w:separator/>
      </w:r>
    </w:p>
  </w:footnote>
  <w:footnote w:type="continuationSeparator" w:id="1">
    <w:p w:rsidR="00853A7F" w:rsidRDefault="00853A7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C7BB1"/>
    <w:multiLevelType w:val="hybridMultilevel"/>
    <w:tmpl w:val="701A171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14A62"/>
    <w:multiLevelType w:val="hybridMultilevel"/>
    <w:tmpl w:val="F78E9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37243"/>
    <w:multiLevelType w:val="hybridMultilevel"/>
    <w:tmpl w:val="ABAA34C2"/>
    <w:lvl w:ilvl="0" w:tplc="080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3">
    <w:nsid w:val="16D92B90"/>
    <w:multiLevelType w:val="hybridMultilevel"/>
    <w:tmpl w:val="00B47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681A73"/>
    <w:multiLevelType w:val="hybridMultilevel"/>
    <w:tmpl w:val="C5C0DE8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B3C4B"/>
    <w:multiLevelType w:val="hybridMultilevel"/>
    <w:tmpl w:val="D512D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6A1635"/>
    <w:multiLevelType w:val="hybridMultilevel"/>
    <w:tmpl w:val="60541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9B4098"/>
    <w:multiLevelType w:val="hybridMultilevel"/>
    <w:tmpl w:val="9990BDC8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">
    <w:nsid w:val="3996628B"/>
    <w:multiLevelType w:val="hybridMultilevel"/>
    <w:tmpl w:val="80DA8A0A"/>
    <w:lvl w:ilvl="0" w:tplc="08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>
    <w:nsid w:val="3A0E7531"/>
    <w:multiLevelType w:val="hybridMultilevel"/>
    <w:tmpl w:val="5798F8A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DD42B28"/>
    <w:multiLevelType w:val="hybridMultilevel"/>
    <w:tmpl w:val="C7326BE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6E233B"/>
    <w:multiLevelType w:val="hybridMultilevel"/>
    <w:tmpl w:val="3746E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BF00B2"/>
    <w:multiLevelType w:val="hybridMultilevel"/>
    <w:tmpl w:val="B8F88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B04967"/>
    <w:multiLevelType w:val="hybridMultilevel"/>
    <w:tmpl w:val="718EC1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6E500F"/>
    <w:multiLevelType w:val="hybridMultilevel"/>
    <w:tmpl w:val="35B820A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3D5D87"/>
    <w:multiLevelType w:val="hybridMultilevel"/>
    <w:tmpl w:val="B140634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761829"/>
    <w:multiLevelType w:val="hybridMultilevel"/>
    <w:tmpl w:val="7A464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C60182"/>
    <w:multiLevelType w:val="hybridMultilevel"/>
    <w:tmpl w:val="4C2CB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6429AB"/>
    <w:multiLevelType w:val="hybridMultilevel"/>
    <w:tmpl w:val="A450332C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>
    <w:nsid w:val="5CEF123E"/>
    <w:multiLevelType w:val="hybridMultilevel"/>
    <w:tmpl w:val="15967D0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60348"/>
    <w:multiLevelType w:val="hybridMultilevel"/>
    <w:tmpl w:val="8B061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F71D30"/>
    <w:multiLevelType w:val="hybridMultilevel"/>
    <w:tmpl w:val="D2E2D67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3">
    <w:nsid w:val="647C2E62"/>
    <w:multiLevelType w:val="hybridMultilevel"/>
    <w:tmpl w:val="3ED4C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E23642"/>
    <w:multiLevelType w:val="hybridMultilevel"/>
    <w:tmpl w:val="7EE0C9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2739B3"/>
    <w:multiLevelType w:val="hybridMultilevel"/>
    <w:tmpl w:val="413600AE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6">
    <w:nsid w:val="6E3F4691"/>
    <w:multiLevelType w:val="hybridMultilevel"/>
    <w:tmpl w:val="D1FC2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833CF8"/>
    <w:multiLevelType w:val="hybridMultilevel"/>
    <w:tmpl w:val="656AF220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1756C68"/>
    <w:multiLevelType w:val="hybridMultilevel"/>
    <w:tmpl w:val="45485650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9">
    <w:nsid w:val="74F1225B"/>
    <w:multiLevelType w:val="hybridMultilevel"/>
    <w:tmpl w:val="82B4A5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187F5C"/>
    <w:multiLevelType w:val="hybridMultilevel"/>
    <w:tmpl w:val="7438E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545615"/>
    <w:multiLevelType w:val="hybridMultilevel"/>
    <w:tmpl w:val="3C7A74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FC511F"/>
    <w:multiLevelType w:val="hybridMultilevel"/>
    <w:tmpl w:val="BEB49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12"/>
  </w:num>
  <w:num w:numId="4">
    <w:abstractNumId w:val="32"/>
  </w:num>
  <w:num w:numId="5">
    <w:abstractNumId w:val="4"/>
  </w:num>
  <w:num w:numId="6">
    <w:abstractNumId w:val="21"/>
  </w:num>
  <w:num w:numId="7">
    <w:abstractNumId w:val="10"/>
  </w:num>
  <w:num w:numId="8">
    <w:abstractNumId w:val="9"/>
  </w:num>
  <w:num w:numId="9">
    <w:abstractNumId w:val="15"/>
  </w:num>
  <w:num w:numId="10">
    <w:abstractNumId w:val="0"/>
  </w:num>
  <w:num w:numId="11">
    <w:abstractNumId w:val="20"/>
  </w:num>
  <w:num w:numId="12">
    <w:abstractNumId w:val="27"/>
  </w:num>
  <w:num w:numId="13">
    <w:abstractNumId w:val="16"/>
  </w:num>
  <w:num w:numId="14">
    <w:abstractNumId w:val="11"/>
  </w:num>
  <w:num w:numId="15">
    <w:abstractNumId w:val="23"/>
  </w:num>
  <w:num w:numId="16">
    <w:abstractNumId w:val="22"/>
  </w:num>
  <w:num w:numId="17">
    <w:abstractNumId w:val="19"/>
  </w:num>
  <w:num w:numId="18">
    <w:abstractNumId w:val="30"/>
  </w:num>
  <w:num w:numId="19">
    <w:abstractNumId w:val="7"/>
  </w:num>
  <w:num w:numId="20">
    <w:abstractNumId w:val="28"/>
  </w:num>
  <w:num w:numId="21">
    <w:abstractNumId w:val="2"/>
  </w:num>
  <w:num w:numId="22">
    <w:abstractNumId w:val="8"/>
  </w:num>
  <w:num w:numId="23">
    <w:abstractNumId w:val="6"/>
  </w:num>
  <w:num w:numId="24">
    <w:abstractNumId w:val="5"/>
  </w:num>
  <w:num w:numId="25">
    <w:abstractNumId w:val="18"/>
  </w:num>
  <w:num w:numId="26">
    <w:abstractNumId w:val="25"/>
  </w:num>
  <w:num w:numId="27">
    <w:abstractNumId w:val="24"/>
  </w:num>
  <w:num w:numId="28">
    <w:abstractNumId w:val="29"/>
  </w:num>
  <w:num w:numId="29">
    <w:abstractNumId w:val="14"/>
  </w:num>
  <w:num w:numId="30">
    <w:abstractNumId w:val="17"/>
  </w:num>
  <w:num w:numId="31">
    <w:abstractNumId w:val="31"/>
  </w:num>
  <w:num w:numId="32">
    <w:abstractNumId w:val="3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6415C"/>
    <w:rsid w:val="000820E8"/>
    <w:rsid w:val="000C4936"/>
    <w:rsid w:val="001175EE"/>
    <w:rsid w:val="0014605C"/>
    <w:rsid w:val="00152FDC"/>
    <w:rsid w:val="00157CF6"/>
    <w:rsid w:val="00182416"/>
    <w:rsid w:val="0018763F"/>
    <w:rsid w:val="00187EB4"/>
    <w:rsid w:val="001E73E7"/>
    <w:rsid w:val="001F0481"/>
    <w:rsid w:val="00200C92"/>
    <w:rsid w:val="0020267E"/>
    <w:rsid w:val="0020451E"/>
    <w:rsid w:val="00206B9D"/>
    <w:rsid w:val="00207D72"/>
    <w:rsid w:val="00224D56"/>
    <w:rsid w:val="0023259C"/>
    <w:rsid w:val="00254E5B"/>
    <w:rsid w:val="00276291"/>
    <w:rsid w:val="00291540"/>
    <w:rsid w:val="002B0BD7"/>
    <w:rsid w:val="002B573D"/>
    <w:rsid w:val="002B7BA9"/>
    <w:rsid w:val="002C25E5"/>
    <w:rsid w:val="002C5CB2"/>
    <w:rsid w:val="002F779F"/>
    <w:rsid w:val="00320043"/>
    <w:rsid w:val="00356A29"/>
    <w:rsid w:val="00364BEC"/>
    <w:rsid w:val="00371885"/>
    <w:rsid w:val="003E2B87"/>
    <w:rsid w:val="003F52E5"/>
    <w:rsid w:val="00402786"/>
    <w:rsid w:val="00405895"/>
    <w:rsid w:val="004058DF"/>
    <w:rsid w:val="004171D5"/>
    <w:rsid w:val="00443E6F"/>
    <w:rsid w:val="004770C9"/>
    <w:rsid w:val="00486F1A"/>
    <w:rsid w:val="00490CB9"/>
    <w:rsid w:val="004A2CE2"/>
    <w:rsid w:val="004B1721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5034"/>
    <w:rsid w:val="005B31E4"/>
    <w:rsid w:val="005D3509"/>
    <w:rsid w:val="006034F6"/>
    <w:rsid w:val="00607874"/>
    <w:rsid w:val="00607E77"/>
    <w:rsid w:val="00617BB3"/>
    <w:rsid w:val="00645CDD"/>
    <w:rsid w:val="006749C9"/>
    <w:rsid w:val="006823A7"/>
    <w:rsid w:val="00687EE8"/>
    <w:rsid w:val="0070347F"/>
    <w:rsid w:val="0070678E"/>
    <w:rsid w:val="00716AE7"/>
    <w:rsid w:val="00735934"/>
    <w:rsid w:val="007719EB"/>
    <w:rsid w:val="00792998"/>
    <w:rsid w:val="00812FCE"/>
    <w:rsid w:val="00831C11"/>
    <w:rsid w:val="0083622E"/>
    <w:rsid w:val="00853A7F"/>
    <w:rsid w:val="008A60B4"/>
    <w:rsid w:val="008B3C31"/>
    <w:rsid w:val="008B64FE"/>
    <w:rsid w:val="008E51DC"/>
    <w:rsid w:val="00921BE1"/>
    <w:rsid w:val="009272F6"/>
    <w:rsid w:val="00935BF7"/>
    <w:rsid w:val="0095442C"/>
    <w:rsid w:val="0096439E"/>
    <w:rsid w:val="00983942"/>
    <w:rsid w:val="00993C21"/>
    <w:rsid w:val="009A73D3"/>
    <w:rsid w:val="009C37E0"/>
    <w:rsid w:val="009E41F4"/>
    <w:rsid w:val="009F5C66"/>
    <w:rsid w:val="00A14B66"/>
    <w:rsid w:val="00A16853"/>
    <w:rsid w:val="00A231BA"/>
    <w:rsid w:val="00A27F73"/>
    <w:rsid w:val="00A65CF7"/>
    <w:rsid w:val="00A81AB4"/>
    <w:rsid w:val="00A851DA"/>
    <w:rsid w:val="00A935D0"/>
    <w:rsid w:val="00AC7D5B"/>
    <w:rsid w:val="00AE1481"/>
    <w:rsid w:val="00B0415E"/>
    <w:rsid w:val="00B04678"/>
    <w:rsid w:val="00B3612D"/>
    <w:rsid w:val="00BC46DF"/>
    <w:rsid w:val="00BF2881"/>
    <w:rsid w:val="00C03577"/>
    <w:rsid w:val="00C53029"/>
    <w:rsid w:val="00C65FEA"/>
    <w:rsid w:val="00C973C5"/>
    <w:rsid w:val="00CA0AC2"/>
    <w:rsid w:val="00CA2DE4"/>
    <w:rsid w:val="00CB4D0A"/>
    <w:rsid w:val="00CC2FB3"/>
    <w:rsid w:val="00CC575A"/>
    <w:rsid w:val="00CF123B"/>
    <w:rsid w:val="00D039AC"/>
    <w:rsid w:val="00D03BC3"/>
    <w:rsid w:val="00D04ABD"/>
    <w:rsid w:val="00D2670A"/>
    <w:rsid w:val="00D427DE"/>
    <w:rsid w:val="00D42C88"/>
    <w:rsid w:val="00D5587D"/>
    <w:rsid w:val="00D707CC"/>
    <w:rsid w:val="00D821FE"/>
    <w:rsid w:val="00D84B85"/>
    <w:rsid w:val="00DB0793"/>
    <w:rsid w:val="00E00821"/>
    <w:rsid w:val="00E04DB4"/>
    <w:rsid w:val="00E30679"/>
    <w:rsid w:val="00E4597D"/>
    <w:rsid w:val="00E54832"/>
    <w:rsid w:val="00E56A90"/>
    <w:rsid w:val="00E641CC"/>
    <w:rsid w:val="00E73A1E"/>
    <w:rsid w:val="00E9409D"/>
    <w:rsid w:val="00EA30AB"/>
    <w:rsid w:val="00EB3925"/>
    <w:rsid w:val="00EE5FB3"/>
    <w:rsid w:val="00F15F39"/>
    <w:rsid w:val="00F6077B"/>
    <w:rsid w:val="00F72127"/>
    <w:rsid w:val="00F96EB3"/>
    <w:rsid w:val="00FE45E2"/>
    <w:rsid w:val="00FE4918"/>
    <w:rsid w:val="00FE619A"/>
    <w:rsid w:val="00FF00EA"/>
    <w:rsid w:val="00FF4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4D0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4D0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rFonts w:cstheme="minorBid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67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BA464-FA10-4820-BE91-64FF4E637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Overtone Kanyenda</cp:lastModifiedBy>
  <cp:revision>2</cp:revision>
  <dcterms:created xsi:type="dcterms:W3CDTF">2017-12-17T14:23:00Z</dcterms:created>
  <dcterms:modified xsi:type="dcterms:W3CDTF">2017-12-17T14:23:00Z</dcterms:modified>
</cp:coreProperties>
</file>