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 xml:space="preserve">Bianca Nicoleta Opincaru </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25882</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Calibri" w:cs="Calibri" w:hAnsi="Calibri" w:eastAsia="Calibri"/>
                <w:color w:val="656565"/>
                <w:shd w:val="clear" w:color="auto" w:fill="fefffe"/>
              </w:rPr>
              <w:t>Advanced Diploma in Event Management - Level 5</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5</w:t>
            </w:r>
          </w:p>
        </w:tc>
      </w:tr>
    </w:tbl>
    <w:p>
      <w:pPr>
        <w:pStyle w:val="Body"/>
        <w:widowControl w:val="0"/>
        <w:spacing w:line="240" w:lineRule="auto"/>
        <w:rPr>
          <w:lang w:val="en-US"/>
        </w:rPr>
      </w:pPr>
    </w:p>
    <w:p>
      <w:pPr>
        <w:pStyle w:val="Body"/>
        <w:rPr>
          <w:b w:val="1"/>
          <w:bCs w:val="1"/>
          <w:lang w:val="en-US"/>
        </w:rPr>
      </w:pPr>
    </w:p>
    <w:p>
      <w:pPr>
        <w:pStyle w:val="Body"/>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tbl>
      <w:tblPr>
        <w:tblW w:w="901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010"/>
      </w:tblGrid>
      <w:tr>
        <w:tblPrEx>
          <w:shd w:val="clear" w:color="auto" w:fill="ced7e7"/>
        </w:tblPrEx>
        <w:trPr>
          <w:trHeight w:val="484" w:hRule="atLeast"/>
        </w:trPr>
        <w:tc>
          <w:tcPr>
            <w:tcW w:type="dxa" w:w="90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bidi w:val="0"/>
              <w:spacing w:after="0" w:line="240" w:lineRule="auto"/>
              <w:ind w:left="0" w:right="0" w:firstLine="0"/>
              <w:jc w:val="left"/>
              <w:rPr>
                <w:rtl w:val="0"/>
              </w:rPr>
            </w:pPr>
            <w:r>
              <w:rPr>
                <w:rFonts w:ascii="Helvetica Neue" w:hAnsi="Helvetica Neue"/>
              </w:rPr>
              <w:t>1 i. Permits such as road closure permit, fire permit, food vending permit, health and safety permit etc., may be secured from Councils or other related agencies.</w:t>
            </w:r>
          </w:p>
        </w:tc>
      </w:tr>
      <w:tr>
        <w:tblPrEx>
          <w:shd w:val="clear" w:color="auto" w:fill="ced7e7"/>
        </w:tblPrEx>
        <w:trPr>
          <w:trHeight w:val="435" w:hRule="atLeast"/>
        </w:trPr>
        <w:tc>
          <w:tcPr>
            <w:tcW w:type="dxa" w:w="9010"/>
            <w:tcBorders>
              <w:top w:val="single" w:color="000000" w:sz="4"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tc>
      </w:tr>
      <w:tr>
        <w:tblPrEx>
          <w:shd w:val="clear" w:color="auto" w:fill="ced7e7"/>
        </w:tblPrEx>
        <w:trPr>
          <w:trHeight w:val="1214"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pStyle w:val="Body"/>
              <w:bidi w:val="0"/>
              <w:spacing w:after="0" w:line="240" w:lineRule="auto"/>
              <w:ind w:left="0" w:right="0" w:firstLine="0"/>
              <w:jc w:val="left"/>
              <w:rPr>
                <w:rtl w:val="0"/>
              </w:rPr>
            </w:pPr>
            <w:r>
              <w:rPr>
                <w:rFonts w:ascii="Helvetica Neue" w:hAnsi="Helvetica Neue"/>
              </w:rPr>
              <w:t>ii.This is also known as the pre-event briefing. It requires having discussions about critical aspects of the event with all stakeholders to clarify issues concerning any particular dimension of the event before the start of event.At this meeting, the participants need to talk about issues relating to the timetables, security, communication, and emergency procedures, etc.</w:t>
            </w:r>
          </w:p>
        </w:tc>
      </w:tr>
      <w:tr>
        <w:tblPrEx>
          <w:shd w:val="clear" w:color="auto" w:fill="ced7e7"/>
        </w:tblPrEx>
        <w:trPr>
          <w:trHeight w:val="44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tc>
      </w:tr>
      <w:tr>
        <w:tblPrEx>
          <w:shd w:val="clear" w:color="auto" w:fill="ced7e7"/>
        </w:tblPrEx>
        <w:trPr>
          <w:trHeight w:val="36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pStyle w:val="Body"/>
              <w:bidi w:val="0"/>
              <w:spacing w:after="0" w:line="240" w:lineRule="auto"/>
              <w:ind w:left="0" w:right="0" w:firstLine="0"/>
              <w:jc w:val="left"/>
              <w:rPr>
                <w:rtl w:val="0"/>
              </w:rPr>
            </w:pPr>
            <w:r>
              <w:rPr>
                <w:rFonts w:ascii="Helvetica Neue" w:hAnsi="Helvetica Neue"/>
              </w:rPr>
              <w:t>iii.</w:t>
            </w:r>
          </w:p>
        </w:tc>
      </w:tr>
      <w:tr>
        <w:tblPrEx>
          <w:shd w:val="clear" w:color="auto" w:fill="ced7e7"/>
        </w:tblPrEx>
        <w:trPr>
          <w:trHeight w:val="1214"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pStyle w:val="Body"/>
              <w:bidi w:val="0"/>
              <w:spacing w:after="0" w:line="240" w:lineRule="auto"/>
              <w:ind w:left="0" w:right="0" w:firstLine="0"/>
              <w:jc w:val="left"/>
              <w:rPr>
                <w:rtl w:val="0"/>
              </w:rPr>
            </w:pPr>
            <w:r>
              <w:rPr>
                <w:rFonts w:ascii="Helvetica Neue" w:hAnsi="Helvetica Neue"/>
              </w:rPr>
              <w:t>Well-crafted messages, which details the purpose of the event and the provision of entertainment, transportation, food, facilities for packing, and direction of the venue, etc., can contribute immensely to its overall success. The design of tickets should help manage the arrival and the manner of allocating places at the venue can also serve as a means of controlling crowd size and movement.</w:t>
            </w:r>
          </w:p>
        </w:tc>
      </w:tr>
      <w:tr>
        <w:tblPrEx>
          <w:shd w:val="clear" w:color="auto" w:fill="ced7e7"/>
        </w:tblPrEx>
        <w:trPr>
          <w:trHeight w:val="44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tc>
      </w:tr>
      <w:tr>
        <w:tblPrEx>
          <w:shd w:val="clear" w:color="auto" w:fill="ced7e7"/>
        </w:tblPrEx>
        <w:trPr>
          <w:trHeight w:val="44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tc>
      </w:tr>
      <w:tr>
        <w:tblPrEx>
          <w:shd w:val="clear" w:color="auto" w:fill="ced7e7"/>
        </w:tblPrEx>
        <w:trPr>
          <w:trHeight w:val="36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pStyle w:val="Body"/>
              <w:bidi w:val="0"/>
              <w:spacing w:after="0" w:line="240" w:lineRule="auto"/>
              <w:ind w:left="0" w:right="0" w:firstLine="0"/>
              <w:jc w:val="left"/>
              <w:rPr>
                <w:rtl w:val="0"/>
              </w:rPr>
            </w:pPr>
            <w:r>
              <w:rPr>
                <w:rFonts w:ascii="Helvetica Neue" w:hAnsi="Helvetica Neue"/>
              </w:rPr>
              <w:t>vi.</w:t>
            </w:r>
          </w:p>
        </w:tc>
      </w:tr>
      <w:tr>
        <w:tblPrEx>
          <w:shd w:val="clear" w:color="auto" w:fill="ced7e7"/>
        </w:tblPrEx>
        <w:trPr>
          <w:trHeight w:val="1934"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pStyle w:val="Body"/>
              <w:bidi w:val="0"/>
              <w:spacing w:after="0" w:line="240" w:lineRule="auto"/>
              <w:ind w:left="0" w:right="0" w:firstLine="0"/>
              <w:jc w:val="left"/>
              <w:rPr>
                <w:rtl w:val="0"/>
              </w:rPr>
            </w:pPr>
            <w:r>
              <w:rPr>
                <w:rFonts w:ascii="Helvetica Neue" w:hAnsi="Helvetica Neue"/>
              </w:rPr>
              <w:t>The site plan is a map which shows the location of the event venue in relation to other important landmarks close by. It helps in planning and managing events. The site plan may be analysed during the planning phase to identify any conflict or problems before being finalised. It can be a valuable resource to assist stakeholders to plan their own activities given that some may not have the opportunity to go to the site to have a look. Workers may also find the site plan useful in assisting them to set up instrument and other facilities. A site plan is very essential to quickly locating areas of incidents for the casualties to receive rapid treatments.</w:t>
            </w:r>
          </w:p>
        </w:tc>
      </w:tr>
      <w:tr>
        <w:tblPrEx>
          <w:shd w:val="clear" w:color="auto" w:fill="ced7e7"/>
        </w:tblPrEx>
        <w:trPr>
          <w:trHeight w:val="44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tc>
      </w:tr>
      <w:tr>
        <w:tblPrEx>
          <w:shd w:val="clear" w:color="auto" w:fill="ced7e7"/>
        </w:tblPrEx>
        <w:trPr>
          <w:trHeight w:val="44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tc>
      </w:tr>
      <w:tr>
        <w:tblPrEx>
          <w:shd w:val="clear" w:color="auto" w:fill="ced7e7"/>
        </w:tblPrEx>
        <w:trPr>
          <w:trHeight w:val="44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tc>
      </w:tr>
      <w:tr>
        <w:tblPrEx>
          <w:shd w:val="clear" w:color="auto" w:fill="ced7e7"/>
        </w:tblPrEx>
        <w:trPr>
          <w:trHeight w:val="734"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pStyle w:val="Body"/>
              <w:bidi w:val="0"/>
              <w:spacing w:after="0" w:line="240" w:lineRule="auto"/>
              <w:ind w:left="0" w:right="0" w:firstLine="0"/>
              <w:jc w:val="left"/>
              <w:rPr>
                <w:rtl w:val="0"/>
              </w:rPr>
            </w:pPr>
            <w:r>
              <w:rPr>
                <w:rFonts w:ascii="Helvetica Neue" w:hAnsi="Helvetica Neue"/>
              </w:rPr>
              <w:t>2.Debriefing involves the organisers and stakeholder discussing what transpired during the event. This should be carried out immediately the event ends. This helps to evaluate the event to identify the positive and negative experiences.</w:t>
            </w:r>
          </w:p>
        </w:tc>
      </w:tr>
      <w:tr>
        <w:tblPrEx>
          <w:shd w:val="clear" w:color="auto" w:fill="ced7e7"/>
        </w:tblPrEx>
        <w:trPr>
          <w:trHeight w:val="44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tc>
      </w:tr>
      <w:tr>
        <w:tblPrEx>
          <w:shd w:val="clear" w:color="auto" w:fill="ced7e7"/>
        </w:tblPrEx>
        <w:trPr>
          <w:trHeight w:val="44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tc>
      </w:tr>
      <w:tr>
        <w:tblPrEx>
          <w:shd w:val="clear" w:color="auto" w:fill="ced7e7"/>
        </w:tblPrEx>
        <w:trPr>
          <w:trHeight w:val="1934"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pStyle w:val="Body"/>
              <w:bidi w:val="0"/>
              <w:spacing w:after="0" w:line="240" w:lineRule="auto"/>
              <w:ind w:left="0" w:right="0" w:firstLine="0"/>
              <w:jc w:val="left"/>
              <w:rPr>
                <w:rtl w:val="0"/>
              </w:rPr>
            </w:pPr>
            <w:r>
              <w:rPr>
                <w:rFonts w:ascii="Helvetica Neue" w:hAnsi="Helvetica Neue"/>
              </w:rPr>
              <w:t>3. I</w:t>
            </w:r>
            <w:r>
              <w:rPr>
                <w:rFonts w:ascii="Helvetica Neue" w:hAnsi="Helvetica Neue" w:hint="default"/>
              </w:rPr>
              <w:t>’</w:t>
            </w:r>
            <w:r>
              <w:rPr>
                <w:rFonts w:ascii="Helvetica Neue" w:hAnsi="Helvetica Neue"/>
              </w:rPr>
              <w:t>m organising this Techno party because I want to make our new generation happy , to give them what they like .The partners which we will work with will be Techbox .The budget to be spend will be 30K . The artist will be a famous Dj, Boris Brejcha  .The timeline will look like this: 9:00-catering crew arrives, 10:00- bar are set ,11:00- Dj takes the stage , 12:00-Doors open . For the physical Human Resources we will work with a company named Super Monaco to be sure everything its covered on that aspect. The target audience will include people between the ages 19-25. We will promote the event online thru social media apps like Facebook, Instagram,Snapchat.</w:t>
            </w:r>
          </w:p>
        </w:tc>
      </w:tr>
    </w:tbl>
    <w:p>
      <w:pPr>
        <w:pStyle w:val="Body"/>
        <w:widowControl w:val="0"/>
        <w:spacing w:line="240" w:lineRule="auto"/>
      </w:pPr>
    </w:p>
    <w:p>
      <w:pPr>
        <w:pStyle w:val="Body"/>
        <w:spacing w:after="0" w:line="240" w:lineRule="auto"/>
        <w:rPr>
          <w:b w:val="1"/>
          <w:bCs w:val="1"/>
          <w:color w:val="002060"/>
          <w:sz w:val="28"/>
          <w:szCs w:val="28"/>
          <w:u w:color="002060"/>
          <w:lang w:val="en-US"/>
        </w:rPr>
      </w:pPr>
    </w:p>
    <w:p>
      <w:pPr>
        <w:pStyle w:val="Body"/>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w:spacing w:after="0" w:line="240" w:lineRule="auto"/>
        <w:rPr>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01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252"/>
        <w:gridCol w:w="3933"/>
        <w:gridCol w:w="1244"/>
        <w:gridCol w:w="1581"/>
      </w:tblGrid>
      <w:tr>
        <w:tblPrEx>
          <w:shd w:val="clear" w:color="auto" w:fill="ced7e7"/>
        </w:tblPrEx>
        <w:trPr>
          <w:trHeight w:val="5503" w:hRule="atLeast"/>
        </w:trPr>
        <w:tc>
          <w:tcPr>
            <w:tcW w:type="dxa" w:w="22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3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drawing>
                <wp:inline distT="0" distB="0" distL="0" distR="0">
                  <wp:extent cx="2247900" cy="3429000"/>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png"/>
                          <pic:cNvPicPr>
                            <a:picLocks noChangeAspect="1"/>
                          </pic:cNvPicPr>
                        </pic:nvPicPr>
                        <pic:blipFill>
                          <a:blip r:embed="rId5">
                            <a:extLst/>
                          </a:blip>
                          <a:stretch>
                            <a:fillRect/>
                          </a:stretch>
                        </pic:blipFill>
                        <pic:spPr>
                          <a:xfrm>
                            <a:off x="0" y="0"/>
                            <a:ext cx="2247900" cy="3429000"/>
                          </a:xfrm>
                          <a:prstGeom prst="rect">
                            <a:avLst/>
                          </a:prstGeom>
                          <a:ln w="12700" cap="flat">
                            <a:noFill/>
                            <a:miter lim="400000"/>
                          </a:ln>
                          <a:effectLst/>
                        </pic:spPr>
                      </pic:pic>
                    </a:graphicData>
                  </a:graphic>
                </wp:inline>
              </w:drawing>
            </w:r>
          </w:p>
        </w:tc>
        <w:tc>
          <w:tcPr>
            <w:tcW w:type="dxa" w:w="124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5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4.12.2018</w:t>
            </w:r>
          </w:p>
        </w:tc>
      </w:tr>
    </w:tbl>
    <w:p>
      <w:pPr>
        <w:pStyle w:val="Body"/>
        <w:widowControl w:val="0"/>
        <w:shd w:val="clear" w:color="auto" w:fill="d9d9d9"/>
        <w:spacing w:line="240" w:lineRule="auto"/>
        <w:rPr>
          <w:rFonts w:ascii="Calibri" w:cs="Calibri" w:hAnsi="Calibri" w:eastAsia="Calibri"/>
          <w:b w:val="1"/>
          <w:bCs w:val="1"/>
          <w:sz w:val="32"/>
          <w:szCs w:val="32"/>
        </w:rPr>
      </w:pPr>
    </w:p>
    <w:p>
      <w:pPr>
        <w:pStyle w:val="Body"/>
        <w:rPr>
          <w:sz w:val="24"/>
          <w:szCs w:val="24"/>
        </w:rPr>
      </w:pPr>
    </w:p>
    <w:p>
      <w:pPr>
        <w:pStyle w:val="Body"/>
        <w:rPr>
          <w:sz w:val="24"/>
          <w:szCs w:val="24"/>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6"/>
      <w:footerReference w:type="default" r:id="rId7"/>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