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0A3B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C0F2BA1" wp14:editId="1D09B5E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1676C2" w14:textId="77777777" w:rsidR="00607874" w:rsidRDefault="0061695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8932BEB" wp14:editId="61088C2B">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0C97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0AE38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932BE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7B0C97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0AE38D" w14:textId="77777777" w:rsidR="00405895" w:rsidRDefault="00405895"/>
                  </w:txbxContent>
                </v:textbox>
              </v:shape>
            </w:pict>
          </mc:Fallback>
        </mc:AlternateContent>
      </w:r>
    </w:p>
    <w:p w14:paraId="0BD6B5F0" w14:textId="77777777" w:rsidR="00607874" w:rsidRDefault="00607874" w:rsidP="00A851DA">
      <w:pPr>
        <w:rPr>
          <w:lang w:val="en-US"/>
        </w:rPr>
      </w:pPr>
    </w:p>
    <w:p w14:paraId="470E7A46" w14:textId="77777777" w:rsidR="00607874" w:rsidRDefault="00607874" w:rsidP="00A851DA">
      <w:pPr>
        <w:rPr>
          <w:lang w:val="en-US"/>
        </w:rPr>
      </w:pPr>
    </w:p>
    <w:p w14:paraId="1175B13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72FA7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1C400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5D13D76" w14:textId="0299D7DF" w:rsidR="00A851DA" w:rsidRPr="00B0415E" w:rsidRDefault="000D004B">
            <w:pPr>
              <w:pStyle w:val="Default"/>
              <w:rPr>
                <w:rFonts w:asciiTheme="minorHAnsi" w:hAnsiTheme="minorHAnsi"/>
              </w:rPr>
            </w:pPr>
            <w:r>
              <w:rPr>
                <w:rFonts w:asciiTheme="minorHAnsi" w:hAnsiTheme="minorHAnsi"/>
              </w:rPr>
              <w:t>Felicia Jones</w:t>
            </w:r>
          </w:p>
        </w:tc>
      </w:tr>
      <w:tr w:rsidR="00A851DA" w:rsidRPr="00B0415E" w14:paraId="609580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3A500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A1C73DB" w14:textId="67BAC8A9" w:rsidR="00A851DA" w:rsidRPr="00B0415E" w:rsidRDefault="000D004B">
            <w:pPr>
              <w:pStyle w:val="Default"/>
              <w:rPr>
                <w:rFonts w:asciiTheme="minorHAnsi" w:hAnsiTheme="minorHAnsi"/>
              </w:rPr>
            </w:pPr>
            <w:r>
              <w:rPr>
                <w:rFonts w:asciiTheme="minorHAnsi" w:hAnsiTheme="minorHAnsi"/>
              </w:rPr>
              <w:t>27200</w:t>
            </w:r>
          </w:p>
        </w:tc>
      </w:tr>
      <w:tr w:rsidR="00A851DA" w:rsidRPr="00B0415E" w14:paraId="7BE15D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71CC4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2B6DA4C" w14:textId="2F5EB9B9" w:rsidR="00A851DA" w:rsidRPr="00B0415E" w:rsidRDefault="000D004B">
            <w:pPr>
              <w:pStyle w:val="Default"/>
              <w:rPr>
                <w:rFonts w:asciiTheme="minorHAnsi" w:hAnsiTheme="minorHAnsi"/>
              </w:rPr>
            </w:pPr>
            <w:r>
              <w:rPr>
                <w:rFonts w:asciiTheme="minorHAnsi" w:hAnsiTheme="minorHAnsi"/>
              </w:rPr>
              <w:t>Active Listening Online Training Course</w:t>
            </w:r>
          </w:p>
        </w:tc>
      </w:tr>
      <w:tr w:rsidR="00A851DA" w:rsidRPr="00B0415E" w14:paraId="1CADF1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DCBEB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28D2AC1" w14:textId="236A5EDD" w:rsidR="00A851DA" w:rsidRPr="00B0415E" w:rsidRDefault="000D004B">
            <w:r>
              <w:t>2</w:t>
            </w:r>
          </w:p>
        </w:tc>
      </w:tr>
    </w:tbl>
    <w:p w14:paraId="5812B43D" w14:textId="77777777" w:rsidR="00CC2FB3" w:rsidRDefault="00CC2FB3" w:rsidP="00A851DA">
      <w:pPr>
        <w:rPr>
          <w:b/>
          <w:lang w:val="en-US"/>
        </w:rPr>
      </w:pPr>
    </w:p>
    <w:p w14:paraId="60996E5C" w14:textId="77777777" w:rsidR="00443E6F" w:rsidRDefault="00527C11" w:rsidP="00A851DA">
      <w:pPr>
        <w:rPr>
          <w:b/>
          <w:sz w:val="28"/>
          <w:lang w:val="en-US"/>
        </w:rPr>
      </w:pPr>
      <w:r w:rsidRPr="00443E6F">
        <w:rPr>
          <w:b/>
          <w:sz w:val="28"/>
          <w:lang w:val="en-US"/>
        </w:rPr>
        <w:t>Marking Criteria:</w:t>
      </w:r>
    </w:p>
    <w:p w14:paraId="792BB65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CFEBED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6FED75C" w14:textId="77777777" w:rsidTr="00CC2FB3">
        <w:tc>
          <w:tcPr>
            <w:tcW w:w="9242" w:type="dxa"/>
          </w:tcPr>
          <w:p w14:paraId="73EBD734" w14:textId="227EC710"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74A77D9C" w14:textId="588AD0D7" w:rsidR="000D004B" w:rsidRDefault="000D004B" w:rsidP="00A851DA">
            <w:pPr>
              <w:rPr>
                <w:rFonts w:ascii="Arial" w:hAnsi="Arial" w:cs="Arial"/>
                <w:sz w:val="24"/>
                <w:szCs w:val="24"/>
              </w:rPr>
            </w:pPr>
          </w:p>
          <w:p w14:paraId="5F8BE594" w14:textId="77777777" w:rsidR="000D004B" w:rsidRPr="00B22792" w:rsidRDefault="000D004B" w:rsidP="000D004B">
            <w:pPr>
              <w:rPr>
                <w:b/>
                <w:u w:val="single"/>
              </w:rPr>
            </w:pPr>
            <w:r w:rsidRPr="00B22792">
              <w:rPr>
                <w:b/>
                <w:u w:val="single"/>
              </w:rPr>
              <w:t>Assessment 2</w:t>
            </w:r>
          </w:p>
          <w:p w14:paraId="14F34FD6" w14:textId="77777777" w:rsidR="000D004B" w:rsidRPr="00C36810" w:rsidRDefault="000D004B" w:rsidP="000D004B">
            <w:pPr>
              <w:rPr>
                <w:b/>
              </w:rPr>
            </w:pPr>
            <w:r w:rsidRPr="00C36810">
              <w:rPr>
                <w:b/>
              </w:rPr>
              <w:t>Q1</w:t>
            </w:r>
          </w:p>
          <w:p w14:paraId="554A7BE3" w14:textId="77777777" w:rsidR="000D004B" w:rsidRPr="00C36810" w:rsidRDefault="000D004B" w:rsidP="000D004B">
            <w:pPr>
              <w:rPr>
                <w:b/>
              </w:rPr>
            </w:pPr>
            <w:r w:rsidRPr="00C36810">
              <w:rPr>
                <w:b/>
              </w:rPr>
              <w:t>I. Describe the communication process</w:t>
            </w:r>
          </w:p>
          <w:p w14:paraId="257FA7AE" w14:textId="77777777" w:rsidR="000D004B" w:rsidRDefault="000D004B" w:rsidP="000D004B">
            <w:r>
              <w:t xml:space="preserve">The communication process is a very broad </w:t>
            </w:r>
            <w:r w:rsidRPr="004869F4">
              <w:rPr>
                <w:lang w:val="en-GB"/>
              </w:rPr>
              <w:t>activity</w:t>
            </w:r>
            <w:r>
              <w:t xml:space="preserve">, which involves much more than simply having two people speaking to one another. An integral part of the process also involves the person who is not speaking, being a good listener. This requires them to be able to actively listen to what the speaker is saying and to maintain focus, as well as develop rapport with the speaker. This can then lead the speaker to know that the listener is actively interested and engaged in what is being said. </w:t>
            </w:r>
          </w:p>
          <w:p w14:paraId="2D508D7D" w14:textId="77777777" w:rsidR="000D004B" w:rsidRDefault="000D004B" w:rsidP="000D004B"/>
          <w:p w14:paraId="0650AEA2" w14:textId="77777777" w:rsidR="000D004B" w:rsidRDefault="000D004B" w:rsidP="000D004B">
            <w:r>
              <w:t xml:space="preserve">It is important to </w:t>
            </w:r>
            <w:proofErr w:type="spellStart"/>
            <w:r>
              <w:t>recognise</w:t>
            </w:r>
            <w:proofErr w:type="spellEnd"/>
            <w:r>
              <w:t xml:space="preserve"> the breadth of this exchange. Initially, the speaker will say something (words) which ‘should’ be received by the listener. However, due to the filter through which the listener hears what is being said, aspects of the conversation may be misheard or misinterpreted or not heard at all. In this respect both the speaker and the listener have to be aware that there may be things that are ‘unsaid’ (in the background) which may be influencing the conversation. </w:t>
            </w:r>
          </w:p>
          <w:p w14:paraId="6048357F" w14:textId="77777777" w:rsidR="000D004B" w:rsidRDefault="000D004B" w:rsidP="000D004B"/>
          <w:p w14:paraId="4D392F43" w14:textId="77777777" w:rsidR="000D004B" w:rsidRPr="00C36810" w:rsidRDefault="000D004B" w:rsidP="000D004B">
            <w:pPr>
              <w:rPr>
                <w:b/>
              </w:rPr>
            </w:pPr>
            <w:r w:rsidRPr="00C36810">
              <w:rPr>
                <w:b/>
              </w:rPr>
              <w:t>II. What are closed questions?</w:t>
            </w:r>
          </w:p>
          <w:p w14:paraId="25D70D49" w14:textId="77777777" w:rsidR="000D004B" w:rsidRDefault="000D004B" w:rsidP="000D004B">
            <w:r>
              <w:t>Closed questions evoke mainly ‘yes’ or ‘no’ answers. An example would be. ‘Do you like coffee?’ It does not evoke exploration.</w:t>
            </w:r>
          </w:p>
          <w:p w14:paraId="46256B3B" w14:textId="77777777" w:rsidR="000D004B" w:rsidRDefault="000D004B" w:rsidP="000D004B"/>
          <w:p w14:paraId="248F9BBD" w14:textId="77777777" w:rsidR="000D004B" w:rsidRPr="00C36810" w:rsidRDefault="000D004B" w:rsidP="000D004B">
            <w:pPr>
              <w:rPr>
                <w:b/>
              </w:rPr>
            </w:pPr>
            <w:r w:rsidRPr="00C36810">
              <w:rPr>
                <w:b/>
              </w:rPr>
              <w:t>III. What is paraphrasing?</w:t>
            </w:r>
          </w:p>
          <w:p w14:paraId="34566B51" w14:textId="77777777" w:rsidR="000D004B" w:rsidRDefault="000D004B" w:rsidP="000D004B">
            <w:r>
              <w:t xml:space="preserve">Paraphrasing allows the listener to </w:t>
            </w:r>
            <w:proofErr w:type="spellStart"/>
            <w:r>
              <w:t>summarise</w:t>
            </w:r>
            <w:proofErr w:type="spellEnd"/>
            <w:r>
              <w:t xml:space="preserve">, in their own words aspects of what they have heard the speaker say. This would be done as a way of clarifying what was heard. For example, ‘did I understand correctly that you said, you went to town on Tuesday when normally you’d go on a Wednesday and that’s why you think the incident happened?’. By paraphrasing and honing in on what the speaker was saying, it allows the speaker to know that the listener really heard them and is interested in what they’ve said. </w:t>
            </w:r>
          </w:p>
          <w:p w14:paraId="725FCB1A" w14:textId="77777777" w:rsidR="000D004B" w:rsidRDefault="000D004B" w:rsidP="000D004B"/>
          <w:p w14:paraId="5FFFABFD" w14:textId="77777777" w:rsidR="000D004B" w:rsidRPr="00C36810" w:rsidRDefault="000D004B" w:rsidP="000D004B">
            <w:pPr>
              <w:rPr>
                <w:b/>
              </w:rPr>
            </w:pPr>
            <w:r w:rsidRPr="00C36810">
              <w:rPr>
                <w:b/>
              </w:rPr>
              <w:t>IV. Define probing techniques</w:t>
            </w:r>
          </w:p>
          <w:p w14:paraId="6E75F960" w14:textId="77777777" w:rsidR="000D004B" w:rsidRDefault="000D004B" w:rsidP="000D004B">
            <w:r>
              <w:t xml:space="preserve">Probing techniques are a way to gain more specific information from the speaker. It may be that the speaker is being vague in what they are saying and that in order to help them you would like to find out more. For example, ‘When that happened, exactly where were you standing?’. This can be useful, but must be used sensitively as it can disrupt the flow of a conversation if too many probing questions are asked. It could also make the speaker feel that they are being questioned for the listeners benefit rather than their own. </w:t>
            </w:r>
          </w:p>
          <w:p w14:paraId="3EECCA5E" w14:textId="77777777" w:rsidR="000D004B" w:rsidRDefault="000D004B" w:rsidP="000D004B"/>
          <w:p w14:paraId="1D1C409B" w14:textId="77777777" w:rsidR="000D004B" w:rsidRPr="00C36810" w:rsidRDefault="000D004B" w:rsidP="000D004B">
            <w:pPr>
              <w:rPr>
                <w:b/>
              </w:rPr>
            </w:pPr>
            <w:r w:rsidRPr="00C36810">
              <w:rPr>
                <w:b/>
              </w:rPr>
              <w:t>V. Define the following terms:</w:t>
            </w:r>
          </w:p>
          <w:p w14:paraId="5FE74695" w14:textId="77777777" w:rsidR="000D004B" w:rsidRPr="00C36810" w:rsidRDefault="000D004B" w:rsidP="000D004B">
            <w:pPr>
              <w:rPr>
                <w:b/>
              </w:rPr>
            </w:pPr>
            <w:r w:rsidRPr="00C36810">
              <w:rPr>
                <w:b/>
              </w:rPr>
              <w:t>a) Open questions.</w:t>
            </w:r>
          </w:p>
          <w:p w14:paraId="468BBEE2" w14:textId="77777777" w:rsidR="000D004B" w:rsidRDefault="000D004B" w:rsidP="000D004B">
            <w:r>
              <w:t xml:space="preserve">Open questions allow the speaker to open up and expand on what they are saying. Questions usually start with ‘what, where, when, who, how? For example, ‘how did that make you feel?’ This allows the speak to really speak about their experience. </w:t>
            </w:r>
          </w:p>
          <w:p w14:paraId="7A26CE7F" w14:textId="77777777" w:rsidR="000D004B" w:rsidRDefault="000D004B" w:rsidP="000D004B"/>
          <w:p w14:paraId="3DCCDBA4" w14:textId="77777777" w:rsidR="000D004B" w:rsidRPr="00C36810" w:rsidRDefault="000D004B" w:rsidP="000D004B">
            <w:pPr>
              <w:rPr>
                <w:b/>
              </w:rPr>
            </w:pPr>
            <w:r w:rsidRPr="00C36810">
              <w:rPr>
                <w:b/>
              </w:rPr>
              <w:t>b) Summary questions.</w:t>
            </w:r>
          </w:p>
          <w:p w14:paraId="77130601" w14:textId="77777777" w:rsidR="000D004B" w:rsidRDefault="000D004B" w:rsidP="000D004B">
            <w:r>
              <w:t xml:space="preserve">Summary questions enable the listener to describe in short what they understand the speaker to have said and then end by adding a ‘rounding off question’. In doing this, it can build rapport. It demonstrates to the speaker that the listener has paid particular attention to not only the general conversation, but also heard many detailed aspects of the conversation and maintained interest throughout. For example, ‘Thursday was really distressing for you because you were going to go to the bank, but </w:t>
            </w:r>
            <w:proofErr w:type="spellStart"/>
            <w:r>
              <w:t>realised</w:t>
            </w:r>
            <w:proofErr w:type="spellEnd"/>
            <w:r>
              <w:t xml:space="preserve"> that you’re credit card was missing. You went into a panic, but when you got back to your car, you </w:t>
            </w:r>
            <w:proofErr w:type="spellStart"/>
            <w:r>
              <w:t>realised</w:t>
            </w:r>
            <w:proofErr w:type="spellEnd"/>
            <w:r>
              <w:t xml:space="preserve"> that the card had fallen on the floor. You felt such relief that you went home and had a cup of tea, is that right?’ </w:t>
            </w:r>
          </w:p>
          <w:p w14:paraId="2FDA55FE" w14:textId="77777777" w:rsidR="000D004B" w:rsidRDefault="000D004B" w:rsidP="000D004B"/>
          <w:p w14:paraId="6621AE0A" w14:textId="77777777" w:rsidR="000D004B" w:rsidRPr="00C36810" w:rsidRDefault="000D004B" w:rsidP="000D004B">
            <w:pPr>
              <w:rPr>
                <w:b/>
              </w:rPr>
            </w:pPr>
            <w:r w:rsidRPr="00C36810">
              <w:rPr>
                <w:b/>
              </w:rPr>
              <w:t>c) Echoing techniques</w:t>
            </w:r>
          </w:p>
          <w:p w14:paraId="351E9B63" w14:textId="77777777" w:rsidR="000D004B" w:rsidRDefault="000D004B" w:rsidP="000D004B">
            <w:r>
              <w:t>Echoing techniques highlight particular words that the speaker has used as a way of clarifying and demonstrating to the speaker that you’re listening. You can repeat a few of these. For example, ‘It was raining’ or ‘that disturbed you’ or ‘coffee rather than tea?’</w:t>
            </w:r>
          </w:p>
          <w:p w14:paraId="723BF210" w14:textId="77777777" w:rsidR="000D004B" w:rsidRDefault="000D004B" w:rsidP="000D004B"/>
          <w:p w14:paraId="00C24C7F" w14:textId="77777777" w:rsidR="000D004B" w:rsidRPr="00B439E2" w:rsidRDefault="000D004B" w:rsidP="000D004B">
            <w:pPr>
              <w:rPr>
                <w:b/>
              </w:rPr>
            </w:pPr>
            <w:r w:rsidRPr="00B439E2">
              <w:rPr>
                <w:b/>
              </w:rPr>
              <w:t>Q2. Assess the ladder of inference in detail.</w:t>
            </w:r>
          </w:p>
          <w:p w14:paraId="38FD6134" w14:textId="77777777" w:rsidR="000D004B" w:rsidRDefault="000D004B" w:rsidP="000D004B">
            <w:r>
              <w:t xml:space="preserve">The ‘ladder of inference’ is really interesting. The premise is that both the speaker and the listener may come to the conversation with bias and this can affect the conversation. Furthermore, if the speaker believes something about the listener (or listeners) it can distort or distract their </w:t>
            </w:r>
            <w:proofErr w:type="spellStart"/>
            <w:r>
              <w:t>behaviour</w:t>
            </w:r>
            <w:proofErr w:type="spellEnd"/>
            <w:r>
              <w:t xml:space="preserve">. If this is protracted it can possibly really affect their performance. </w:t>
            </w:r>
          </w:p>
          <w:p w14:paraId="6B86E327" w14:textId="77777777" w:rsidR="000D004B" w:rsidRDefault="000D004B" w:rsidP="000D004B"/>
          <w:p w14:paraId="30C53D9D" w14:textId="77777777" w:rsidR="000D004B" w:rsidRDefault="000D004B" w:rsidP="000D004B">
            <w:r>
              <w:t xml:space="preserve">This could happen from either a positive or negative interpretation of the listener by the speaker. For example, </w:t>
            </w:r>
            <w:r w:rsidRPr="005A0935">
              <w:rPr>
                <w:u w:val="single"/>
              </w:rPr>
              <w:t>positive</w:t>
            </w:r>
            <w:r>
              <w:t xml:space="preserve">. The speaker is speaking to a manager in their appraisal. They ‘believe’ that this manager always has their best interest at heart. The speaker feels comfortable in modifying their conversation, may be opening up and saying things that they wouldn’t normally say to anyone else. They look for ‘facts’ or rungs on the ladder to justify their assumptions. For example, they would interpret hearing the manager say ‘you handled that really well’ as a positive sign. </w:t>
            </w:r>
          </w:p>
          <w:p w14:paraId="19D97FFC" w14:textId="77777777" w:rsidR="000D004B" w:rsidRDefault="000D004B" w:rsidP="000D004B"/>
          <w:p w14:paraId="480FB91E" w14:textId="77777777" w:rsidR="000D004B" w:rsidRDefault="000D004B" w:rsidP="000D004B">
            <w:r>
              <w:t xml:space="preserve">However, if the speaker has the assumption that another manager that they are having an appraisal with is not interested in them or dislikes them, things may be interpreted very differently. In this case the speaker would look for ‘facts’ or rungs on the ladder which justified their stance. For example, </w:t>
            </w:r>
            <w:r w:rsidRPr="000D7AF2">
              <w:rPr>
                <w:u w:val="single"/>
              </w:rPr>
              <w:t>negative</w:t>
            </w:r>
            <w:r>
              <w:t xml:space="preserve">. The manager may break eye contact and be looking at the computer or reach for a file or get up to open a window. The speaker could interpret this as the manager not paying attention to what is being said and if the manager said something like, ‘can you say that again?’, instead of receiving this as clarification, the speaker could hear this as disinterest by the manager. </w:t>
            </w:r>
          </w:p>
          <w:p w14:paraId="1E3D942F" w14:textId="77777777" w:rsidR="000D004B" w:rsidRDefault="000D004B" w:rsidP="000D004B"/>
          <w:p w14:paraId="3B6A9236" w14:textId="77777777" w:rsidR="000D004B" w:rsidRDefault="000D004B" w:rsidP="000D004B">
            <w:r>
              <w:t xml:space="preserve">The common denominator is the speaker and their interpretation and story about the person that they are dealing with. In order to resolve any miscommunications, or bias, the speaker would need to express what they are feeling or ask the manager directly if they have any problems with their performance. </w:t>
            </w:r>
          </w:p>
          <w:p w14:paraId="0277F1DF" w14:textId="77777777" w:rsidR="000D004B" w:rsidRDefault="000D004B" w:rsidP="000D004B"/>
          <w:p w14:paraId="4E8699BB" w14:textId="77777777" w:rsidR="000D004B" w:rsidRPr="00C36810" w:rsidRDefault="000D004B" w:rsidP="000D004B">
            <w:pPr>
              <w:rPr>
                <w:b/>
              </w:rPr>
            </w:pPr>
            <w:r w:rsidRPr="00C36810">
              <w:rPr>
                <w:b/>
              </w:rPr>
              <w:t>Q3. Write a note on building relationships.</w:t>
            </w:r>
          </w:p>
          <w:p w14:paraId="1CC46ABD" w14:textId="77777777" w:rsidR="000D004B" w:rsidRDefault="000D004B" w:rsidP="000D004B">
            <w:r>
              <w:t xml:space="preserve">During conversations what is happening in essence (whether the person is known or not known to the listener) is that a relationship or connection is being built between the two people. If the experience is positive it can build a positive relationship, but as outlined by the ladder of inference, if there is bias and misinterpretation, assumptions and negative connotation the experience can be negative. </w:t>
            </w:r>
          </w:p>
          <w:p w14:paraId="363F89EF" w14:textId="77777777" w:rsidR="000D004B" w:rsidRDefault="000D004B" w:rsidP="000D004B"/>
          <w:p w14:paraId="3E9B7549" w14:textId="77777777" w:rsidR="000D004B" w:rsidRDefault="000D004B" w:rsidP="000D004B">
            <w:r>
              <w:t xml:space="preserve">Key to building relationships is mutual respect and the speaker and listener starting with a positive intent. In doing so both parties come in to the conversation with the understanding that they both have something to give and gain from the conversation. Another way to develop a relationship is through building rapport. </w:t>
            </w:r>
          </w:p>
          <w:p w14:paraId="6CEF34BA" w14:textId="77777777" w:rsidR="000D004B" w:rsidRDefault="000D004B" w:rsidP="000D004B"/>
          <w:p w14:paraId="2FC6C127" w14:textId="77777777" w:rsidR="000D004B" w:rsidRDefault="000D004B" w:rsidP="000D004B">
            <w:r>
              <w:t xml:space="preserve">Rapport means building the relationship up rather than pulling it down. Therefore, even if opinions differ between the parties there is an unsaid agreement of respect about what is being said. For example, when someone is seeking a refund for a faulty item. The viewpoint from the speaker and listener may be different, but instead of focusing on any bias. The focus is on what is being said and the exchange between the parties. In this respect both parties will be seeking common ground that they can agree upon. </w:t>
            </w:r>
          </w:p>
          <w:p w14:paraId="607ABC05" w14:textId="77777777" w:rsidR="000D004B" w:rsidRPr="00CC2FB3" w:rsidRDefault="000D004B" w:rsidP="00A851DA">
            <w:pPr>
              <w:rPr>
                <w:rFonts w:ascii="Arial" w:hAnsi="Arial" w:cs="Arial"/>
                <w:sz w:val="24"/>
                <w:szCs w:val="24"/>
              </w:rPr>
            </w:pPr>
            <w:bookmarkStart w:id="0" w:name="_GoBack"/>
            <w:bookmarkEnd w:id="0"/>
          </w:p>
          <w:p w14:paraId="39ABE053" w14:textId="77777777" w:rsidR="00CC2FB3" w:rsidRDefault="00CC2FB3" w:rsidP="00A851DA">
            <w:pPr>
              <w:rPr>
                <w:b/>
              </w:rPr>
            </w:pPr>
          </w:p>
          <w:p w14:paraId="11C9A280" w14:textId="77777777" w:rsidR="00CC2FB3" w:rsidRDefault="00CC2FB3" w:rsidP="00A851DA">
            <w:pPr>
              <w:rPr>
                <w:b/>
              </w:rPr>
            </w:pPr>
          </w:p>
          <w:p w14:paraId="7F6BD3E0" w14:textId="77777777" w:rsidR="00CC2FB3" w:rsidRDefault="00CC2FB3" w:rsidP="00A851DA">
            <w:pPr>
              <w:rPr>
                <w:b/>
              </w:rPr>
            </w:pPr>
          </w:p>
          <w:p w14:paraId="66AC2E3C" w14:textId="77777777" w:rsidR="00CC2FB3" w:rsidRDefault="00CC2FB3" w:rsidP="00A851DA">
            <w:pPr>
              <w:rPr>
                <w:b/>
              </w:rPr>
            </w:pPr>
          </w:p>
          <w:p w14:paraId="7676A95B" w14:textId="77777777" w:rsidR="00CC2FB3" w:rsidRDefault="00CC2FB3" w:rsidP="00A851DA">
            <w:pPr>
              <w:rPr>
                <w:b/>
              </w:rPr>
            </w:pPr>
          </w:p>
          <w:p w14:paraId="414C0809" w14:textId="77777777" w:rsidR="00CC2FB3" w:rsidRDefault="00CC2FB3" w:rsidP="00A851DA">
            <w:pPr>
              <w:rPr>
                <w:b/>
              </w:rPr>
            </w:pPr>
          </w:p>
          <w:p w14:paraId="1CDD2467" w14:textId="77777777" w:rsidR="00CC2FB3" w:rsidRDefault="00CC2FB3" w:rsidP="00A851DA">
            <w:pPr>
              <w:rPr>
                <w:b/>
              </w:rPr>
            </w:pPr>
          </w:p>
          <w:p w14:paraId="6ACA42CE" w14:textId="77777777" w:rsidR="00CC2FB3" w:rsidRDefault="00CC2FB3" w:rsidP="00A851DA">
            <w:pPr>
              <w:rPr>
                <w:b/>
              </w:rPr>
            </w:pPr>
          </w:p>
          <w:p w14:paraId="6C71CC4C" w14:textId="77777777" w:rsidR="00CC2FB3" w:rsidRDefault="00CC2FB3" w:rsidP="00A851DA">
            <w:pPr>
              <w:rPr>
                <w:b/>
              </w:rPr>
            </w:pPr>
          </w:p>
          <w:p w14:paraId="64B77C5D" w14:textId="77777777" w:rsidR="00CC2FB3" w:rsidRDefault="00CC2FB3" w:rsidP="00A851DA">
            <w:pPr>
              <w:rPr>
                <w:b/>
              </w:rPr>
            </w:pPr>
          </w:p>
          <w:p w14:paraId="6E2AE641" w14:textId="77777777" w:rsidR="00CC2FB3" w:rsidRDefault="00CC2FB3" w:rsidP="00A851DA">
            <w:pPr>
              <w:rPr>
                <w:b/>
              </w:rPr>
            </w:pPr>
          </w:p>
          <w:p w14:paraId="7ED05015" w14:textId="77777777" w:rsidR="00CC2FB3" w:rsidRDefault="00CC2FB3" w:rsidP="00A851DA">
            <w:pPr>
              <w:rPr>
                <w:b/>
              </w:rPr>
            </w:pPr>
          </w:p>
          <w:p w14:paraId="189D3B3B" w14:textId="77777777" w:rsidR="00CC2FB3" w:rsidRDefault="00CC2FB3" w:rsidP="00A851DA">
            <w:pPr>
              <w:rPr>
                <w:b/>
              </w:rPr>
            </w:pPr>
          </w:p>
          <w:p w14:paraId="62F5F4D0" w14:textId="77777777" w:rsidR="00CC2FB3" w:rsidRDefault="00CC2FB3" w:rsidP="00A851DA">
            <w:pPr>
              <w:rPr>
                <w:b/>
              </w:rPr>
            </w:pPr>
          </w:p>
          <w:p w14:paraId="10BDBA1D" w14:textId="77777777" w:rsidR="00CC2FB3" w:rsidRDefault="00CC2FB3" w:rsidP="00A851DA">
            <w:pPr>
              <w:rPr>
                <w:b/>
              </w:rPr>
            </w:pPr>
          </w:p>
          <w:p w14:paraId="5999A940" w14:textId="77777777" w:rsidR="00CC2FB3" w:rsidRDefault="00CC2FB3" w:rsidP="00A851DA">
            <w:pPr>
              <w:rPr>
                <w:b/>
              </w:rPr>
            </w:pPr>
          </w:p>
        </w:tc>
      </w:tr>
    </w:tbl>
    <w:p w14:paraId="2998DFD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8CFA82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172955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D90FA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939CDE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9D45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92D11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65751C56" w14:textId="77777777" w:rsidTr="00405895">
        <w:tc>
          <w:tcPr>
            <w:tcW w:w="2310" w:type="dxa"/>
            <w:shd w:val="clear" w:color="auto" w:fill="D9D9D9" w:themeFill="background1" w:themeFillShade="D9"/>
          </w:tcPr>
          <w:p w14:paraId="386BC1C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8F512FC"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0CE6096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004065D" w14:textId="77777777" w:rsidR="00405895" w:rsidRPr="00B0415E" w:rsidRDefault="00405895" w:rsidP="00A851DA">
            <w:pPr>
              <w:rPr>
                <w:rFonts w:cs="Bliss-Regular"/>
                <w:color w:val="000000"/>
              </w:rPr>
            </w:pPr>
          </w:p>
        </w:tc>
      </w:tr>
    </w:tbl>
    <w:p w14:paraId="58CD0780" w14:textId="77777777" w:rsidR="00A851DA" w:rsidRPr="00B0415E" w:rsidRDefault="00A851DA" w:rsidP="00A851DA">
      <w:pPr>
        <w:rPr>
          <w:rFonts w:cs="Bliss-Regular"/>
          <w:color w:val="000000"/>
          <w:lang w:val="en-US"/>
        </w:rPr>
      </w:pPr>
    </w:p>
    <w:p w14:paraId="4CA5A7CB" w14:textId="77777777" w:rsidR="00A851DA" w:rsidRPr="00B0415E" w:rsidRDefault="00A851DA" w:rsidP="00A851DA">
      <w:pPr>
        <w:rPr>
          <w:rFonts w:cs="Bliss-Regular"/>
          <w:color w:val="000000"/>
          <w:lang w:val="en-US"/>
        </w:rPr>
      </w:pPr>
    </w:p>
    <w:p w14:paraId="0A22FEF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1AF458A" w14:textId="77777777" w:rsidTr="00B0415E">
        <w:trPr>
          <w:trHeight w:val="249"/>
        </w:trPr>
        <w:tc>
          <w:tcPr>
            <w:tcW w:w="4621" w:type="dxa"/>
            <w:shd w:val="clear" w:color="auto" w:fill="D9D9D9" w:themeFill="background1" w:themeFillShade="D9"/>
          </w:tcPr>
          <w:p w14:paraId="7B9C6355" w14:textId="77777777" w:rsidR="00503D7E" w:rsidRPr="00B0415E" w:rsidRDefault="00503D7E" w:rsidP="00503D7E">
            <w:pPr>
              <w:rPr>
                <w:b/>
                <w:color w:val="002060"/>
              </w:rPr>
            </w:pPr>
            <w:r w:rsidRPr="00B0415E">
              <w:rPr>
                <w:b/>
                <w:color w:val="002060"/>
              </w:rPr>
              <w:t>Total Marks</w:t>
            </w:r>
          </w:p>
        </w:tc>
        <w:tc>
          <w:tcPr>
            <w:tcW w:w="4621" w:type="dxa"/>
          </w:tcPr>
          <w:p w14:paraId="399B9BA8" w14:textId="77777777" w:rsidR="00503D7E" w:rsidRPr="00B0415E" w:rsidRDefault="00503D7E" w:rsidP="00503D7E">
            <w:pPr>
              <w:rPr>
                <w:rFonts w:cs="Times New Roman"/>
                <w:szCs w:val="32"/>
              </w:rPr>
            </w:pPr>
          </w:p>
        </w:tc>
      </w:tr>
      <w:tr w:rsidR="00503D7E" w:rsidRPr="00B0415E" w14:paraId="6580D4C0" w14:textId="77777777" w:rsidTr="00B0415E">
        <w:tc>
          <w:tcPr>
            <w:tcW w:w="4621" w:type="dxa"/>
            <w:shd w:val="clear" w:color="auto" w:fill="D9D9D9" w:themeFill="background1" w:themeFillShade="D9"/>
          </w:tcPr>
          <w:p w14:paraId="5C0B79E0" w14:textId="77777777" w:rsidR="00503D7E" w:rsidRPr="00B0415E" w:rsidRDefault="00503D7E" w:rsidP="00503D7E">
            <w:pPr>
              <w:rPr>
                <w:b/>
                <w:color w:val="002060"/>
              </w:rPr>
            </w:pPr>
            <w:r w:rsidRPr="00B0415E">
              <w:rPr>
                <w:b/>
                <w:color w:val="002060"/>
              </w:rPr>
              <w:t>Marks Obtained</w:t>
            </w:r>
          </w:p>
        </w:tc>
        <w:tc>
          <w:tcPr>
            <w:tcW w:w="4621" w:type="dxa"/>
          </w:tcPr>
          <w:p w14:paraId="3F4F6FCD" w14:textId="77777777" w:rsidR="00503D7E" w:rsidRPr="00B0415E" w:rsidRDefault="00503D7E" w:rsidP="00503D7E">
            <w:pPr>
              <w:rPr>
                <w:rFonts w:cs="Times New Roman"/>
                <w:szCs w:val="32"/>
              </w:rPr>
            </w:pPr>
          </w:p>
        </w:tc>
      </w:tr>
      <w:tr w:rsidR="00503D7E" w:rsidRPr="00B0415E" w14:paraId="6CE6F959" w14:textId="77777777" w:rsidTr="00B0415E">
        <w:tc>
          <w:tcPr>
            <w:tcW w:w="4621" w:type="dxa"/>
            <w:shd w:val="clear" w:color="auto" w:fill="D9D9D9" w:themeFill="background1" w:themeFillShade="D9"/>
          </w:tcPr>
          <w:p w14:paraId="1A6EBC51" w14:textId="77777777" w:rsidR="00503D7E" w:rsidRPr="00B0415E" w:rsidRDefault="00B0415E" w:rsidP="00503D7E">
            <w:pPr>
              <w:rPr>
                <w:b/>
                <w:color w:val="002060"/>
              </w:rPr>
            </w:pPr>
            <w:r w:rsidRPr="00B0415E">
              <w:rPr>
                <w:b/>
                <w:color w:val="002060"/>
              </w:rPr>
              <w:t>Percentage / Grade</w:t>
            </w:r>
          </w:p>
        </w:tc>
        <w:tc>
          <w:tcPr>
            <w:tcW w:w="4621" w:type="dxa"/>
          </w:tcPr>
          <w:p w14:paraId="253B3EDA" w14:textId="77777777" w:rsidR="00503D7E" w:rsidRPr="00B0415E" w:rsidRDefault="00503D7E" w:rsidP="00503D7E">
            <w:pPr>
              <w:rPr>
                <w:rFonts w:cs="Times New Roman"/>
                <w:szCs w:val="32"/>
              </w:rPr>
            </w:pPr>
          </w:p>
        </w:tc>
      </w:tr>
    </w:tbl>
    <w:p w14:paraId="73F8C876" w14:textId="77777777" w:rsidR="00A851DA" w:rsidRDefault="00A851DA" w:rsidP="00503D7E">
      <w:pPr>
        <w:rPr>
          <w:rFonts w:cs="Times New Roman"/>
          <w:sz w:val="24"/>
          <w:szCs w:val="32"/>
        </w:rPr>
      </w:pPr>
    </w:p>
    <w:p w14:paraId="2A2F3DE5" w14:textId="77777777" w:rsidR="00607874" w:rsidRDefault="00607874" w:rsidP="00503D7E">
      <w:pPr>
        <w:rPr>
          <w:rFonts w:cs="Times New Roman"/>
          <w:sz w:val="24"/>
          <w:szCs w:val="32"/>
        </w:rPr>
      </w:pPr>
    </w:p>
    <w:p w14:paraId="71664ABD" w14:textId="77777777" w:rsidR="00607874" w:rsidRDefault="00607874" w:rsidP="00503D7E">
      <w:pPr>
        <w:rPr>
          <w:rFonts w:cs="Times New Roman"/>
          <w:sz w:val="24"/>
          <w:szCs w:val="32"/>
        </w:rPr>
      </w:pPr>
    </w:p>
    <w:p w14:paraId="7C4E189C" w14:textId="77777777" w:rsidR="00607874" w:rsidRDefault="00607874" w:rsidP="00503D7E">
      <w:pPr>
        <w:rPr>
          <w:rFonts w:cs="Times New Roman"/>
          <w:sz w:val="24"/>
          <w:szCs w:val="32"/>
        </w:rPr>
      </w:pPr>
    </w:p>
    <w:p w14:paraId="5B1324DD" w14:textId="77777777" w:rsidR="00607874" w:rsidRDefault="00607874" w:rsidP="00503D7E">
      <w:pPr>
        <w:rPr>
          <w:rFonts w:cs="Times New Roman"/>
          <w:sz w:val="24"/>
          <w:szCs w:val="32"/>
        </w:rPr>
      </w:pPr>
    </w:p>
    <w:p w14:paraId="087A066F" w14:textId="77777777" w:rsidR="00607874" w:rsidRDefault="00607874" w:rsidP="00503D7E">
      <w:pPr>
        <w:rPr>
          <w:rFonts w:cs="Times New Roman"/>
          <w:sz w:val="24"/>
          <w:szCs w:val="32"/>
        </w:rPr>
      </w:pPr>
    </w:p>
    <w:p w14:paraId="4C558320" w14:textId="77777777" w:rsidR="00607874" w:rsidRDefault="00607874" w:rsidP="00503D7E">
      <w:pPr>
        <w:rPr>
          <w:rFonts w:cs="Times New Roman"/>
          <w:sz w:val="24"/>
          <w:szCs w:val="32"/>
        </w:rPr>
      </w:pPr>
    </w:p>
    <w:p w14:paraId="07944250" w14:textId="77777777" w:rsidR="00607874" w:rsidRDefault="00607874" w:rsidP="00503D7E">
      <w:pPr>
        <w:rPr>
          <w:rFonts w:cs="Times New Roman"/>
          <w:sz w:val="24"/>
          <w:szCs w:val="32"/>
        </w:rPr>
      </w:pPr>
    </w:p>
    <w:p w14:paraId="5DC0A8D0" w14:textId="77777777" w:rsidR="00EA30AB" w:rsidRDefault="00EA30AB" w:rsidP="00503D7E">
      <w:pPr>
        <w:rPr>
          <w:rFonts w:cs="Times New Roman"/>
          <w:sz w:val="24"/>
          <w:szCs w:val="32"/>
        </w:rPr>
      </w:pPr>
    </w:p>
    <w:p w14:paraId="431924C7" w14:textId="77777777" w:rsidR="00EA30AB" w:rsidRDefault="00EA30AB" w:rsidP="00503D7E">
      <w:pPr>
        <w:rPr>
          <w:rFonts w:cs="Times New Roman"/>
          <w:sz w:val="24"/>
          <w:szCs w:val="32"/>
        </w:rPr>
      </w:pPr>
    </w:p>
    <w:p w14:paraId="36A4D1B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7E912" w14:textId="77777777" w:rsidR="00320211" w:rsidRDefault="00320211" w:rsidP="00CB4D0A">
      <w:pPr>
        <w:spacing w:after="0" w:line="240" w:lineRule="auto"/>
      </w:pPr>
      <w:r>
        <w:separator/>
      </w:r>
    </w:p>
  </w:endnote>
  <w:endnote w:type="continuationSeparator" w:id="0">
    <w:p w14:paraId="4CC5C88E" w14:textId="77777777" w:rsidR="00320211" w:rsidRDefault="0032021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CAE634" w14:textId="77777777" w:rsidR="00320211" w:rsidRDefault="00320211" w:rsidP="00CB4D0A">
      <w:pPr>
        <w:spacing w:after="0" w:line="240" w:lineRule="auto"/>
      </w:pPr>
      <w:r>
        <w:separator/>
      </w:r>
    </w:p>
  </w:footnote>
  <w:footnote w:type="continuationSeparator" w:id="0">
    <w:p w14:paraId="1DBD8EEA" w14:textId="77777777" w:rsidR="00320211" w:rsidRDefault="0032021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D004B"/>
    <w:rsid w:val="001175EE"/>
    <w:rsid w:val="00157CF6"/>
    <w:rsid w:val="00182416"/>
    <w:rsid w:val="00187EB4"/>
    <w:rsid w:val="001F0481"/>
    <w:rsid w:val="00200C92"/>
    <w:rsid w:val="0020451E"/>
    <w:rsid w:val="00206B9D"/>
    <w:rsid w:val="0023259C"/>
    <w:rsid w:val="002B0BD7"/>
    <w:rsid w:val="002B573D"/>
    <w:rsid w:val="002C5CB2"/>
    <w:rsid w:val="002F779F"/>
    <w:rsid w:val="00320211"/>
    <w:rsid w:val="00371885"/>
    <w:rsid w:val="003E2B87"/>
    <w:rsid w:val="00402786"/>
    <w:rsid w:val="00405895"/>
    <w:rsid w:val="004058DF"/>
    <w:rsid w:val="00443E6F"/>
    <w:rsid w:val="00486F1A"/>
    <w:rsid w:val="00490CB9"/>
    <w:rsid w:val="004A2CE2"/>
    <w:rsid w:val="004E1446"/>
    <w:rsid w:val="004E3CDA"/>
    <w:rsid w:val="004F4B4D"/>
    <w:rsid w:val="0050216D"/>
    <w:rsid w:val="00503D7E"/>
    <w:rsid w:val="0050778F"/>
    <w:rsid w:val="00527C11"/>
    <w:rsid w:val="00535F31"/>
    <w:rsid w:val="00574D64"/>
    <w:rsid w:val="00591365"/>
    <w:rsid w:val="005B31E4"/>
    <w:rsid w:val="006034F6"/>
    <w:rsid w:val="00607874"/>
    <w:rsid w:val="00607E77"/>
    <w:rsid w:val="00616956"/>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68E2C"/>
  <w15:docId w15:val="{3F5FDBC2-4BDB-3345-B630-E520C6C59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73A80-78BD-9A40-8CDD-96327D6DF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1155</Words>
  <Characters>6589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2019-01-09T10:13:00Z</dcterms:created>
  <dcterms:modified xsi:type="dcterms:W3CDTF">2019-01-09T10:13:00Z</dcterms:modified>
</cp:coreProperties>
</file>