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C21FE"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3C01">
            <w:pPr>
              <w:pStyle w:val="Default"/>
              <w:rPr>
                <w:rFonts w:asciiTheme="minorHAnsi" w:hAnsiTheme="minorHAnsi"/>
              </w:rPr>
            </w:pPr>
            <w:r>
              <w:rPr>
                <w:rFonts w:asciiTheme="minorHAnsi" w:hAnsiTheme="minorHAnsi"/>
              </w:rPr>
              <w:t>Garth Bertrand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B23C01">
            <w:pPr>
              <w:pStyle w:val="Default"/>
              <w:rPr>
                <w:rFonts w:asciiTheme="minorHAnsi" w:hAnsiTheme="minorHAnsi"/>
              </w:rPr>
            </w:pPr>
            <w:r>
              <w:rPr>
                <w:rFonts w:asciiTheme="minorHAnsi" w:hAnsiTheme="minorHAnsi"/>
              </w:rPr>
              <w:t>10809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3C01">
            <w:pPr>
              <w:pStyle w:val="Default"/>
              <w:rPr>
                <w:rFonts w:asciiTheme="minorHAnsi" w:hAnsiTheme="minorHAnsi"/>
              </w:rPr>
            </w:pPr>
            <w:r>
              <w:rPr>
                <w:rFonts w:asciiTheme="minorHAnsi" w:hAnsiTheme="minorHAnsi"/>
              </w:rPr>
              <w:t>The Investigative Process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B23C01">
            <w:r>
              <w:t>5</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B23C01" w:rsidRDefault="00B23C01" w:rsidP="00B23C01">
            <w:pPr>
              <w:spacing w:line="360" w:lineRule="auto"/>
              <w:rPr>
                <w:rFonts w:ascii="Arial" w:hAnsi="Arial" w:cs="Arial"/>
                <w:sz w:val="24"/>
                <w:szCs w:val="24"/>
              </w:rPr>
            </w:pPr>
            <w:r w:rsidRPr="6436A66E">
              <w:rPr>
                <w:rFonts w:ascii="Arial" w:hAnsi="Arial" w:cs="Arial"/>
                <w:sz w:val="24"/>
                <w:szCs w:val="24"/>
              </w:rPr>
              <w:t>With respect to the following questions and the case posed, one responded as follows:</w:t>
            </w:r>
          </w:p>
          <w:p w:rsidR="00B23C01" w:rsidRDefault="00B23C01" w:rsidP="00B23C01">
            <w:pPr>
              <w:pStyle w:val="ListParagraph"/>
              <w:numPr>
                <w:ilvl w:val="0"/>
                <w:numId w:val="2"/>
              </w:numPr>
              <w:spacing w:line="360" w:lineRule="auto"/>
              <w:rPr>
                <w:rFonts w:ascii="Arial" w:hAnsi="Arial" w:cs="Arial"/>
                <w:sz w:val="24"/>
                <w:szCs w:val="24"/>
              </w:rPr>
            </w:pPr>
            <w:r w:rsidRPr="6436A66E">
              <w:rPr>
                <w:rFonts w:ascii="Arial" w:hAnsi="Arial" w:cs="Arial"/>
                <w:sz w:val="24"/>
                <w:szCs w:val="24"/>
              </w:rPr>
              <w:t>With respect to the difference between proactive and reactive investigations, one is of the informed opinion that the difference is that the proactive model is an offense approach. The forensic accountant or investigator acts on a hunch, or some valuable information he or she may have with regard a particular case. They are not waiting for a complainant to come to them. On the contrary, the reactive approach acts only when the complainant brings a case of financial foul play at hand. Thus, in essence the difference lies in the direction taken by the forensic accountant or investigator.</w:t>
            </w:r>
          </w:p>
          <w:p w:rsidR="00B23C01" w:rsidRDefault="00B23C01" w:rsidP="00B23C01">
            <w:pPr>
              <w:pStyle w:val="ListParagraph"/>
              <w:numPr>
                <w:ilvl w:val="0"/>
                <w:numId w:val="2"/>
              </w:numPr>
              <w:spacing w:line="360" w:lineRule="auto"/>
              <w:rPr>
                <w:rFonts w:ascii="Arial" w:hAnsi="Arial" w:cs="Arial"/>
                <w:sz w:val="24"/>
                <w:szCs w:val="24"/>
              </w:rPr>
            </w:pPr>
            <w:r w:rsidRPr="6436A66E">
              <w:rPr>
                <w:rFonts w:ascii="Arial" w:hAnsi="Arial" w:cs="Arial"/>
                <w:sz w:val="24"/>
                <w:szCs w:val="24"/>
              </w:rPr>
              <w:t xml:space="preserve">On the other hand, one would differentiate between the weighted and </w:t>
            </w:r>
            <w:proofErr w:type="spellStart"/>
            <w:r w:rsidRPr="6436A66E">
              <w:rPr>
                <w:rFonts w:ascii="Arial" w:hAnsi="Arial" w:cs="Arial"/>
                <w:sz w:val="24"/>
                <w:szCs w:val="24"/>
              </w:rPr>
              <w:t>unweighted</w:t>
            </w:r>
            <w:proofErr w:type="spellEnd"/>
            <w:r w:rsidRPr="6436A66E">
              <w:rPr>
                <w:rFonts w:ascii="Arial" w:hAnsi="Arial" w:cs="Arial"/>
                <w:sz w:val="24"/>
                <w:szCs w:val="24"/>
              </w:rPr>
              <w:t xml:space="preserve"> solvability factors by looking at the fact that with weighted solvability factors, there are certain factors that are assigned a higher precedence than others and as such not all factors are equal, whereas with </w:t>
            </w:r>
            <w:proofErr w:type="spellStart"/>
            <w:r w:rsidRPr="6436A66E">
              <w:rPr>
                <w:rFonts w:ascii="Arial" w:hAnsi="Arial" w:cs="Arial"/>
                <w:sz w:val="24"/>
                <w:szCs w:val="24"/>
              </w:rPr>
              <w:t>unweighted</w:t>
            </w:r>
            <w:proofErr w:type="spellEnd"/>
            <w:r w:rsidRPr="6436A66E">
              <w:rPr>
                <w:rFonts w:ascii="Arial" w:hAnsi="Arial" w:cs="Arial"/>
                <w:sz w:val="24"/>
                <w:szCs w:val="24"/>
              </w:rPr>
              <w:t xml:space="preserve"> solvability factors no weights are assigned and as such all factors are treated equally.</w:t>
            </w:r>
          </w:p>
          <w:p w:rsidR="00B23C01" w:rsidRDefault="00B23C01" w:rsidP="00B23C01">
            <w:pPr>
              <w:pStyle w:val="ListParagraph"/>
              <w:numPr>
                <w:ilvl w:val="0"/>
                <w:numId w:val="2"/>
              </w:numPr>
              <w:spacing w:line="360" w:lineRule="auto"/>
              <w:rPr>
                <w:rFonts w:ascii="Arial" w:hAnsi="Arial" w:cs="Arial"/>
                <w:sz w:val="24"/>
                <w:szCs w:val="24"/>
              </w:rPr>
            </w:pPr>
            <w:r w:rsidRPr="6436A66E">
              <w:rPr>
                <w:rFonts w:ascii="Arial" w:hAnsi="Arial" w:cs="Arial"/>
                <w:sz w:val="24"/>
                <w:szCs w:val="24"/>
              </w:rPr>
              <w:lastRenderedPageBreak/>
              <w:t xml:space="preserve">Moreover goal – setting and planning are critical to any investigative process. If it is not considered in the preliminary stages, it can leads to cost overruns, making the investigative process more expensive and drawn out than it usually should be; it can lead to lawsuit, or the case being squash by the courts and as such </w:t>
            </w:r>
            <w:proofErr w:type="spellStart"/>
            <w:r w:rsidRPr="6436A66E">
              <w:rPr>
                <w:rFonts w:ascii="Arial" w:hAnsi="Arial" w:cs="Arial"/>
                <w:sz w:val="24"/>
                <w:szCs w:val="24"/>
              </w:rPr>
              <w:t>dis</w:t>
            </w:r>
            <w:proofErr w:type="spellEnd"/>
            <w:r w:rsidRPr="6436A66E">
              <w:rPr>
                <w:rFonts w:ascii="Arial" w:hAnsi="Arial" w:cs="Arial"/>
                <w:sz w:val="24"/>
                <w:szCs w:val="24"/>
              </w:rPr>
              <w:t xml:space="preserve"> – satisfied clients. According to one’s lecture notes</w:t>
            </w:r>
            <w:sdt>
              <w:sdtPr>
                <w:rPr>
                  <w:rFonts w:ascii="Arial" w:hAnsi="Arial" w:cs="Arial"/>
                  <w:sz w:val="24"/>
                </w:rPr>
                <w:id w:val="334450673"/>
                <w:citation/>
              </w:sdtPr>
              <w:sdtContent>
                <w:r>
                  <w:rPr>
                    <w:rFonts w:ascii="Arial" w:hAnsi="Arial" w:cs="Arial"/>
                    <w:sz w:val="24"/>
                  </w:rPr>
                  <w:fldChar w:fldCharType="begin"/>
                </w:r>
                <w:r>
                  <w:rPr>
                    <w:rFonts w:ascii="Arial" w:hAnsi="Arial" w:cs="Arial"/>
                    <w:sz w:val="24"/>
                  </w:rPr>
                  <w:instrText xml:space="preserve"> CITATION Col17 \l 1033  </w:instrText>
                </w:r>
                <w:r>
                  <w:rPr>
                    <w:rFonts w:ascii="Arial" w:hAnsi="Arial" w:cs="Arial"/>
                    <w:sz w:val="24"/>
                  </w:rPr>
                  <w:fldChar w:fldCharType="separate"/>
                </w:r>
                <w:r>
                  <w:rPr>
                    <w:rFonts w:ascii="Arial" w:hAnsi="Arial" w:cs="Arial"/>
                    <w:noProof/>
                    <w:sz w:val="24"/>
                  </w:rPr>
                  <w:t xml:space="preserve"> </w:t>
                </w:r>
                <w:r w:rsidRPr="003A4CA4">
                  <w:rPr>
                    <w:rFonts w:ascii="Arial" w:hAnsi="Arial" w:cs="Arial"/>
                    <w:noProof/>
                    <w:sz w:val="24"/>
                  </w:rPr>
                  <w:t>(College, 2017)</w:t>
                </w:r>
                <w:r>
                  <w:rPr>
                    <w:rFonts w:ascii="Arial" w:hAnsi="Arial" w:cs="Arial"/>
                    <w:sz w:val="24"/>
                  </w:rPr>
                  <w:fldChar w:fldCharType="end"/>
                </w:r>
              </w:sdtContent>
            </w:sdt>
            <w:r w:rsidRPr="6436A66E">
              <w:rPr>
                <w:rFonts w:ascii="Arial" w:hAnsi="Arial" w:cs="Arial"/>
                <w:sz w:val="24"/>
                <w:szCs w:val="24"/>
              </w:rPr>
              <w:t>, “if goals are ill-defined, poorly designed, or unrealistic, the entire investigation is likely to be conducted in a haphazard manner and the investigative plan may not be executed properly” (p.7).</w:t>
            </w:r>
          </w:p>
          <w:p w:rsidR="00B23C01" w:rsidRDefault="00B23C01" w:rsidP="00B23C01">
            <w:pPr>
              <w:pStyle w:val="ListParagraph"/>
              <w:numPr>
                <w:ilvl w:val="0"/>
                <w:numId w:val="2"/>
              </w:numPr>
              <w:spacing w:line="360" w:lineRule="auto"/>
              <w:rPr>
                <w:rFonts w:ascii="Arial" w:hAnsi="Arial" w:cs="Arial"/>
                <w:sz w:val="24"/>
                <w:szCs w:val="24"/>
              </w:rPr>
            </w:pPr>
            <w:r w:rsidRPr="6436A66E">
              <w:rPr>
                <w:rFonts w:ascii="Arial" w:hAnsi="Arial" w:cs="Arial"/>
                <w:sz w:val="24"/>
                <w:szCs w:val="24"/>
              </w:rPr>
              <w:t>With regard to an investigative plan, it, examiner, should be focus, that is it “should be focus and consistent with the goals of the investigation” (</w:t>
            </w:r>
            <w:r w:rsidRPr="6436A66E">
              <w:rPr>
                <w:rFonts w:ascii="Arial" w:hAnsi="Arial" w:cs="Arial"/>
                <w:noProof/>
                <w:sz w:val="24"/>
                <w:szCs w:val="24"/>
              </w:rPr>
              <w:t xml:space="preserve"> (College, 2017, p. 7); there must be a level of control to circumvent lost of valuable evidence and information that might be pertitnent to a particular case; and, three, there must be a level of adaptability – that is given that financial investigations are dynamic, according to the class lecture, “the always grow, and sometimes even shrink”, a forensic accountant or investigator has to adapt to these realties and make the necessary changes where needed without affecting the whole investigating process.</w:t>
            </w:r>
          </w:p>
          <w:p w:rsidR="00B23C01" w:rsidRPr="003A4CA4" w:rsidRDefault="00B23C01" w:rsidP="00B23C01">
            <w:pPr>
              <w:pStyle w:val="ListParagraph"/>
              <w:numPr>
                <w:ilvl w:val="0"/>
                <w:numId w:val="2"/>
              </w:numPr>
              <w:spacing w:line="360" w:lineRule="auto"/>
              <w:rPr>
                <w:rFonts w:ascii="Arial" w:hAnsi="Arial" w:cs="Arial"/>
                <w:sz w:val="24"/>
                <w:szCs w:val="24"/>
              </w:rPr>
            </w:pPr>
            <w:r w:rsidRPr="6436A66E">
              <w:rPr>
                <w:rFonts w:ascii="Arial" w:hAnsi="Arial" w:cs="Arial"/>
                <w:sz w:val="24"/>
                <w:szCs w:val="24"/>
              </w:rPr>
              <w:t xml:space="preserve">On the other hand, when one is planning to undertake an investigation, he or she must take the costs of varying investigative tools and services, the right mix of persons for the job(s) and technology into consideration. With respect to costs of varying investigative tools and services, the forensic accountant or investigator must take into consideration that “money is a scarce resource” </w:t>
            </w:r>
            <w:sdt>
              <w:sdtPr>
                <w:rPr>
                  <w:rFonts w:ascii="Arial" w:hAnsi="Arial" w:cs="Arial"/>
                  <w:sz w:val="24"/>
                </w:rPr>
                <w:id w:val="334450676"/>
                <w:citation/>
              </w:sdtPr>
              <w:sdtContent>
                <w:r>
                  <w:rPr>
                    <w:rFonts w:ascii="Arial" w:hAnsi="Arial" w:cs="Arial"/>
                    <w:sz w:val="24"/>
                  </w:rPr>
                  <w:fldChar w:fldCharType="begin"/>
                </w:r>
                <w:r>
                  <w:rPr>
                    <w:rFonts w:ascii="Arial" w:hAnsi="Arial" w:cs="Arial"/>
                    <w:sz w:val="24"/>
                  </w:rPr>
                  <w:instrText xml:space="preserve"> CITATION Col17 \l 1033  </w:instrText>
                </w:r>
                <w:r>
                  <w:rPr>
                    <w:rFonts w:ascii="Arial" w:hAnsi="Arial" w:cs="Arial"/>
                    <w:sz w:val="24"/>
                  </w:rPr>
                  <w:fldChar w:fldCharType="separate"/>
                </w:r>
                <w:r w:rsidRPr="003A4CA4">
                  <w:rPr>
                    <w:rFonts w:ascii="Arial" w:hAnsi="Arial" w:cs="Arial"/>
                    <w:noProof/>
                    <w:sz w:val="24"/>
                  </w:rPr>
                  <w:t>(College, 2017)</w:t>
                </w:r>
                <w:r>
                  <w:rPr>
                    <w:rFonts w:ascii="Arial" w:hAnsi="Arial" w:cs="Arial"/>
                    <w:sz w:val="24"/>
                  </w:rPr>
                  <w:fldChar w:fldCharType="end"/>
                </w:r>
              </w:sdtContent>
            </w:sdt>
            <w:r w:rsidRPr="6436A66E">
              <w:rPr>
                <w:rFonts w:ascii="Arial" w:hAnsi="Arial" w:cs="Arial"/>
                <w:sz w:val="24"/>
                <w:szCs w:val="24"/>
              </w:rPr>
              <w:t xml:space="preserve"> and as such when he or she plans, he or she must identify in the early stages the expensive elements to the investigation process and what are the next best alternatives that can be explored to mitigate cost overruns and disgruntled clients. Moreover, with regard to the right mix of personnel, one, examiner, should consider the number of persons that would be needed for a successful investigation (p.8) – that is given the volume and nature of the investigation, would it be feasible to have 10 -15, or 20 – 40 people working on the case? On the contrary, one must have a portfolio of personnel who are qualified and trained in varying fields and who can contribute to an effective and efficient investigation. This will help reduce costs, and make the particular </w:t>
            </w:r>
            <w:r w:rsidRPr="6436A66E">
              <w:rPr>
                <w:rFonts w:ascii="Arial" w:hAnsi="Arial" w:cs="Arial"/>
                <w:sz w:val="24"/>
                <w:szCs w:val="24"/>
              </w:rPr>
              <w:lastRenderedPageBreak/>
              <w:t>job at hand more manageable. The third aspect, technology, treats with one incorporating the latest technology into one’s investigative planning and under careful consideration of such an investment. In this venture, one would assess what tools and software would be best for a case. According to one’s lecture notes “anticipating the technological requirements of a case means planning the expenditure on technology and evening out its impact on the overall budget of the investigation” (p. 9)</w:t>
            </w:r>
          </w:p>
          <w:p w:rsidR="00B23C01" w:rsidRPr="003A4CA4" w:rsidRDefault="00B23C01" w:rsidP="00B23C01">
            <w:pPr>
              <w:pStyle w:val="ListParagraph"/>
              <w:numPr>
                <w:ilvl w:val="0"/>
                <w:numId w:val="2"/>
              </w:numPr>
              <w:spacing w:line="360" w:lineRule="auto"/>
              <w:rPr>
                <w:rFonts w:ascii="Arial" w:hAnsi="Arial" w:cs="Arial"/>
                <w:sz w:val="24"/>
                <w:szCs w:val="24"/>
              </w:rPr>
            </w:pPr>
            <w:r w:rsidRPr="003A4CA4">
              <w:rPr>
                <w:rFonts w:ascii="Arial" w:hAnsi="Arial" w:cs="Arial"/>
                <w:sz w:val="24"/>
                <w:szCs w:val="24"/>
              </w:rPr>
              <w:t xml:space="preserve">In intelligence gathering the three main areas of intelligence gathering are Surveillance, database searches, and trash collection. With respect to surveillance it, examiner, can be viewed as one of the most ideal tools in gaining information unawares to the prospect’s knowledge. According to one’s lecture notes, “it may provide valuable information and uncover facts related to the following: valuable assets (boats, cars, etc.) owned by the suspect or bank and financial institutions; homes, buildings and other real estates in the possession of the people relevant to the case”. In treating with databases, they, examiner, are another ideal means to data gathering, but there are access limitations depending on the database you are attempting to access. If you are attempting to get certain files from the bank on a particular </w:t>
            </w:r>
            <w:r>
              <w:rPr>
                <w:rFonts w:ascii="Arial" w:hAnsi="Arial" w:cs="Arial"/>
                <w:sz w:val="24"/>
                <w:szCs w:val="24"/>
              </w:rPr>
              <w:t xml:space="preserve">person, you would have to be a part of law </w:t>
            </w:r>
            <w:r w:rsidRPr="003A4CA4">
              <w:rPr>
                <w:rFonts w:ascii="Arial" w:hAnsi="Arial" w:cs="Arial"/>
                <w:sz w:val="24"/>
                <w:szCs w:val="24"/>
              </w:rPr>
              <w:t>enforcement or attain privileges from the courts. With trash collection or dumpster diving, it’s the uncanny means to get information, but it works. People like to remove clutter from their homes and in so doing they may throw away pertinent information that might be relevant to a particular case or themselves. However, one should take care as where the garbage of the prospect is located- if it’s within their premises one can face a challenge to rummaging through the garbage as opposed to it being located in the public.</w:t>
            </w:r>
          </w:p>
          <w:p w:rsidR="00B23C01" w:rsidRPr="009A655F" w:rsidRDefault="00B23C01" w:rsidP="00B23C01">
            <w:pPr>
              <w:spacing w:line="360" w:lineRule="auto"/>
              <w:rPr>
                <w:rFonts w:ascii="Arial" w:eastAsia="Arial" w:hAnsi="Arial" w:cs="Arial"/>
                <w:sz w:val="28"/>
                <w:szCs w:val="28"/>
              </w:rPr>
            </w:pPr>
            <w:r w:rsidRPr="6436A66E">
              <w:rPr>
                <w:rFonts w:ascii="Arial" w:eastAsia="Arial" w:hAnsi="Arial" w:cs="Arial"/>
                <w:sz w:val="24"/>
                <w:szCs w:val="24"/>
              </w:rPr>
              <w:t xml:space="preserve">2. With regard to private and public databases, a private database is an electronic system that belongs to a particular entity. It stores a company confidential, sensitive and unique data. It is manned by the company’s computer department, and it is limited to access by external sources unless the right channels are followed to be </w:t>
            </w:r>
            <w:proofErr w:type="spellStart"/>
            <w:r w:rsidRPr="6436A66E">
              <w:rPr>
                <w:rFonts w:ascii="Arial" w:eastAsia="Arial" w:hAnsi="Arial" w:cs="Arial"/>
                <w:sz w:val="24"/>
                <w:szCs w:val="24"/>
              </w:rPr>
              <w:t>authorised</w:t>
            </w:r>
            <w:proofErr w:type="spellEnd"/>
            <w:r w:rsidRPr="6436A66E">
              <w:rPr>
                <w:rFonts w:ascii="Arial" w:eastAsia="Arial" w:hAnsi="Arial" w:cs="Arial"/>
                <w:sz w:val="24"/>
                <w:szCs w:val="24"/>
              </w:rPr>
              <w:t xml:space="preserve"> to do so. Examples of companies with private databases are Commercial Banks, Government, Redistribution or Manufacturing industries.</w:t>
            </w:r>
          </w:p>
          <w:p w:rsidR="00B23C01" w:rsidRDefault="00B23C01" w:rsidP="00B23C01">
            <w:pPr>
              <w:spacing w:line="360" w:lineRule="auto"/>
              <w:rPr>
                <w:rFonts w:ascii="Arial" w:eastAsia="Arial" w:hAnsi="Arial" w:cs="Arial"/>
                <w:sz w:val="24"/>
                <w:szCs w:val="24"/>
              </w:rPr>
            </w:pPr>
            <w:r w:rsidRPr="6436A66E">
              <w:rPr>
                <w:rFonts w:ascii="Arial" w:eastAsia="Arial" w:hAnsi="Arial" w:cs="Arial"/>
                <w:sz w:val="24"/>
                <w:szCs w:val="24"/>
              </w:rPr>
              <w:lastRenderedPageBreak/>
              <w:t xml:space="preserve">On the contrary, Public databases are electronic systems that can accessed from any point across the globe, although depending on the service or information one is attempting he or she would have to pay a determine fee, which naturally is small, to attain the information or service of the vendor. According to our lecture notes, "these are less speedy but also less costly than private databases" (p. 13); and some examples of such databases are Google, </w:t>
            </w:r>
            <w:proofErr w:type="spellStart"/>
            <w:r w:rsidRPr="6436A66E">
              <w:rPr>
                <w:rFonts w:ascii="Arial" w:eastAsia="Arial" w:hAnsi="Arial" w:cs="Arial"/>
                <w:sz w:val="24"/>
                <w:szCs w:val="24"/>
              </w:rPr>
              <w:t>Pipl</w:t>
            </w:r>
            <w:proofErr w:type="spellEnd"/>
            <w:r w:rsidRPr="6436A66E">
              <w:rPr>
                <w:rFonts w:ascii="Arial" w:eastAsia="Arial" w:hAnsi="Arial" w:cs="Arial"/>
                <w:sz w:val="24"/>
                <w:szCs w:val="24"/>
              </w:rPr>
              <w:t xml:space="preserve">, to search for a prospect, </w:t>
            </w:r>
            <w:proofErr w:type="spellStart"/>
            <w:r w:rsidRPr="6436A66E">
              <w:rPr>
                <w:rFonts w:ascii="Arial" w:eastAsia="Arial" w:hAnsi="Arial" w:cs="Arial"/>
                <w:sz w:val="24"/>
                <w:szCs w:val="24"/>
              </w:rPr>
              <w:t>Linkedin</w:t>
            </w:r>
            <w:proofErr w:type="spellEnd"/>
            <w:r w:rsidRPr="6436A66E">
              <w:rPr>
                <w:rFonts w:ascii="Arial" w:eastAsia="Arial" w:hAnsi="Arial" w:cs="Arial"/>
                <w:sz w:val="24"/>
                <w:szCs w:val="24"/>
              </w:rPr>
              <w:t xml:space="preserve"> and </w:t>
            </w:r>
            <w:proofErr w:type="spellStart"/>
            <w:r w:rsidRPr="6436A66E">
              <w:rPr>
                <w:rFonts w:ascii="Arial" w:eastAsia="Arial" w:hAnsi="Arial" w:cs="Arial"/>
                <w:sz w:val="24"/>
                <w:szCs w:val="24"/>
              </w:rPr>
              <w:t>Facebook</w:t>
            </w:r>
            <w:proofErr w:type="spellEnd"/>
            <w:r w:rsidRPr="6436A66E">
              <w:rPr>
                <w:rFonts w:ascii="Arial" w:eastAsia="Arial" w:hAnsi="Arial" w:cs="Arial"/>
                <w:sz w:val="24"/>
                <w:szCs w:val="24"/>
              </w:rPr>
              <w:t>.</w:t>
            </w:r>
          </w:p>
          <w:p w:rsidR="00B23C01" w:rsidRDefault="00B23C01" w:rsidP="00B23C01">
            <w:pPr>
              <w:spacing w:line="360" w:lineRule="auto"/>
              <w:rPr>
                <w:rFonts w:ascii="Arial" w:eastAsia="Arial" w:hAnsi="Arial" w:cs="Arial"/>
                <w:sz w:val="24"/>
                <w:szCs w:val="24"/>
              </w:rPr>
            </w:pPr>
            <w:r w:rsidRPr="6436A66E">
              <w:rPr>
                <w:rFonts w:ascii="Arial" w:eastAsia="Arial" w:hAnsi="Arial" w:cs="Arial"/>
                <w:sz w:val="24"/>
                <w:szCs w:val="24"/>
              </w:rPr>
              <w:t>3. "Financial crime investigation general result in higher volume of evidence and more complicated theories of evidence than non – financial crime." In treating with this statement posit what it is saying examiner is that for a case of murder, for example, there are evidential clues that can lead to unmasking the intent and perpetrator(s) of the dastardly act, and as such it relatively easy to follow the trail. However, when one comes to a criminal or civil matter that is a of a financial nature, a forensic accountant working on the case can be lead down a rabbit hold so to speak, as he or she has to conclude with a shadow of doubt whether or not there is a case; and if there is a case, that the evidence can stand up to scrutiny. Examiner, when a forensic accountant is treating with such cases of a financial nature, what he or she may be testing and looking for might lead to another fraudulent activity going as well, thus making the case more complicated as one would have to peruse more data and expand his or her search.</w:t>
            </w:r>
          </w:p>
          <w:p w:rsidR="00B23C01" w:rsidRDefault="00B23C01" w:rsidP="00B23C01">
            <w:pPr>
              <w:spacing w:line="360" w:lineRule="auto"/>
              <w:rPr>
                <w:rFonts w:ascii="Arial" w:eastAsia="Arial" w:hAnsi="Arial" w:cs="Arial"/>
                <w:b/>
                <w:sz w:val="24"/>
                <w:szCs w:val="24"/>
              </w:rPr>
            </w:pPr>
            <w:r w:rsidRPr="00645791">
              <w:rPr>
                <w:rFonts w:ascii="Arial" w:eastAsia="Arial" w:hAnsi="Arial" w:cs="Arial"/>
                <w:b/>
                <w:sz w:val="24"/>
                <w:szCs w:val="24"/>
              </w:rPr>
              <w:t>Reponses to the Case</w:t>
            </w:r>
          </w:p>
          <w:p w:rsidR="00B23C01" w:rsidRDefault="00B23C01" w:rsidP="00B23C01">
            <w:pPr>
              <w:spacing w:line="360" w:lineRule="auto"/>
              <w:rPr>
                <w:rFonts w:ascii="Arial" w:eastAsia="Arial" w:hAnsi="Arial" w:cs="Arial"/>
                <w:sz w:val="24"/>
                <w:szCs w:val="24"/>
              </w:rPr>
            </w:pPr>
            <w:r w:rsidRPr="00645791">
              <w:rPr>
                <w:rFonts w:ascii="Arial" w:eastAsia="Arial" w:hAnsi="Arial" w:cs="Arial"/>
                <w:sz w:val="24"/>
                <w:szCs w:val="24"/>
              </w:rPr>
              <w:tab/>
              <w:t xml:space="preserve">In </w:t>
            </w:r>
            <w:r>
              <w:rPr>
                <w:rFonts w:ascii="Arial" w:eastAsia="Arial" w:hAnsi="Arial" w:cs="Arial"/>
                <w:sz w:val="24"/>
                <w:szCs w:val="24"/>
              </w:rPr>
              <w:t xml:space="preserve">treating with the case in question, one first attained an understanding of what a pub is and the sort of activities that occur in one. This understanding plus the information gathered from the case guided me in attempting to piece together what this owner’s accounting system is. A Pub is the short version for a public house. It is a central location for social interaction by families, groups of friends or individuals, and it serves a prepared menu of finger foods, alcoholic (varying types of beers) and non – alcoholic drinks; and, it is a pay first system </w:t>
            </w:r>
            <w:r w:rsidRPr="00191020">
              <w:rPr>
                <w:rFonts w:ascii="Arial" w:eastAsia="Arial" w:hAnsi="Arial" w:cs="Arial"/>
                <w:noProof/>
                <w:sz w:val="24"/>
                <w:szCs w:val="24"/>
              </w:rPr>
              <w:t>(Public Houses (Pubs), 2017)</w:t>
            </w:r>
            <w:r>
              <w:rPr>
                <w:rFonts w:ascii="Arial" w:eastAsia="Arial" w:hAnsi="Arial" w:cs="Arial"/>
                <w:noProof/>
                <w:sz w:val="24"/>
                <w:szCs w:val="24"/>
              </w:rPr>
              <w:t xml:space="preserve">. </w:t>
            </w:r>
            <w:r>
              <w:rPr>
                <w:rFonts w:ascii="Arial" w:eastAsia="Arial" w:hAnsi="Arial" w:cs="Arial"/>
                <w:sz w:val="24"/>
                <w:szCs w:val="24"/>
              </w:rPr>
              <w:t xml:space="preserve">From the case, one is presented with the information that the owner has a system of record keeping and banking.  As such from my capacity as an accountant, a pub is running on cash basis system, one; and, two, it would mean that at the end of a work day, sales would be tabulated, the float used would be deducted and balance and </w:t>
            </w:r>
            <w:r>
              <w:rPr>
                <w:rFonts w:ascii="Arial" w:eastAsia="Arial" w:hAnsi="Arial" w:cs="Arial"/>
                <w:sz w:val="24"/>
                <w:szCs w:val="24"/>
              </w:rPr>
              <w:lastRenderedPageBreak/>
              <w:t>deposits made to the bank.</w:t>
            </w:r>
          </w:p>
          <w:p w:rsidR="00B23C01" w:rsidRDefault="00B23C01" w:rsidP="00B23C01">
            <w:pPr>
              <w:spacing w:line="360" w:lineRule="auto"/>
              <w:rPr>
                <w:rFonts w:ascii="Arial" w:eastAsia="Arial" w:hAnsi="Arial" w:cs="Arial"/>
                <w:sz w:val="24"/>
                <w:szCs w:val="24"/>
              </w:rPr>
            </w:pPr>
            <w:r>
              <w:rPr>
                <w:rFonts w:ascii="Arial" w:eastAsia="Arial" w:hAnsi="Arial" w:cs="Arial"/>
                <w:sz w:val="24"/>
                <w:szCs w:val="24"/>
              </w:rPr>
              <w:t>Thus:</w:t>
            </w:r>
          </w:p>
          <w:p w:rsidR="00B23C01" w:rsidRDefault="00B23C01" w:rsidP="00B23C01">
            <w:pPr>
              <w:pStyle w:val="ListParagraph"/>
              <w:numPr>
                <w:ilvl w:val="0"/>
                <w:numId w:val="3"/>
              </w:numPr>
              <w:spacing w:line="360" w:lineRule="auto"/>
              <w:rPr>
                <w:rFonts w:ascii="Arial" w:eastAsia="Arial" w:hAnsi="Arial" w:cs="Arial"/>
                <w:sz w:val="24"/>
                <w:szCs w:val="24"/>
              </w:rPr>
            </w:pPr>
            <w:r>
              <w:rPr>
                <w:rFonts w:ascii="Arial" w:eastAsia="Arial" w:hAnsi="Arial" w:cs="Arial"/>
                <w:sz w:val="24"/>
                <w:szCs w:val="24"/>
              </w:rPr>
              <w:t>One is of the informed opinion that what is lacking this owner’s self – devised accounting system is a system of internal control. From the case, am I to believe that Byron, the manager, is the one doing the sales, and balancing the books and making the deposit to the bank the same or the next day? Or is it the case he just facilitating the smooth running of the accounting process and ensuring that the relevant persons are hired to treat with the accounts? From the case, one gets the feel that he is doing the former, and as such this is putting the pub at risk financially. Moreover the owner never sat down and taught Byron his system and what to do if he needs assistance. The owner rather explains his record keeping and banking system and left Byron without supervision. This falls under lack of internal control.</w:t>
            </w:r>
          </w:p>
          <w:p w:rsidR="00B23C01" w:rsidRDefault="00B23C01" w:rsidP="00B23C01">
            <w:pPr>
              <w:pStyle w:val="ListParagraph"/>
              <w:numPr>
                <w:ilvl w:val="0"/>
                <w:numId w:val="3"/>
              </w:numPr>
              <w:spacing w:line="360" w:lineRule="auto"/>
              <w:rPr>
                <w:rFonts w:ascii="Arial" w:eastAsia="Arial" w:hAnsi="Arial" w:cs="Arial"/>
                <w:sz w:val="24"/>
                <w:szCs w:val="24"/>
              </w:rPr>
            </w:pPr>
            <w:r>
              <w:rPr>
                <w:rFonts w:ascii="Arial" w:eastAsia="Arial" w:hAnsi="Arial" w:cs="Arial"/>
                <w:sz w:val="24"/>
                <w:szCs w:val="24"/>
              </w:rPr>
              <w:t xml:space="preserve">As such, given the nature of a pub, it could be possible, and from the case, that false account entries may have passed, for example passing an asset debit entry as an expense entry; two, there could be a case of Deposit in Transit (s) not cleared as yet; three, if it is the case that there is a cashier, it is possible that in a peak season, he/she didn’t capture all the sales; and four there could be the case of skimming given the lapse of proper internal control. </w:t>
            </w:r>
          </w:p>
          <w:sdt>
            <w:sdtPr>
              <w:id w:val="3614606"/>
              <w:docPartObj>
                <w:docPartGallery w:val="Bibliographies"/>
                <w:docPartUnique/>
              </w:docPartObj>
            </w:sdtPr>
            <w:sdtEndPr>
              <w:rPr>
                <w:rFonts w:asciiTheme="minorHAnsi" w:eastAsiaTheme="minorHAnsi" w:hAnsiTheme="minorHAnsi" w:cstheme="minorBidi"/>
                <w:b w:val="0"/>
                <w:bCs w:val="0"/>
                <w:color w:val="auto"/>
                <w:sz w:val="22"/>
                <w:szCs w:val="22"/>
                <w:lang w:bidi="ar-SA"/>
              </w:rPr>
            </w:sdtEndPr>
            <w:sdtContent>
              <w:p w:rsidR="00B23C01" w:rsidRDefault="00B23C01" w:rsidP="00B23C01">
                <w:pPr>
                  <w:pStyle w:val="Heading1"/>
                  <w:outlineLvl w:val="0"/>
                  <w:rPr>
                    <w:color w:val="auto"/>
                  </w:rPr>
                </w:pPr>
                <w:r w:rsidRPr="00CF4949">
                  <w:rPr>
                    <w:color w:val="auto"/>
                  </w:rPr>
                  <w:t>References</w:t>
                </w:r>
              </w:p>
              <w:p w:rsidR="00B23C01" w:rsidRPr="00B23C01" w:rsidRDefault="00B23C01" w:rsidP="00B23C01">
                <w:pPr>
                  <w:rPr>
                    <w:lang w:bidi="en-US"/>
                  </w:rPr>
                </w:pPr>
              </w:p>
              <w:p w:rsidR="00B23C01" w:rsidRDefault="00B23C01" w:rsidP="00B23C01">
                <w:pPr>
                  <w:pStyle w:val="Bibliography"/>
                  <w:ind w:left="720" w:hanging="720"/>
                  <w:rPr>
                    <w:noProof/>
                  </w:rPr>
                </w:pPr>
                <w:r>
                  <w:fldChar w:fldCharType="begin"/>
                </w:r>
                <w:r>
                  <w:instrText xml:space="preserve"> BIBLIOGRAPHY </w:instrText>
                </w:r>
                <w:r>
                  <w:fldChar w:fldCharType="separate"/>
                </w:r>
                <w:r>
                  <w:rPr>
                    <w:noProof/>
                  </w:rPr>
                  <w:t>College, B. O. (2017). The Investigative Process. Leicester , England.</w:t>
                </w:r>
              </w:p>
              <w:p w:rsidR="00B23C01" w:rsidRPr="00B23C01" w:rsidRDefault="00B23C01" w:rsidP="00B23C01"/>
              <w:p w:rsidR="00B23C01" w:rsidRDefault="00B23C01" w:rsidP="00B23C01">
                <w:pPr>
                  <w:pStyle w:val="Bibliography"/>
                  <w:rPr>
                    <w:noProof/>
                  </w:rPr>
                </w:pPr>
                <w:r>
                  <w:rPr>
                    <w:i/>
                    <w:iCs/>
                    <w:noProof/>
                  </w:rPr>
                  <w:t>Public Houses (Pubs)</w:t>
                </w:r>
                <w:r>
                  <w:rPr>
                    <w:noProof/>
                  </w:rPr>
                  <w:t>. (2017). Retrieved from Project Britain: http://projectbritain.com/pubs.htm</w:t>
                </w:r>
              </w:p>
              <w:p w:rsidR="00B23C01" w:rsidRDefault="00B23C01" w:rsidP="00B23C01">
                <w:r>
                  <w:fldChar w:fldCharType="end"/>
                </w:r>
              </w:p>
            </w:sdtContent>
          </w:sdt>
          <w:p w:rsidR="00B23C01" w:rsidRPr="00CF4949" w:rsidRDefault="00B23C01" w:rsidP="00B23C01">
            <w:pPr>
              <w:spacing w:line="360" w:lineRule="auto"/>
              <w:rPr>
                <w:rFonts w:ascii="Arial" w:eastAsia="Arial" w:hAnsi="Arial" w:cs="Arial"/>
                <w:sz w:val="24"/>
                <w:szCs w:val="24"/>
              </w:rPr>
            </w:pPr>
          </w:p>
          <w:p w:rsidR="00B23C01" w:rsidRDefault="00B23C01" w:rsidP="00B23C01">
            <w:pPr>
              <w:spacing w:line="360" w:lineRule="auto"/>
              <w:rPr>
                <w:rFonts w:ascii="Arial" w:eastAsia="Arial" w:hAnsi="Arial" w:cs="Arial"/>
                <w:sz w:val="24"/>
                <w:szCs w:val="24"/>
              </w:rPr>
            </w:pPr>
          </w:p>
          <w:p w:rsidR="00B23C01" w:rsidRPr="00902A7F" w:rsidRDefault="00B23C01" w:rsidP="00B23C01">
            <w:pPr>
              <w:spacing w:line="360" w:lineRule="auto"/>
              <w:rPr>
                <w:rFonts w:ascii="Arial" w:hAnsi="Arial" w:cs="Arial"/>
                <w:b/>
                <w:sz w:val="24"/>
              </w:rPr>
            </w:pPr>
            <w:bookmarkStart w:id="0" w:name="_GoBack"/>
            <w:bookmarkEnd w:id="0"/>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23C01" w:rsidP="00A851DA">
            <w:pPr>
              <w:rPr>
                <w:rFonts w:cs="Bliss-Regular"/>
                <w:color w:val="000000"/>
              </w:rPr>
            </w:pPr>
            <w:r>
              <w:rPr>
                <w:rFonts w:cs="Bliss-Regular"/>
                <w:color w:val="000000"/>
              </w:rPr>
              <w:t>G. Bertrand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23C01" w:rsidP="00A851DA">
            <w:pPr>
              <w:rPr>
                <w:rFonts w:cs="Bliss-Regular"/>
                <w:color w:val="000000"/>
              </w:rPr>
            </w:pPr>
            <w:r>
              <w:rPr>
                <w:rFonts w:cs="Bliss-Regular"/>
                <w:color w:val="000000"/>
              </w:rPr>
              <w:t>27/11/17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D49BB" w:rsidRDefault="006D49BB" w:rsidP="00CB4D0A">
      <w:pPr>
        <w:spacing w:after="0" w:line="240" w:lineRule="auto"/>
      </w:pPr>
      <w:r>
        <w:separator/>
      </w:r>
    </w:p>
  </w:endnote>
  <w:endnote w:type="continuationSeparator" w:id="0">
    <w:p w:rsidR="006D49BB" w:rsidRDefault="006D49B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D49BB" w:rsidRDefault="006D49BB" w:rsidP="00CB4D0A">
      <w:pPr>
        <w:spacing w:after="0" w:line="240" w:lineRule="auto"/>
      </w:pPr>
      <w:r>
        <w:separator/>
      </w:r>
    </w:p>
  </w:footnote>
  <w:footnote w:type="continuationSeparator" w:id="0">
    <w:p w:rsidR="006D49BB" w:rsidRDefault="006D49BB" w:rsidP="00CB4D0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3C01" w:rsidRDefault="00B23C01" w:rsidP="00B23C01">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Garth Bertrand</w:t>
    </w:r>
  </w:p>
  <w:p w:rsidR="00B23C01" w:rsidRDefault="00B23C01" w:rsidP="00B23C01">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Student ID: 10809</w:t>
    </w:r>
  </w:p>
  <w:p w:rsidR="00B23C01" w:rsidRDefault="00B23C01" w:rsidP="00B23C01">
    <w:pPr>
      <w:pStyle w:val="Header"/>
      <w:pBdr>
        <w:bottom w:val="single" w:sz="4" w:space="1" w:color="D9D9D9" w:themeColor="background1" w:themeShade="D9"/>
      </w:pBdr>
      <w:jc w:val="right"/>
      <w:rPr>
        <w:color w:val="7F7F7F" w:themeColor="background1" w:themeShade="7F"/>
        <w:spacing w:val="60"/>
      </w:rPr>
    </w:pPr>
    <w:r>
      <w:rPr>
        <w:color w:val="7F7F7F" w:themeColor="background1" w:themeShade="7F"/>
        <w:spacing w:val="60"/>
      </w:rPr>
      <w:t>Assignment #5</w:t>
    </w:r>
  </w:p>
  <w:p w:rsidR="00B23C01" w:rsidRPr="00B23C01" w:rsidRDefault="00B23C01" w:rsidP="00B23C01">
    <w:pPr>
      <w:pStyle w:val="Header"/>
      <w:pBdr>
        <w:bottom w:val="single" w:sz="4" w:space="1" w:color="D9D9D9" w:themeColor="background1" w:themeShade="D9"/>
      </w:pBdr>
      <w:jc w:val="right"/>
      <w:rPr>
        <w:color w:val="7F7F7F" w:themeColor="background1" w:themeShade="7F"/>
        <w:spacing w:val="60"/>
      </w:rPr>
    </w:pPr>
    <w:sdt>
      <w:sdtPr>
        <w:rPr>
          <w:color w:val="7F7F7F" w:themeColor="background1" w:themeShade="7F"/>
          <w:spacing w:val="60"/>
        </w:rPr>
        <w:id w:val="229692736"/>
        <w:docPartObj>
          <w:docPartGallery w:val="Page Numbers (Top of Page)"/>
          <w:docPartUnique/>
        </w:docPartObj>
      </w:sdtPr>
      <w:sdtEndPr>
        <w:rPr>
          <w:color w:val="auto"/>
          <w:spacing w:val="0"/>
        </w:rPr>
      </w:sdtEndPr>
      <w:sdtContent>
        <w:r>
          <w:rPr>
            <w:color w:val="7F7F7F" w:themeColor="background1" w:themeShade="7F"/>
            <w:spacing w:val="60"/>
          </w:rPr>
          <w:t>Page</w:t>
        </w:r>
        <w:r>
          <w:t xml:space="preserve"> | </w:t>
        </w:r>
        <w:r w:rsidRPr="00BA3E36">
          <w:fldChar w:fldCharType="begin"/>
        </w:r>
        <w:r>
          <w:instrText xml:space="preserve"> PAGE   \* MERGEFORMAT </w:instrText>
        </w:r>
        <w:r w:rsidRPr="00BA3E36">
          <w:fldChar w:fldCharType="separate"/>
        </w:r>
        <w:r w:rsidRPr="00B23C01">
          <w:rPr>
            <w:b/>
            <w:noProof/>
          </w:rPr>
          <w:t>1</w:t>
        </w:r>
        <w:r>
          <w:rPr>
            <w:b/>
            <w:noProof/>
          </w:rPr>
          <w:fldChar w:fldCharType="end"/>
        </w:r>
      </w:sdtContent>
    </w:sdt>
  </w:p>
  <w:p w:rsidR="00B23C01" w:rsidRDefault="00B23C0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2A0D96"/>
    <w:multiLevelType w:val="hybridMultilevel"/>
    <w:tmpl w:val="DB9449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9033B32"/>
    <w:multiLevelType w:val="hybridMultilevel"/>
    <w:tmpl w:val="1A6C09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hdrShapeDefaults>
    <o:shapedefaults v:ext="edit" spidmax="5120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80FBC"/>
    <w:rsid w:val="002B0BD7"/>
    <w:rsid w:val="002B573D"/>
    <w:rsid w:val="002C21FE"/>
    <w:rsid w:val="002C5CB2"/>
    <w:rsid w:val="002F779F"/>
    <w:rsid w:val="00371885"/>
    <w:rsid w:val="003E2B87"/>
    <w:rsid w:val="00402786"/>
    <w:rsid w:val="00405895"/>
    <w:rsid w:val="004058DF"/>
    <w:rsid w:val="00443E6F"/>
    <w:rsid w:val="00486F1A"/>
    <w:rsid w:val="00490CB9"/>
    <w:rsid w:val="004A2CE2"/>
    <w:rsid w:val="004B33E3"/>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D49BB"/>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23C01"/>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0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1">
    <w:name w:val="heading 1"/>
    <w:basedOn w:val="Normal"/>
    <w:next w:val="Normal"/>
    <w:link w:val="Heading1Char"/>
    <w:uiPriority w:val="9"/>
    <w:qFormat/>
    <w:rsid w:val="00B23C01"/>
    <w:pPr>
      <w:keepNext/>
      <w:keepLines/>
      <w:spacing w:before="480" w:after="0"/>
      <w:outlineLvl w:val="0"/>
    </w:pPr>
    <w:rPr>
      <w:rFonts w:asciiTheme="majorHAnsi" w:eastAsiaTheme="majorEastAsia" w:hAnsiTheme="majorHAnsi" w:cstheme="majorBidi"/>
      <w:b/>
      <w:bCs/>
      <w:color w:val="365F91" w:themeColor="accent1" w:themeShade="BF"/>
      <w:sz w:val="28"/>
      <w:szCs w:val="28"/>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B23C01"/>
    <w:rPr>
      <w:rFonts w:asciiTheme="majorHAnsi" w:eastAsiaTheme="majorEastAsia" w:hAnsiTheme="majorHAnsi" w:cstheme="majorBidi"/>
      <w:b/>
      <w:bCs/>
      <w:color w:val="365F91" w:themeColor="accent1" w:themeShade="BF"/>
      <w:sz w:val="28"/>
      <w:szCs w:val="28"/>
      <w:lang w:val="en-US" w:bidi="en-US"/>
    </w:rPr>
  </w:style>
  <w:style w:type="paragraph" w:styleId="Bibliography">
    <w:name w:val="Bibliography"/>
    <w:basedOn w:val="Normal"/>
    <w:next w:val="Normal"/>
    <w:uiPriority w:val="37"/>
    <w:unhideWhenUsed/>
    <w:rsid w:val="00B23C01"/>
    <w:rPr>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F28A73-28A3-425B-BB79-875D694A7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6</Pages>
  <Words>1594</Words>
  <Characters>9087</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gbertrand</cp:lastModifiedBy>
  <cp:revision>2</cp:revision>
  <dcterms:created xsi:type="dcterms:W3CDTF">2017-11-27T14:02:00Z</dcterms:created>
  <dcterms:modified xsi:type="dcterms:W3CDTF">2017-11-27T14:02:00Z</dcterms:modified>
</cp:coreProperties>
</file>