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018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181">
            <w:pPr>
              <w:pStyle w:val="Default"/>
              <w:rPr>
                <w:rFonts w:asciiTheme="minorHAnsi" w:hAnsiTheme="minorHAnsi"/>
              </w:rPr>
            </w:pPr>
            <w:r>
              <w:rPr>
                <w:rFonts w:asciiTheme="minorHAnsi" w:hAnsiTheme="minorHAnsi"/>
              </w:rPr>
              <w:t>Adam King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0181">
            <w:pPr>
              <w:pStyle w:val="Default"/>
              <w:rPr>
                <w:rFonts w:asciiTheme="minorHAnsi" w:hAnsiTheme="minorHAnsi"/>
              </w:rPr>
            </w:pPr>
            <w:r>
              <w:rPr>
                <w:rFonts w:asciiTheme="minorHAnsi" w:hAnsiTheme="minorHAnsi"/>
              </w:rPr>
              <w:t>35028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181">
            <w:pPr>
              <w:pStyle w:val="Default"/>
              <w:rPr>
                <w:rFonts w:asciiTheme="minorHAnsi" w:hAnsiTheme="minorHAnsi"/>
              </w:rPr>
            </w:pPr>
            <w:r>
              <w:rPr>
                <w:rFonts w:asciiTheme="minorHAnsi" w:hAnsiTheme="minorHAnsi"/>
              </w:rPr>
              <w:t>Introduction to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018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95" w:type="dxa"/>
        <w:tblLook w:val="04A0" w:firstRow="1" w:lastRow="0" w:firstColumn="1" w:lastColumn="0" w:noHBand="0" w:noVBand="1"/>
      </w:tblPr>
      <w:tblGrid>
        <w:gridCol w:w="9295"/>
      </w:tblGrid>
      <w:tr w:rsidR="00CC2FB3" w:rsidTr="00AE0181">
        <w:trPr>
          <w:trHeight w:val="6713"/>
        </w:trPr>
        <w:tc>
          <w:tcPr>
            <w:tcW w:w="9295" w:type="dxa"/>
          </w:tcPr>
          <w:p w:rsidR="00AE0181" w:rsidRPr="00D20584" w:rsidRDefault="00AE0181" w:rsidP="00AE0181">
            <w:pPr>
              <w:rPr>
                <w:rFonts w:ascii="Arial" w:hAnsi="Arial" w:cs="Arial"/>
                <w:sz w:val="24"/>
                <w:szCs w:val="24"/>
              </w:rPr>
            </w:pPr>
            <w:r>
              <w:rPr>
                <w:b/>
              </w:rPr>
              <w:t xml:space="preserve">1. </w:t>
            </w:r>
            <w:r w:rsidRPr="00D20584">
              <w:rPr>
                <w:rFonts w:ascii="Arial" w:hAnsi="Arial" w:cs="Arial"/>
                <w:sz w:val="24"/>
                <w:szCs w:val="24"/>
              </w:rPr>
              <w:t>Accounting is the language of business. Any organisation that has some sort of financial involvement (ie. economic resources) will need to keep records of accounts. This involves the recording, classifying and summarizing of financial events affecting the organisation.</w:t>
            </w:r>
          </w:p>
          <w:p w:rsidR="00AE0181" w:rsidRPr="00D20584" w:rsidRDefault="00AE0181" w:rsidP="00AE0181">
            <w:pPr>
              <w:rPr>
                <w:rFonts w:ascii="Arial" w:hAnsi="Arial" w:cs="Arial"/>
                <w:sz w:val="24"/>
                <w:szCs w:val="24"/>
              </w:rPr>
            </w:pPr>
            <w:r w:rsidRPr="00D20584">
              <w:rPr>
                <w:rFonts w:ascii="Arial" w:hAnsi="Arial" w:cs="Arial"/>
                <w:sz w:val="24"/>
                <w:szCs w:val="24"/>
              </w:rPr>
              <w:t>The primary objectives of accounting are to keep a systematic record of the various business transactions; To ascertain any profit or loss made during a particular period; To ascertain the financial position of the organisation, demonstrating the overall financial health; To portray the liquidity position of the organisation; To protect business properties against false claims by keeping a record of assets and liabilities; To facilitate rational decision-making, and; To satisfy the requirements of the law.</w:t>
            </w:r>
          </w:p>
          <w:p w:rsidR="00CC2FB3" w:rsidRDefault="00CC2FB3" w:rsidP="00A851DA">
            <w:pPr>
              <w:rPr>
                <w:b/>
              </w:rPr>
            </w:pPr>
          </w:p>
          <w:p w:rsidR="00AE0181" w:rsidRDefault="00AE0181" w:rsidP="00A851DA">
            <w:pPr>
              <w:rPr>
                <w:b/>
              </w:rPr>
            </w:pPr>
          </w:p>
          <w:p w:rsidR="00AE0181" w:rsidRPr="00D20584" w:rsidRDefault="00AE0181" w:rsidP="00AE0181">
            <w:pPr>
              <w:rPr>
                <w:rFonts w:ascii="Arial" w:hAnsi="Arial" w:cs="Arial"/>
                <w:sz w:val="24"/>
                <w:szCs w:val="24"/>
              </w:rPr>
            </w:pPr>
            <w:r>
              <w:rPr>
                <w:b/>
              </w:rPr>
              <w:t xml:space="preserve">2. </w:t>
            </w:r>
            <w:r w:rsidRPr="00D20584">
              <w:rPr>
                <w:rFonts w:ascii="Arial" w:hAnsi="Arial" w:cs="Arial"/>
                <w:sz w:val="24"/>
                <w:szCs w:val="24"/>
              </w:rPr>
              <w:t xml:space="preserve">Accounting is done in a cycle as, once a period is complete, the accounting cycle begins again for the new period. </w:t>
            </w:r>
          </w:p>
          <w:p w:rsidR="00AE0181" w:rsidRPr="00D20584" w:rsidRDefault="00AE0181" w:rsidP="00AE0181">
            <w:pPr>
              <w:rPr>
                <w:rFonts w:ascii="Arial" w:hAnsi="Arial" w:cs="Arial"/>
                <w:sz w:val="24"/>
                <w:szCs w:val="24"/>
              </w:rPr>
            </w:pPr>
            <w:r w:rsidRPr="00D20584">
              <w:rPr>
                <w:rFonts w:ascii="Arial" w:hAnsi="Arial" w:cs="Arial"/>
                <w:sz w:val="24"/>
                <w:szCs w:val="24"/>
              </w:rPr>
              <w:t>The cycle begins with making financial transactions (incomings and outgoings) and recording these in a chronological order into journals called Books of Original Entry. These journal entries are then entered into the accounts they belong to in the General Ledger, which contains a summary or all business accounts. A trial balance is then prepared at the end of an accounting period, which can be a month, a quarter or a year. Entries in the trial balance will often not balance, and so corrections and adjustments have to be made, in order to show the depreciation of an asset, one-time payments like insurance, advance payments etc. These are recorded in worksheets and are used to ensure that all accounts are in balance, before completing the adjusted trial balance. Financial statements can then be completed, showing profit and loss, as well as a balance sheet. The books can then be closed and the cycle begins again for the new period.</w:t>
            </w:r>
          </w:p>
          <w:p w:rsidR="00AE0181" w:rsidRDefault="00AE0181" w:rsidP="00A851DA">
            <w:pPr>
              <w:rPr>
                <w:b/>
              </w:rPr>
            </w:pPr>
          </w:p>
          <w:p w:rsidR="00AE0181" w:rsidRDefault="00AE0181" w:rsidP="00A851DA">
            <w:pPr>
              <w:rPr>
                <w:b/>
              </w:rPr>
            </w:pPr>
            <w:r>
              <w:rPr>
                <w:b/>
              </w:rPr>
              <w:lastRenderedPageBreak/>
              <w:t>3.</w:t>
            </w:r>
          </w:p>
          <w:tbl>
            <w:tblPr>
              <w:tblStyle w:val="TableGrid"/>
              <w:tblW w:w="0" w:type="auto"/>
              <w:tblLook w:val="04A0" w:firstRow="1" w:lastRow="0" w:firstColumn="1" w:lastColumn="0" w:noHBand="0" w:noVBand="1"/>
            </w:tblPr>
            <w:tblGrid>
              <w:gridCol w:w="4258"/>
              <w:gridCol w:w="4258"/>
            </w:tblGrid>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Data creation and collection</w:t>
                  </w:r>
                </w:p>
              </w:tc>
              <w:tc>
                <w:tcPr>
                  <w:tcW w:w="4258" w:type="dxa"/>
                </w:tcPr>
                <w:p w:rsidR="00AE0181" w:rsidRPr="00D20584" w:rsidRDefault="00AE0181" w:rsidP="0032155E">
                  <w:pPr>
                    <w:rPr>
                      <w:rFonts w:ascii="Arial" w:hAnsi="Arial" w:cs="Arial"/>
                    </w:rPr>
                  </w:pPr>
                  <w:r w:rsidRPr="00D20584">
                    <w:rPr>
                      <w:rFonts w:ascii="Arial" w:hAnsi="Arial" w:cs="Arial"/>
                    </w:rPr>
                    <w:t>This provides the initial basis for further financial statements and accounting records.</w:t>
                  </w:r>
                </w:p>
              </w:tc>
            </w:tr>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Data recording</w:t>
                  </w:r>
                </w:p>
              </w:tc>
              <w:tc>
                <w:tcPr>
                  <w:tcW w:w="4258" w:type="dxa"/>
                </w:tcPr>
                <w:p w:rsidR="00AE0181" w:rsidRPr="00D20584" w:rsidRDefault="00AE0181" w:rsidP="0032155E">
                  <w:pPr>
                    <w:rPr>
                      <w:rFonts w:ascii="Arial" w:hAnsi="Arial" w:cs="Arial"/>
                    </w:rPr>
                  </w:pPr>
                  <w:r w:rsidRPr="00D20584">
                    <w:rPr>
                      <w:rFonts w:ascii="Arial" w:hAnsi="Arial" w:cs="Arial"/>
                    </w:rPr>
                    <w:t>Data is recorded in books of original entry.</w:t>
                  </w:r>
                </w:p>
              </w:tc>
            </w:tr>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Data Evaluation</w:t>
                  </w:r>
                </w:p>
              </w:tc>
              <w:tc>
                <w:tcPr>
                  <w:tcW w:w="4258" w:type="dxa"/>
                </w:tcPr>
                <w:p w:rsidR="00AE0181" w:rsidRPr="00D20584" w:rsidRDefault="00AE0181" w:rsidP="0032155E">
                  <w:pPr>
                    <w:rPr>
                      <w:rFonts w:ascii="Arial" w:hAnsi="Arial" w:cs="Arial"/>
                    </w:rPr>
                  </w:pPr>
                  <w:r w:rsidRPr="00D20584">
                    <w:rPr>
                      <w:rFonts w:ascii="Arial" w:hAnsi="Arial" w:cs="Arial"/>
                    </w:rPr>
                    <w:t>Once data has been entered into the General Ledger, it can be evaluated and analysed.</w:t>
                  </w:r>
                </w:p>
              </w:tc>
            </w:tr>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Analyse and interpret data</w:t>
                  </w:r>
                </w:p>
              </w:tc>
              <w:tc>
                <w:tcPr>
                  <w:tcW w:w="4258" w:type="dxa"/>
                </w:tcPr>
                <w:p w:rsidR="00AE0181" w:rsidRPr="00D20584" w:rsidRDefault="00AE0181" w:rsidP="0032155E">
                  <w:pPr>
                    <w:rPr>
                      <w:rFonts w:ascii="Arial" w:hAnsi="Arial" w:cs="Arial"/>
                    </w:rPr>
                  </w:pPr>
                  <w:r w:rsidRPr="00D20584">
                    <w:rPr>
                      <w:rFonts w:ascii="Arial" w:hAnsi="Arial" w:cs="Arial"/>
                    </w:rPr>
                    <w:t>Data can be used in various ways, including to make budgetary projections and financial forecasts.</w:t>
                  </w:r>
                </w:p>
              </w:tc>
            </w:tr>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Audit</w:t>
                  </w:r>
                </w:p>
              </w:tc>
              <w:tc>
                <w:tcPr>
                  <w:tcW w:w="4258" w:type="dxa"/>
                </w:tcPr>
                <w:p w:rsidR="00AE0181" w:rsidRPr="00D20584" w:rsidRDefault="00AE0181" w:rsidP="0032155E">
                  <w:pPr>
                    <w:rPr>
                      <w:rFonts w:ascii="Arial" w:hAnsi="Arial" w:cs="Arial"/>
                    </w:rPr>
                  </w:pPr>
                  <w:r w:rsidRPr="00D20584">
                    <w:rPr>
                      <w:rFonts w:ascii="Arial" w:hAnsi="Arial" w:cs="Arial"/>
                    </w:rPr>
                    <w:t>Financial statements need to be verified to point out any lapses or possible fraud.</w:t>
                  </w:r>
                </w:p>
              </w:tc>
            </w:tr>
            <w:tr w:rsidR="00AE0181" w:rsidRPr="00D20584" w:rsidTr="0032155E">
              <w:tc>
                <w:tcPr>
                  <w:tcW w:w="4258" w:type="dxa"/>
                </w:tcPr>
                <w:p w:rsidR="00AE0181" w:rsidRPr="00D20584" w:rsidRDefault="00AE0181" w:rsidP="0032155E">
                  <w:pPr>
                    <w:rPr>
                      <w:rFonts w:ascii="Arial" w:hAnsi="Arial" w:cs="Arial"/>
                    </w:rPr>
                  </w:pPr>
                  <w:r w:rsidRPr="00D20584">
                    <w:rPr>
                      <w:rFonts w:ascii="Arial" w:hAnsi="Arial" w:cs="Arial"/>
                    </w:rPr>
                    <w:t>Data reporting</w:t>
                  </w:r>
                </w:p>
              </w:tc>
              <w:tc>
                <w:tcPr>
                  <w:tcW w:w="4258" w:type="dxa"/>
                </w:tcPr>
                <w:p w:rsidR="00AE0181" w:rsidRPr="00D20584" w:rsidRDefault="00AE0181" w:rsidP="0032155E">
                  <w:pPr>
                    <w:rPr>
                      <w:rFonts w:ascii="Arial" w:hAnsi="Arial" w:cs="Arial"/>
                    </w:rPr>
                  </w:pPr>
                  <w:r w:rsidRPr="00D20584">
                    <w:rPr>
                      <w:rFonts w:ascii="Arial" w:hAnsi="Arial" w:cs="Arial"/>
                    </w:rPr>
                    <w:t>This can be internal or external. Internal data reporting is to communicate financial statements, analysis and evaluation to decision-makers and managements within the organisation in order to inform future business decisions.</w:t>
                  </w:r>
                </w:p>
                <w:p w:rsidR="00AE0181" w:rsidRPr="00D20584" w:rsidRDefault="00AE0181" w:rsidP="0032155E">
                  <w:pPr>
                    <w:rPr>
                      <w:rFonts w:ascii="Arial" w:hAnsi="Arial" w:cs="Arial"/>
                    </w:rPr>
                  </w:pPr>
                  <w:r w:rsidRPr="00D20584">
                    <w:rPr>
                      <w:rFonts w:ascii="Arial" w:hAnsi="Arial" w:cs="Arial"/>
                    </w:rPr>
                    <w:t>External data reporting can be to shareholders or regulatory bodies.</w:t>
                  </w:r>
                </w:p>
              </w:tc>
            </w:tr>
          </w:tbl>
          <w:p w:rsidR="00AE0181" w:rsidRDefault="00AE018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0181" w:rsidP="00A851DA">
            <w:pPr>
              <w:rPr>
                <w:rFonts w:cs="Bliss-Regular"/>
                <w:color w:val="000000"/>
              </w:rPr>
            </w:pPr>
            <w:r>
              <w:rPr>
                <w:rFonts w:cs="Bliss-Regular"/>
                <w:color w:val="000000"/>
              </w:rPr>
              <w:t>Adam King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0181" w:rsidP="00A851DA">
            <w:pPr>
              <w:rPr>
                <w:rFonts w:cs="Bliss-Regular"/>
                <w:color w:val="000000"/>
              </w:rPr>
            </w:pPr>
            <w:r>
              <w:rPr>
                <w:rFonts w:cs="Bliss-Regular"/>
                <w:color w:val="000000"/>
              </w:rPr>
              <w:t>5/8/19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0181"/>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E6AD0-0AB8-E942-BF0F-521FD2F5A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505</Words>
  <Characters>2885</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King</cp:lastModifiedBy>
  <cp:revision>1</cp:revision>
  <dcterms:created xsi:type="dcterms:W3CDTF">2015-01-26T12:24:00Z</dcterms:created>
  <dcterms:modified xsi:type="dcterms:W3CDTF">2019-08-05T10:32:00Z</dcterms:modified>
</cp:coreProperties>
</file>