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C43" w:rsidRPr="000B3717" w:rsidRDefault="000B3717" w:rsidP="000B3717">
      <w:pPr>
        <w:spacing w:line="360" w:lineRule="auto"/>
        <w:jc w:val="right"/>
        <w:rPr>
          <w:rFonts w:ascii="Arial" w:hAnsi="Arial" w:cs="Arial"/>
          <w:sz w:val="24"/>
          <w:szCs w:val="24"/>
          <w:lang w:val="es-ES"/>
        </w:rPr>
      </w:pPr>
      <w:proofErr w:type="spellStart"/>
      <w:r w:rsidRPr="000B3717">
        <w:rPr>
          <w:rFonts w:ascii="Arial" w:hAnsi="Arial" w:cs="Arial"/>
          <w:sz w:val="24"/>
          <w:szCs w:val="24"/>
          <w:lang w:val="es-ES"/>
        </w:rPr>
        <w:t>Maria</w:t>
      </w:r>
      <w:proofErr w:type="spellEnd"/>
      <w:r w:rsidRPr="000B3717">
        <w:rPr>
          <w:rFonts w:ascii="Arial" w:hAnsi="Arial" w:cs="Arial"/>
          <w:sz w:val="24"/>
          <w:szCs w:val="24"/>
          <w:lang w:val="es-ES"/>
        </w:rPr>
        <w:t xml:space="preserve"> Teresa Pujol Ruiz de la Fuente</w:t>
      </w:r>
    </w:p>
    <w:p w:rsidR="000B3717" w:rsidRDefault="000B3717" w:rsidP="000B3717">
      <w:pPr>
        <w:spacing w:line="360" w:lineRule="auto"/>
        <w:jc w:val="right"/>
        <w:rPr>
          <w:rFonts w:ascii="Arial" w:hAnsi="Arial" w:cs="Arial"/>
          <w:sz w:val="24"/>
          <w:szCs w:val="24"/>
          <w:lang w:val="es-ES"/>
        </w:rPr>
      </w:pPr>
      <w:proofErr w:type="spellStart"/>
      <w:r>
        <w:rPr>
          <w:rFonts w:ascii="Arial" w:hAnsi="Arial" w:cs="Arial"/>
          <w:sz w:val="24"/>
          <w:szCs w:val="24"/>
          <w:lang w:val="es-ES"/>
        </w:rPr>
        <w:t>Student</w:t>
      </w:r>
      <w:proofErr w:type="spellEnd"/>
      <w:r>
        <w:rPr>
          <w:rFonts w:ascii="Arial" w:hAnsi="Arial" w:cs="Arial"/>
          <w:sz w:val="24"/>
          <w:szCs w:val="24"/>
          <w:lang w:val="es-ES"/>
        </w:rPr>
        <w:t xml:space="preserve"> n</w:t>
      </w:r>
      <w:r>
        <w:rPr>
          <w:rFonts w:ascii="Arial" w:hAnsi="Arial" w:cs="Arial"/>
          <w:sz w:val="24"/>
          <w:szCs w:val="24"/>
          <w:vertAlign w:val="superscript"/>
          <w:lang w:val="es-ES"/>
        </w:rPr>
        <w:t>o</w:t>
      </w:r>
      <w:r>
        <w:rPr>
          <w:rFonts w:ascii="Arial" w:hAnsi="Arial" w:cs="Arial"/>
          <w:sz w:val="24"/>
          <w:szCs w:val="24"/>
          <w:lang w:val="es-ES"/>
        </w:rPr>
        <w:t xml:space="preserve">: </w:t>
      </w:r>
      <w:r w:rsidR="00425118">
        <w:rPr>
          <w:rFonts w:ascii="Arial" w:hAnsi="Arial" w:cs="Arial"/>
          <w:sz w:val="24"/>
          <w:szCs w:val="24"/>
          <w:lang w:val="es-ES"/>
        </w:rPr>
        <w:t>25683</w:t>
      </w:r>
    </w:p>
    <w:p w:rsidR="000B3717" w:rsidRDefault="000B3717" w:rsidP="000B3717">
      <w:pPr>
        <w:spacing w:line="360" w:lineRule="auto"/>
        <w:jc w:val="right"/>
        <w:rPr>
          <w:rFonts w:ascii="Arial" w:hAnsi="Arial" w:cs="Arial"/>
          <w:sz w:val="24"/>
          <w:szCs w:val="24"/>
          <w:lang w:val="es-ES"/>
        </w:rPr>
      </w:pPr>
      <w:proofErr w:type="spellStart"/>
      <w:r>
        <w:rPr>
          <w:rFonts w:ascii="Arial" w:hAnsi="Arial" w:cs="Arial"/>
          <w:sz w:val="24"/>
          <w:szCs w:val="24"/>
          <w:lang w:val="es-ES"/>
        </w:rPr>
        <w:t>Environmental</w:t>
      </w:r>
      <w:proofErr w:type="spellEnd"/>
      <w:r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"/>
        </w:rPr>
        <w:t>Law</w:t>
      </w:r>
      <w:proofErr w:type="spellEnd"/>
    </w:p>
    <w:p w:rsidR="00425118" w:rsidRDefault="00425118" w:rsidP="000B3717">
      <w:pPr>
        <w:spacing w:line="360" w:lineRule="auto"/>
        <w:jc w:val="right"/>
        <w:rPr>
          <w:rFonts w:ascii="Arial" w:hAnsi="Arial" w:cs="Arial"/>
          <w:sz w:val="24"/>
          <w:szCs w:val="24"/>
          <w:lang w:val="es-ES"/>
        </w:rPr>
      </w:pPr>
    </w:p>
    <w:p w:rsidR="000B3717" w:rsidRDefault="000B3717" w:rsidP="006051B3">
      <w:pPr>
        <w:pStyle w:val="Prrafodelista"/>
        <w:numPr>
          <w:ilvl w:val="0"/>
          <w:numId w:val="1"/>
        </w:numPr>
        <w:spacing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0B3717">
        <w:rPr>
          <w:rFonts w:ascii="Arial" w:hAnsi="Arial" w:cs="Arial"/>
          <w:sz w:val="24"/>
          <w:szCs w:val="24"/>
        </w:rPr>
        <w:t xml:space="preserve">What are the environmental regulatory framework </w:t>
      </w:r>
      <w:r>
        <w:rPr>
          <w:rFonts w:ascii="Arial" w:hAnsi="Arial" w:cs="Arial"/>
          <w:sz w:val="24"/>
          <w:szCs w:val="24"/>
        </w:rPr>
        <w:t>in the UK?</w:t>
      </w:r>
    </w:p>
    <w:p w:rsidR="000B3717" w:rsidRDefault="00E2523F" w:rsidP="006051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environmental legislatio</w:t>
      </w:r>
      <w:r w:rsidR="00E979AA">
        <w:rPr>
          <w:rFonts w:ascii="Arial" w:hAnsi="Arial" w:cs="Arial"/>
          <w:sz w:val="24"/>
          <w:szCs w:val="24"/>
        </w:rPr>
        <w:t>n in England and Wales stems</w:t>
      </w:r>
      <w:r>
        <w:rPr>
          <w:rFonts w:ascii="Arial" w:hAnsi="Arial" w:cs="Arial"/>
          <w:sz w:val="24"/>
          <w:szCs w:val="24"/>
        </w:rPr>
        <w:t xml:space="preserve"> mainly from the EU legislation. The main environmental </w:t>
      </w:r>
      <w:r w:rsidR="001010D3">
        <w:rPr>
          <w:rFonts w:ascii="Arial" w:hAnsi="Arial" w:cs="Arial"/>
          <w:sz w:val="24"/>
          <w:szCs w:val="24"/>
        </w:rPr>
        <w:t xml:space="preserve">regimes are: the EPR (Environmental Permitting Regime), waste, water, contaminated land, conservation of nature, wildlife and habitats, and EIA’s (Environmental Impact Assessments). </w:t>
      </w:r>
    </w:p>
    <w:p w:rsidR="001010D3" w:rsidRDefault="001010D3" w:rsidP="006051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matters like health and safety and planning have their own legislation but are directly related to the environmental law.</w:t>
      </w:r>
    </w:p>
    <w:p w:rsidR="00EE6D2F" w:rsidRDefault="000B6911" w:rsidP="006051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England the Department for Environment, Food and Rural Affairs (DEFRA) is the main body in charge of d</w:t>
      </w:r>
      <w:r w:rsidR="00642E03">
        <w:rPr>
          <w:rFonts w:ascii="Arial" w:hAnsi="Arial" w:cs="Arial"/>
          <w:sz w:val="24"/>
          <w:szCs w:val="24"/>
        </w:rPr>
        <w:t>eveloping the environmental legislation and the Department of Energy and Climate Change (DECC) is in charge of matters related to the climate change.</w:t>
      </w:r>
      <w:r w:rsidR="00E979AA">
        <w:rPr>
          <w:rFonts w:ascii="Arial" w:hAnsi="Arial" w:cs="Arial"/>
          <w:sz w:val="24"/>
          <w:szCs w:val="24"/>
        </w:rPr>
        <w:t xml:space="preserve"> Nevertheless, in Wales, is the National Assembly for Wales the body with powers to legislate.</w:t>
      </w:r>
    </w:p>
    <w:p w:rsidR="005E6D42" w:rsidRPr="000B3717" w:rsidRDefault="005E6D42" w:rsidP="006051B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B3717" w:rsidRDefault="000B3717" w:rsidP="006051B3">
      <w:pPr>
        <w:pStyle w:val="Prrafodelista"/>
        <w:numPr>
          <w:ilvl w:val="0"/>
          <w:numId w:val="1"/>
        </w:numPr>
        <w:spacing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Briefly explain the environmental permitting regime (EPR)</w:t>
      </w:r>
    </w:p>
    <w:p w:rsidR="000B3717" w:rsidRDefault="00DA0562" w:rsidP="006051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Environmental Permitting Regime combined the IPPC (Integrated Pollution Prevention and Control) with the Waste Management Licensing (WML) to form Environmental Permit</w:t>
      </w:r>
      <w:r w:rsidR="0047547B">
        <w:rPr>
          <w:rFonts w:ascii="Arial" w:hAnsi="Arial" w:cs="Arial"/>
          <w:sz w:val="24"/>
          <w:szCs w:val="24"/>
        </w:rPr>
        <w:t>s (EP), which came into force on</w:t>
      </w:r>
      <w:r>
        <w:rPr>
          <w:rFonts w:ascii="Arial" w:hAnsi="Arial" w:cs="Arial"/>
          <w:sz w:val="24"/>
          <w:szCs w:val="24"/>
        </w:rPr>
        <w:t xml:space="preserve"> 6 </w:t>
      </w:r>
      <w:r w:rsidR="0047547B">
        <w:rPr>
          <w:rFonts w:ascii="Arial" w:hAnsi="Arial" w:cs="Arial"/>
          <w:sz w:val="24"/>
          <w:szCs w:val="24"/>
        </w:rPr>
        <w:t>of April 2008.</w:t>
      </w:r>
    </w:p>
    <w:p w:rsidR="000247A1" w:rsidRDefault="000247A1" w:rsidP="006051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Since then, the scope of the EPR has been widened to include water and groundwater discharge activities, and radioactive substances by 2010.</w:t>
      </w:r>
      <w:r w:rsidR="006F68BD">
        <w:rPr>
          <w:rFonts w:ascii="Arial" w:hAnsi="Arial" w:cs="Arial"/>
          <w:sz w:val="24"/>
          <w:szCs w:val="24"/>
        </w:rPr>
        <w:t xml:space="preserve"> And i</w:t>
      </w:r>
      <w:r>
        <w:rPr>
          <w:rFonts w:ascii="Arial" w:hAnsi="Arial" w:cs="Arial"/>
          <w:sz w:val="24"/>
          <w:szCs w:val="24"/>
        </w:rPr>
        <w:t>n 2013, amendments were made to implement</w:t>
      </w:r>
      <w:r w:rsidR="004561D1">
        <w:rPr>
          <w:rFonts w:ascii="Arial" w:hAnsi="Arial" w:cs="Arial"/>
          <w:sz w:val="24"/>
          <w:szCs w:val="24"/>
        </w:rPr>
        <w:t xml:space="preserve"> the Industrial Emissions</w:t>
      </w:r>
      <w:r>
        <w:rPr>
          <w:rFonts w:ascii="Arial" w:hAnsi="Arial" w:cs="Arial"/>
          <w:sz w:val="24"/>
          <w:szCs w:val="24"/>
        </w:rPr>
        <w:t xml:space="preserve"> Directive </w:t>
      </w:r>
      <w:r w:rsidR="004561D1">
        <w:rPr>
          <w:rFonts w:ascii="Arial" w:hAnsi="Arial" w:cs="Arial"/>
          <w:sz w:val="24"/>
          <w:szCs w:val="24"/>
        </w:rPr>
        <w:t>(2010/75/EU) (IED)</w:t>
      </w:r>
      <w:r w:rsidR="006F68BD">
        <w:rPr>
          <w:rFonts w:ascii="Arial" w:hAnsi="Arial" w:cs="Arial"/>
          <w:sz w:val="24"/>
          <w:szCs w:val="24"/>
        </w:rPr>
        <w:t>.</w:t>
      </w:r>
    </w:p>
    <w:p w:rsidR="006F68BD" w:rsidRDefault="006F68BD" w:rsidP="006051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activities regulated by the EPR are activities or specified installations listed in Schedule 1 of the EPR, waste operations, mobile plants, mining waste operations, water discharge activities, radioactive substances activities, </w:t>
      </w:r>
      <w:r>
        <w:rPr>
          <w:rFonts w:ascii="Arial" w:hAnsi="Arial" w:cs="Arial"/>
          <w:sz w:val="24"/>
          <w:szCs w:val="24"/>
        </w:rPr>
        <w:lastRenderedPageBreak/>
        <w:t>groundwater activities, small waste incineration plant and solvent emissions activities.</w:t>
      </w:r>
    </w:p>
    <w:p w:rsidR="00425118" w:rsidRPr="000B3717" w:rsidRDefault="00425118" w:rsidP="006051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B3717" w:rsidRDefault="000B3717" w:rsidP="006051B3">
      <w:pPr>
        <w:pStyle w:val="Prrafodelista"/>
        <w:numPr>
          <w:ilvl w:val="0"/>
          <w:numId w:val="1"/>
        </w:numPr>
        <w:spacing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various regulations and legislation for cleaning up contaminated land?</w:t>
      </w:r>
    </w:p>
    <w:p w:rsidR="00A73F44" w:rsidRDefault="0051605A" w:rsidP="007731B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existing legislation</w:t>
      </w:r>
      <w:r w:rsidR="007731BB">
        <w:rPr>
          <w:rFonts w:ascii="Arial" w:hAnsi="Arial" w:cs="Arial"/>
          <w:sz w:val="24"/>
          <w:szCs w:val="24"/>
        </w:rPr>
        <w:t xml:space="preserve"> for clean-up contaminated lands are the Environmental Protection Act 1990 and the Environmental Damage Regulations 2015</w:t>
      </w:r>
      <w:r w:rsidR="007731BB" w:rsidRPr="007731BB">
        <w:rPr>
          <w:rFonts w:ascii="Arial" w:hAnsi="Arial" w:cs="Arial"/>
          <w:sz w:val="24"/>
          <w:szCs w:val="24"/>
        </w:rPr>
        <w:t xml:space="preserve"> </w:t>
      </w:r>
      <w:r w:rsidR="007731BB">
        <w:rPr>
          <w:rFonts w:ascii="Arial" w:hAnsi="Arial" w:cs="Arial"/>
          <w:sz w:val="24"/>
          <w:szCs w:val="24"/>
        </w:rPr>
        <w:t>(</w:t>
      </w:r>
      <w:r w:rsidR="007731BB">
        <w:rPr>
          <w:rFonts w:ascii="Arial" w:hAnsi="Arial" w:cs="Arial"/>
          <w:sz w:val="24"/>
          <w:szCs w:val="24"/>
        </w:rPr>
        <w:t>ED Regulations</w:t>
      </w:r>
      <w:r w:rsidR="007731BB">
        <w:rPr>
          <w:rFonts w:ascii="Arial" w:hAnsi="Arial" w:cs="Arial"/>
          <w:sz w:val="24"/>
          <w:szCs w:val="24"/>
        </w:rPr>
        <w:t>).</w:t>
      </w:r>
    </w:p>
    <w:p w:rsidR="00F95FEC" w:rsidRDefault="00B271B2" w:rsidP="007731B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Part II of the Environmental Protection Act 1990 identifies and remediates contaminated land but </w:t>
      </w:r>
      <w:r w:rsidR="00F95FEC">
        <w:rPr>
          <w:rFonts w:ascii="Arial" w:hAnsi="Arial" w:cs="Arial"/>
          <w:sz w:val="24"/>
          <w:szCs w:val="24"/>
        </w:rPr>
        <w:t xml:space="preserve">poses unacceptable levels of risk. </w:t>
      </w:r>
    </w:p>
    <w:p w:rsidR="007731BB" w:rsidRPr="00A73F44" w:rsidRDefault="00F95FEC" w:rsidP="007731B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ED Regulations are related to prevention and remediation of environmental damage but they only apply to the most seriou</w:t>
      </w:r>
      <w:r w:rsidR="008F5C6E">
        <w:rPr>
          <w:rFonts w:ascii="Arial" w:hAnsi="Arial" w:cs="Arial"/>
          <w:sz w:val="24"/>
          <w:szCs w:val="24"/>
        </w:rPr>
        <w:t>s cases of environmental damage</w:t>
      </w:r>
      <w:r>
        <w:rPr>
          <w:rFonts w:ascii="Arial" w:hAnsi="Arial" w:cs="Arial"/>
          <w:sz w:val="24"/>
          <w:szCs w:val="24"/>
        </w:rPr>
        <w:t>.</w:t>
      </w:r>
      <w:r w:rsidR="008F5C6E">
        <w:rPr>
          <w:rFonts w:ascii="Arial" w:hAnsi="Arial" w:cs="Arial"/>
          <w:sz w:val="24"/>
          <w:szCs w:val="24"/>
        </w:rPr>
        <w:t xml:space="preserve"> In 2015 the ED Regulations were modified to cover marine waters </w:t>
      </w:r>
      <w:r w:rsidR="00480A05">
        <w:rPr>
          <w:rFonts w:ascii="Arial" w:hAnsi="Arial" w:cs="Arial"/>
          <w:sz w:val="24"/>
          <w:szCs w:val="24"/>
        </w:rPr>
        <w:t>with the implementation of the Offshore Safety Directive 2013 (2013/30/EU).</w:t>
      </w:r>
    </w:p>
    <w:sectPr w:rsidR="007731BB" w:rsidRPr="00A73F4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85D" w:rsidRDefault="00BA185D" w:rsidP="00425118">
      <w:pPr>
        <w:spacing w:after="0" w:line="240" w:lineRule="auto"/>
      </w:pPr>
      <w:r>
        <w:separator/>
      </w:r>
    </w:p>
  </w:endnote>
  <w:endnote w:type="continuationSeparator" w:id="0">
    <w:p w:rsidR="00BA185D" w:rsidRDefault="00BA185D" w:rsidP="00425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85D" w:rsidRDefault="00BA185D" w:rsidP="00425118">
      <w:pPr>
        <w:spacing w:after="0" w:line="240" w:lineRule="auto"/>
      </w:pPr>
      <w:r>
        <w:separator/>
      </w:r>
    </w:p>
  </w:footnote>
  <w:footnote w:type="continuationSeparator" w:id="0">
    <w:p w:rsidR="00BA185D" w:rsidRDefault="00BA185D" w:rsidP="00425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color w:val="7F7F7F" w:themeColor="background1" w:themeShade="7F"/>
        <w:spacing w:val="60"/>
        <w:sz w:val="18"/>
        <w:szCs w:val="18"/>
        <w:lang w:val="es-ES"/>
      </w:rPr>
      <w:id w:val="-427434063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  <w:lang w:val="en-GB"/>
      </w:rPr>
    </w:sdtEndPr>
    <w:sdtContent>
      <w:p w:rsidR="00425118" w:rsidRPr="00425118" w:rsidRDefault="00425118">
        <w:pPr>
          <w:pStyle w:val="Encabezado"/>
          <w:pBdr>
            <w:bottom w:val="single" w:sz="4" w:space="1" w:color="D9D9D9" w:themeColor="background1" w:themeShade="D9"/>
          </w:pBdr>
          <w:jc w:val="right"/>
          <w:rPr>
            <w:rFonts w:ascii="Arial" w:hAnsi="Arial" w:cs="Arial"/>
            <w:b/>
            <w:bCs/>
            <w:sz w:val="18"/>
            <w:szCs w:val="18"/>
          </w:rPr>
        </w:pPr>
        <w:r w:rsidRPr="00425118">
          <w:rPr>
            <w:rFonts w:ascii="Arial" w:hAnsi="Arial" w:cs="Arial"/>
            <w:color w:val="7F7F7F" w:themeColor="background1" w:themeShade="7F"/>
            <w:spacing w:val="60"/>
            <w:sz w:val="18"/>
            <w:szCs w:val="18"/>
            <w:lang w:val="es-ES"/>
          </w:rPr>
          <w:t>Page</w:t>
        </w:r>
        <w:r w:rsidRPr="00425118">
          <w:rPr>
            <w:rFonts w:ascii="Arial" w:hAnsi="Arial" w:cs="Arial"/>
            <w:sz w:val="18"/>
            <w:szCs w:val="18"/>
            <w:lang w:val="es-ES"/>
          </w:rPr>
          <w:t xml:space="preserve"> | </w:t>
        </w:r>
        <w:r w:rsidRPr="00425118">
          <w:rPr>
            <w:rFonts w:ascii="Arial" w:hAnsi="Arial" w:cs="Arial"/>
            <w:sz w:val="18"/>
            <w:szCs w:val="18"/>
          </w:rPr>
          <w:fldChar w:fldCharType="begin"/>
        </w:r>
        <w:r w:rsidRPr="00425118">
          <w:rPr>
            <w:rFonts w:ascii="Arial" w:hAnsi="Arial" w:cs="Arial"/>
            <w:sz w:val="18"/>
            <w:szCs w:val="18"/>
          </w:rPr>
          <w:instrText>PAGE   \* MERGEFORMAT</w:instrText>
        </w:r>
        <w:r w:rsidRPr="00425118">
          <w:rPr>
            <w:rFonts w:ascii="Arial" w:hAnsi="Arial" w:cs="Arial"/>
            <w:sz w:val="18"/>
            <w:szCs w:val="18"/>
          </w:rPr>
          <w:fldChar w:fldCharType="separate"/>
        </w:r>
        <w:r w:rsidRPr="00425118">
          <w:rPr>
            <w:rFonts w:ascii="Arial" w:hAnsi="Arial" w:cs="Arial"/>
            <w:b/>
            <w:bCs/>
            <w:noProof/>
            <w:sz w:val="18"/>
            <w:szCs w:val="18"/>
            <w:lang w:val="es-ES"/>
          </w:rPr>
          <w:t>1</w:t>
        </w:r>
        <w:r w:rsidRPr="00425118">
          <w:rPr>
            <w:rFonts w:ascii="Arial" w:hAnsi="Arial" w:cs="Arial"/>
            <w:b/>
            <w:bCs/>
            <w:sz w:val="18"/>
            <w:szCs w:val="18"/>
          </w:rPr>
          <w:fldChar w:fldCharType="end"/>
        </w:r>
      </w:p>
    </w:sdtContent>
  </w:sdt>
  <w:p w:rsidR="00425118" w:rsidRDefault="0042511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553FA"/>
    <w:multiLevelType w:val="hybridMultilevel"/>
    <w:tmpl w:val="CA6C19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717"/>
    <w:rsid w:val="000247A1"/>
    <w:rsid w:val="000B3717"/>
    <w:rsid w:val="000B6911"/>
    <w:rsid w:val="001010D3"/>
    <w:rsid w:val="00425118"/>
    <w:rsid w:val="004561D1"/>
    <w:rsid w:val="0047547B"/>
    <w:rsid w:val="00480A05"/>
    <w:rsid w:val="0051605A"/>
    <w:rsid w:val="005E6D42"/>
    <w:rsid w:val="006051B3"/>
    <w:rsid w:val="00642E03"/>
    <w:rsid w:val="006F68BD"/>
    <w:rsid w:val="007731BB"/>
    <w:rsid w:val="008F1C43"/>
    <w:rsid w:val="008F5C6E"/>
    <w:rsid w:val="00A73F44"/>
    <w:rsid w:val="00B271B2"/>
    <w:rsid w:val="00BA185D"/>
    <w:rsid w:val="00DA0562"/>
    <w:rsid w:val="00E2523F"/>
    <w:rsid w:val="00E616C7"/>
    <w:rsid w:val="00E979AA"/>
    <w:rsid w:val="00EE6D2F"/>
    <w:rsid w:val="00F9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FA9D"/>
  <w15:chartTrackingRefBased/>
  <w15:docId w15:val="{0BC76C55-C39E-4814-A1AB-89D3D208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B371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251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5118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4251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511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Gracia</dc:creator>
  <cp:keywords/>
  <dc:description/>
  <cp:lastModifiedBy>Gracia</cp:lastModifiedBy>
  <cp:revision>22</cp:revision>
  <dcterms:created xsi:type="dcterms:W3CDTF">2018-10-15T11:51:00Z</dcterms:created>
  <dcterms:modified xsi:type="dcterms:W3CDTF">2018-10-15T14:42:00Z</dcterms:modified>
</cp:coreProperties>
</file>