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s-ES" w:eastAsia="es-E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75891" w:rsidP="00A851DA">
      <w:pPr>
        <w:rPr>
          <w:lang w:val="en-US"/>
        </w:rPr>
      </w:pPr>
      <w:r>
        <w:rPr>
          <w:noProof/>
          <w:lang w:val="es-ES" w:eastAsia="es-E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aconcuadrcula"/>
        <w:tblW w:w="0" w:type="auto"/>
        <w:tblLook w:val="04A0" w:firstRow="1" w:lastRow="0" w:firstColumn="1" w:lastColumn="0" w:noHBand="0" w:noVBand="1"/>
      </w:tblPr>
      <w:tblGrid>
        <w:gridCol w:w="2520"/>
        <w:gridCol w:w="6496"/>
      </w:tblGrid>
      <w:tr w:rsidR="00A851DA" w:rsidRPr="0087589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75891" w:rsidRDefault="00875891">
            <w:pPr>
              <w:pStyle w:val="Default"/>
              <w:rPr>
                <w:rFonts w:asciiTheme="minorHAnsi" w:hAnsiTheme="minorHAnsi"/>
                <w:lang w:val="es-ES"/>
              </w:rPr>
            </w:pPr>
            <w:r w:rsidRPr="00875891">
              <w:rPr>
                <w:rFonts w:asciiTheme="minorHAnsi" w:hAnsiTheme="minorHAnsi"/>
                <w:lang w:val="es-ES"/>
              </w:rPr>
              <w:t>María Teresa Pujol Ruiz de la Fuente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75891">
            <w:pPr>
              <w:pStyle w:val="Default"/>
              <w:rPr>
                <w:rFonts w:asciiTheme="minorHAnsi" w:hAnsiTheme="minorHAnsi"/>
              </w:rPr>
            </w:pPr>
            <w:r>
              <w:rPr>
                <w:rFonts w:asciiTheme="minorHAnsi" w:hAnsiTheme="minorHAnsi"/>
              </w:rPr>
              <w:t>25683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5891">
            <w:pPr>
              <w:pStyle w:val="Default"/>
              <w:rPr>
                <w:rFonts w:asciiTheme="minorHAnsi" w:hAnsiTheme="minorHAnsi"/>
              </w:rPr>
            </w:pPr>
            <w:r>
              <w:rPr>
                <w:rFonts w:asciiTheme="minorHAnsi" w:hAnsiTheme="minorHAnsi"/>
              </w:rPr>
              <w:t>Environmental Law</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589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875891">
              <w:rPr>
                <w:rFonts w:ascii="Arial" w:hAnsi="Arial" w:cs="Arial"/>
                <w:sz w:val="24"/>
                <w:szCs w:val="24"/>
              </w:rPr>
              <w:t xml:space="preserve"> (in word format)</w:t>
            </w:r>
            <w:r w:rsidRPr="00CC2FB3">
              <w:rPr>
                <w:rFonts w:ascii="Arial" w:hAnsi="Arial" w:cs="Arial"/>
                <w:sz w:val="24"/>
                <w:szCs w:val="24"/>
              </w:rPr>
              <w:t xml:space="preserve"> here:</w:t>
            </w:r>
          </w:p>
          <w:p w:rsidR="00CC2FB3" w:rsidRDefault="00CC2FB3" w:rsidP="00A851DA">
            <w:pPr>
              <w:rPr>
                <w:b/>
              </w:rPr>
            </w:pPr>
          </w:p>
          <w:p w:rsidR="00875891" w:rsidRDefault="00875891" w:rsidP="00875891">
            <w:pPr>
              <w:pStyle w:val="Prrafodelista"/>
              <w:numPr>
                <w:ilvl w:val="0"/>
                <w:numId w:val="2"/>
              </w:numPr>
              <w:spacing w:after="160" w:line="360" w:lineRule="auto"/>
              <w:ind w:left="357" w:hanging="357"/>
              <w:jc w:val="both"/>
              <w:rPr>
                <w:rFonts w:ascii="Arial" w:hAnsi="Arial" w:cs="Arial"/>
                <w:sz w:val="24"/>
                <w:szCs w:val="24"/>
              </w:rPr>
            </w:pPr>
            <w:r w:rsidRPr="000B3717">
              <w:rPr>
                <w:rFonts w:ascii="Arial" w:hAnsi="Arial" w:cs="Arial"/>
                <w:sz w:val="24"/>
                <w:szCs w:val="24"/>
                <w:lang w:val="en-GB"/>
              </w:rPr>
              <w:t xml:space="preserve">What are the environmental regulatory framework </w:t>
            </w:r>
            <w:r>
              <w:rPr>
                <w:rFonts w:ascii="Arial" w:hAnsi="Arial" w:cs="Arial"/>
                <w:sz w:val="24"/>
                <w:szCs w:val="24"/>
              </w:rPr>
              <w:t>in the UK?</w:t>
            </w:r>
          </w:p>
          <w:p w:rsidR="00875891" w:rsidRDefault="00875891" w:rsidP="00875891">
            <w:pPr>
              <w:spacing w:line="360" w:lineRule="auto"/>
              <w:jc w:val="both"/>
              <w:rPr>
                <w:rFonts w:ascii="Arial" w:hAnsi="Arial" w:cs="Arial"/>
                <w:sz w:val="24"/>
                <w:szCs w:val="24"/>
              </w:rPr>
            </w:pPr>
            <w:r>
              <w:rPr>
                <w:rFonts w:ascii="Arial" w:hAnsi="Arial" w:cs="Arial"/>
                <w:sz w:val="24"/>
                <w:szCs w:val="24"/>
              </w:rPr>
              <w:t xml:space="preserve">The environmental legislation in England and Wales stems mainly from the EU legislation. The main environmental regimes are: the EPR (Environmental Permitting Regime), waste, water, contaminated land, conservation of nature, wildlife and habitats, and EIA’s (Environmental Impact Assessments). </w:t>
            </w:r>
          </w:p>
          <w:p w:rsidR="00875891" w:rsidRDefault="00875891" w:rsidP="00875891">
            <w:pPr>
              <w:spacing w:line="360" w:lineRule="auto"/>
              <w:jc w:val="both"/>
              <w:rPr>
                <w:rFonts w:ascii="Arial" w:hAnsi="Arial" w:cs="Arial"/>
                <w:sz w:val="24"/>
                <w:szCs w:val="24"/>
              </w:rPr>
            </w:pPr>
            <w:r>
              <w:rPr>
                <w:rFonts w:ascii="Arial" w:hAnsi="Arial" w:cs="Arial"/>
                <w:sz w:val="24"/>
                <w:szCs w:val="24"/>
              </w:rPr>
              <w:t>Other matters like health and safety and planning have their own legislation but are directly related to the environmental law.</w:t>
            </w:r>
          </w:p>
          <w:p w:rsidR="00875891" w:rsidRDefault="00875891" w:rsidP="00875891">
            <w:pPr>
              <w:spacing w:line="360" w:lineRule="auto"/>
              <w:jc w:val="both"/>
              <w:rPr>
                <w:rFonts w:ascii="Arial" w:hAnsi="Arial" w:cs="Arial"/>
                <w:sz w:val="24"/>
                <w:szCs w:val="24"/>
              </w:rPr>
            </w:pPr>
            <w:r>
              <w:rPr>
                <w:rFonts w:ascii="Arial" w:hAnsi="Arial" w:cs="Arial"/>
                <w:sz w:val="24"/>
                <w:szCs w:val="24"/>
              </w:rPr>
              <w:t>In England the Department for Environment, Food and Rural Affairs (DEFRA) is the main body in charge of developing the environmental legislation and the Department of Energy and Climate Change (DECC) is in charge of matters related to the climate change. Nevertheless, in Wales, is the National Assembly for Wales the body with powers to legislate.</w:t>
            </w:r>
          </w:p>
          <w:p w:rsidR="00875891" w:rsidRPr="000B3717" w:rsidRDefault="00875891" w:rsidP="00875891">
            <w:pPr>
              <w:spacing w:line="360" w:lineRule="auto"/>
              <w:jc w:val="both"/>
              <w:rPr>
                <w:rFonts w:ascii="Arial" w:hAnsi="Arial" w:cs="Arial"/>
                <w:sz w:val="24"/>
                <w:szCs w:val="24"/>
              </w:rPr>
            </w:pPr>
          </w:p>
          <w:p w:rsidR="00875891" w:rsidRDefault="00875891" w:rsidP="00875891">
            <w:pPr>
              <w:pStyle w:val="Prrafodelista"/>
              <w:numPr>
                <w:ilvl w:val="0"/>
                <w:numId w:val="2"/>
              </w:numPr>
              <w:spacing w:after="160" w:line="360" w:lineRule="auto"/>
              <w:ind w:left="357" w:hanging="357"/>
              <w:jc w:val="both"/>
              <w:rPr>
                <w:rFonts w:ascii="Arial" w:hAnsi="Arial" w:cs="Arial"/>
                <w:sz w:val="24"/>
                <w:szCs w:val="24"/>
              </w:rPr>
            </w:pPr>
            <w:r>
              <w:rPr>
                <w:rFonts w:ascii="Arial" w:hAnsi="Arial" w:cs="Arial"/>
                <w:sz w:val="24"/>
                <w:szCs w:val="24"/>
              </w:rPr>
              <w:t>Briefly explain the environmental permitting regime (EPR)</w:t>
            </w:r>
          </w:p>
          <w:p w:rsidR="00875891" w:rsidRDefault="00875891" w:rsidP="00875891">
            <w:pPr>
              <w:spacing w:line="360" w:lineRule="auto"/>
              <w:jc w:val="both"/>
              <w:rPr>
                <w:rFonts w:ascii="Arial" w:hAnsi="Arial" w:cs="Arial"/>
                <w:sz w:val="24"/>
                <w:szCs w:val="24"/>
              </w:rPr>
            </w:pPr>
            <w:r>
              <w:rPr>
                <w:rFonts w:ascii="Arial" w:hAnsi="Arial" w:cs="Arial"/>
                <w:sz w:val="24"/>
                <w:szCs w:val="24"/>
              </w:rPr>
              <w:lastRenderedPageBreak/>
              <w:t>The Environmental Permitting Regime combined the IPPC (Integrated Pollution Prevention and Control) with the Waste Management Licensing (WML) to form Environmental Permits (EP), which came into force on 6 of April 2008.</w:t>
            </w:r>
          </w:p>
          <w:p w:rsidR="00875891" w:rsidRDefault="00875891" w:rsidP="00875891">
            <w:pPr>
              <w:spacing w:line="360" w:lineRule="auto"/>
              <w:jc w:val="both"/>
              <w:rPr>
                <w:rFonts w:ascii="Arial" w:hAnsi="Arial" w:cs="Arial"/>
                <w:sz w:val="24"/>
                <w:szCs w:val="24"/>
              </w:rPr>
            </w:pPr>
            <w:r>
              <w:rPr>
                <w:rFonts w:ascii="Arial" w:hAnsi="Arial" w:cs="Arial"/>
                <w:sz w:val="24"/>
                <w:szCs w:val="24"/>
              </w:rPr>
              <w:t>Since then, the scope of the EPR has been widened to include water and groundwater discharge activities, and radioactive substances by 2010. And in 2013, amendments were made to implement the Industrial Emissions Directive (2010/75/EU) (IED).</w:t>
            </w:r>
          </w:p>
          <w:p w:rsidR="00875891" w:rsidRDefault="00875891" w:rsidP="00875891">
            <w:pPr>
              <w:spacing w:line="360" w:lineRule="auto"/>
              <w:jc w:val="both"/>
              <w:rPr>
                <w:rFonts w:ascii="Arial" w:hAnsi="Arial" w:cs="Arial"/>
                <w:sz w:val="24"/>
                <w:szCs w:val="24"/>
              </w:rPr>
            </w:pPr>
            <w:r>
              <w:rPr>
                <w:rFonts w:ascii="Arial" w:hAnsi="Arial" w:cs="Arial"/>
                <w:sz w:val="24"/>
                <w:szCs w:val="24"/>
              </w:rPr>
              <w:t>The activities regulated by the EPR are activities or specified installations listed in Schedule 1 of the EPR, waste operations, mobile plants, mining waste operations, water discharge activities, radioactive substances activities, groundwater activities, small waste incineration plant and solvent emissions activities.</w:t>
            </w:r>
          </w:p>
          <w:p w:rsidR="00875891" w:rsidRPr="000B3717" w:rsidRDefault="00875891" w:rsidP="00875891">
            <w:pPr>
              <w:spacing w:line="360" w:lineRule="auto"/>
              <w:jc w:val="both"/>
              <w:rPr>
                <w:rFonts w:ascii="Arial" w:hAnsi="Arial" w:cs="Arial"/>
                <w:sz w:val="24"/>
                <w:szCs w:val="24"/>
              </w:rPr>
            </w:pPr>
          </w:p>
          <w:p w:rsidR="00875891" w:rsidRDefault="00875891" w:rsidP="00875891">
            <w:pPr>
              <w:pStyle w:val="Prrafodelista"/>
              <w:numPr>
                <w:ilvl w:val="0"/>
                <w:numId w:val="2"/>
              </w:numPr>
              <w:spacing w:after="160" w:line="360" w:lineRule="auto"/>
              <w:ind w:left="357" w:hanging="357"/>
              <w:jc w:val="both"/>
              <w:rPr>
                <w:rFonts w:ascii="Arial" w:hAnsi="Arial" w:cs="Arial"/>
                <w:sz w:val="24"/>
                <w:szCs w:val="24"/>
              </w:rPr>
            </w:pPr>
            <w:r>
              <w:rPr>
                <w:rFonts w:ascii="Arial" w:hAnsi="Arial" w:cs="Arial"/>
                <w:sz w:val="24"/>
                <w:szCs w:val="24"/>
              </w:rPr>
              <w:t>What are various regulations and legislation for cleaning up contaminated land?</w:t>
            </w:r>
          </w:p>
          <w:p w:rsidR="00875891" w:rsidRDefault="00875891" w:rsidP="00875891">
            <w:pPr>
              <w:spacing w:line="360" w:lineRule="auto"/>
              <w:jc w:val="both"/>
              <w:rPr>
                <w:rFonts w:ascii="Arial" w:hAnsi="Arial" w:cs="Arial"/>
                <w:sz w:val="24"/>
                <w:szCs w:val="24"/>
              </w:rPr>
            </w:pPr>
            <w:r>
              <w:rPr>
                <w:rFonts w:ascii="Arial" w:hAnsi="Arial" w:cs="Arial"/>
                <w:sz w:val="24"/>
                <w:szCs w:val="24"/>
              </w:rPr>
              <w:t>The existing legislation for clean-up contaminated lands are the Environmental Protection Act 1990 and the Environmental Damage Regulations 2015</w:t>
            </w:r>
            <w:r w:rsidRPr="007731BB">
              <w:rPr>
                <w:rFonts w:ascii="Arial" w:hAnsi="Arial" w:cs="Arial"/>
                <w:sz w:val="24"/>
                <w:szCs w:val="24"/>
              </w:rPr>
              <w:t xml:space="preserve"> </w:t>
            </w:r>
            <w:r>
              <w:rPr>
                <w:rFonts w:ascii="Arial" w:hAnsi="Arial" w:cs="Arial"/>
                <w:sz w:val="24"/>
                <w:szCs w:val="24"/>
              </w:rPr>
              <w:t>(ED Regulations).</w:t>
            </w:r>
          </w:p>
          <w:p w:rsidR="00875891" w:rsidRDefault="00875891" w:rsidP="00875891">
            <w:pPr>
              <w:spacing w:line="360" w:lineRule="auto"/>
              <w:jc w:val="both"/>
              <w:rPr>
                <w:rFonts w:ascii="Arial" w:hAnsi="Arial" w:cs="Arial"/>
                <w:sz w:val="24"/>
                <w:szCs w:val="24"/>
              </w:rPr>
            </w:pPr>
            <w:r>
              <w:rPr>
                <w:rFonts w:ascii="Arial" w:hAnsi="Arial" w:cs="Arial"/>
                <w:sz w:val="24"/>
                <w:szCs w:val="24"/>
              </w:rPr>
              <w:t xml:space="preserve">The Part II of the Environmental Protection Act 1990 identifies and remediates contaminated land but poses unacceptable levels of risk. </w:t>
            </w:r>
          </w:p>
          <w:p w:rsidR="00CC2FB3" w:rsidRPr="00875891" w:rsidRDefault="00875891" w:rsidP="00875891">
            <w:pPr>
              <w:spacing w:line="360" w:lineRule="auto"/>
              <w:jc w:val="both"/>
              <w:rPr>
                <w:rFonts w:ascii="Arial" w:hAnsi="Arial" w:cs="Arial"/>
                <w:sz w:val="24"/>
                <w:szCs w:val="24"/>
              </w:rPr>
            </w:pPr>
            <w:r>
              <w:rPr>
                <w:rFonts w:ascii="Arial" w:hAnsi="Arial" w:cs="Arial"/>
                <w:sz w:val="24"/>
                <w:szCs w:val="24"/>
              </w:rPr>
              <w:t>The ED Regulations are related to prevention and remediation of environmental damage but they only apply to the most serious cases of environmental damage. In 2015 the ED Regulations were modified to cover marine waters with the implementation of the Offshore Safety Directive 2013 (2013/30/EU).</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75891" w:rsidP="00A851DA">
            <w:pPr>
              <w:rPr>
                <w:rFonts w:cs="Bliss-Regular"/>
                <w:color w:val="000000"/>
              </w:rPr>
            </w:pPr>
            <w:r>
              <w:rPr>
                <w:rFonts w:cs="Bliss-Regular"/>
                <w:color w:val="000000"/>
              </w:rPr>
              <w:t>Mari</w:t>
            </w:r>
            <w:bookmarkStart w:id="0" w:name="_GoBack"/>
            <w:bookmarkEnd w:id="0"/>
            <w:r>
              <w:rPr>
                <w:rFonts w:cs="Bliss-Regular"/>
                <w:color w:val="000000"/>
              </w:rPr>
              <w:t>a Teresa Pujol Ruiz de la Fuente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75891" w:rsidP="00A851DA">
            <w:pPr>
              <w:rPr>
                <w:rFonts w:cs="Bliss-Regular"/>
                <w:color w:val="000000"/>
              </w:rPr>
            </w:pPr>
            <w:r>
              <w:rPr>
                <w:rFonts w:cs="Bliss-Regular"/>
                <w:color w:val="000000"/>
              </w:rPr>
              <w:t>15/10/2018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875891">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055C" w:rsidRDefault="005F055C" w:rsidP="00CB4D0A">
      <w:pPr>
        <w:spacing w:after="0" w:line="240" w:lineRule="auto"/>
      </w:pPr>
      <w:r>
        <w:separator/>
      </w:r>
    </w:p>
  </w:endnote>
  <w:endnote w:type="continuationSeparator" w:id="0">
    <w:p w:rsidR="005F055C" w:rsidRDefault="005F055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055C" w:rsidRDefault="005F055C" w:rsidP="00CB4D0A">
      <w:pPr>
        <w:spacing w:after="0" w:line="240" w:lineRule="auto"/>
      </w:pPr>
      <w:r>
        <w:separator/>
      </w:r>
    </w:p>
  </w:footnote>
  <w:footnote w:type="continuationSeparator" w:id="0">
    <w:p w:rsidR="005F055C" w:rsidRDefault="005F055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3553FA"/>
    <w:multiLevelType w:val="hybridMultilevel"/>
    <w:tmpl w:val="CA6C198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055C"/>
    <w:rsid w:val="006034F6"/>
    <w:rsid w:val="00607874"/>
    <w:rsid w:val="00607E77"/>
    <w:rsid w:val="00617BB3"/>
    <w:rsid w:val="00645CDD"/>
    <w:rsid w:val="006823A7"/>
    <w:rsid w:val="00687EE8"/>
    <w:rsid w:val="0070347F"/>
    <w:rsid w:val="0070678E"/>
    <w:rsid w:val="00831C11"/>
    <w:rsid w:val="0087589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B313A6"/>
  <w15:docId w15:val="{DF98E703-9520-4CBE-8AA0-48DC9F67F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B41E0-805E-4F84-9472-928A0429D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486</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Gracia</cp:lastModifiedBy>
  <cp:revision>1</cp:revision>
  <dcterms:created xsi:type="dcterms:W3CDTF">2015-01-26T12:24:00Z</dcterms:created>
  <dcterms:modified xsi:type="dcterms:W3CDTF">2018-10-15T18:10:00Z</dcterms:modified>
</cp:coreProperties>
</file>