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B90CFD">
      <w:pPr>
        <w:pStyle w:val="Default"/>
        <w:spacing w:line="360" w:lineRule="auto"/>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7B72" w:rsidP="00B90CFD">
      <w:pPr>
        <w:spacing w:line="360" w:lineRule="auto"/>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B90CFD">
      <w:pPr>
        <w:spacing w:line="360" w:lineRule="auto"/>
        <w:rPr>
          <w:lang w:val="en-US"/>
        </w:rPr>
      </w:pPr>
    </w:p>
    <w:p w:rsidR="00607874" w:rsidRDefault="00607874" w:rsidP="00B90CFD">
      <w:pPr>
        <w:spacing w:line="360" w:lineRule="auto"/>
        <w:rPr>
          <w:lang w:val="en-US"/>
        </w:rPr>
      </w:pPr>
    </w:p>
    <w:p w:rsidR="00607874" w:rsidRDefault="00607874" w:rsidP="00B90CFD">
      <w:pPr>
        <w:spacing w:line="360" w:lineRule="auto"/>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E92" w:rsidP="00B90CFD">
            <w:pPr>
              <w:pStyle w:val="Default"/>
              <w:spacing w:line="360" w:lineRule="auto"/>
              <w:rPr>
                <w:rFonts w:asciiTheme="minorHAnsi" w:hAnsiTheme="minorHAnsi"/>
              </w:rPr>
            </w:pPr>
            <w:r>
              <w:rPr>
                <w:rFonts w:asciiTheme="minorHAnsi" w:hAnsiTheme="minorHAnsi"/>
              </w:rPr>
              <w:t>Ellen Theresa Spender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1E92" w:rsidP="00B90CFD">
            <w:pPr>
              <w:pStyle w:val="Default"/>
              <w:spacing w:line="360" w:lineRule="auto"/>
              <w:rPr>
                <w:rFonts w:asciiTheme="minorHAnsi" w:hAnsiTheme="minorHAnsi"/>
              </w:rPr>
            </w:pPr>
            <w:r>
              <w:rPr>
                <w:rFonts w:asciiTheme="minorHAnsi" w:hAnsiTheme="minorHAnsi"/>
              </w:rPr>
              <w:t>25042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E92" w:rsidP="00B90CFD">
            <w:pPr>
              <w:pStyle w:val="Default"/>
              <w:spacing w:line="360" w:lineRule="auto"/>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B90CFD">
            <w:pPr>
              <w:spacing w:line="360" w:lineRule="auto"/>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223" w:rsidP="00B90CFD">
            <w:pPr>
              <w:spacing w:line="360" w:lineRule="auto"/>
            </w:pPr>
            <w:r>
              <w:t>4  Fraud Detection Techniques</w:t>
            </w:r>
          </w:p>
        </w:tc>
      </w:tr>
    </w:tbl>
    <w:p w:rsidR="00CC2FB3" w:rsidRDefault="00CC2FB3" w:rsidP="00B90CFD">
      <w:pPr>
        <w:spacing w:line="360" w:lineRule="auto"/>
        <w:rPr>
          <w:b/>
          <w:lang w:val="en-US"/>
        </w:rPr>
      </w:pPr>
    </w:p>
    <w:p w:rsidR="00443E6F" w:rsidRDefault="00527C11" w:rsidP="00B90CFD">
      <w:pPr>
        <w:spacing w:line="360" w:lineRule="auto"/>
        <w:rPr>
          <w:b/>
          <w:sz w:val="28"/>
          <w:lang w:val="en-US"/>
        </w:rPr>
      </w:pPr>
      <w:r w:rsidRPr="00443E6F">
        <w:rPr>
          <w:b/>
          <w:sz w:val="28"/>
          <w:lang w:val="en-US"/>
        </w:rPr>
        <w:t>Marking Criteria:</w:t>
      </w:r>
    </w:p>
    <w:p w:rsidR="00443E6F" w:rsidRDefault="00527C11" w:rsidP="00B90CFD">
      <w:pPr>
        <w:spacing w:line="360" w:lineRule="auto"/>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B90CFD">
      <w:pPr>
        <w:spacing w:line="360" w:lineRule="auto"/>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B90CFD" w:rsidRDefault="00B90CFD">
      <w:r>
        <w:br w:type="page"/>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2B28B0" w:rsidP="00B90CFD">
            <w:pPr>
              <w:spacing w:line="360" w:lineRule="auto"/>
              <w:rPr>
                <w:rFonts w:ascii="Arial" w:hAnsi="Arial" w:cs="Arial"/>
                <w:sz w:val="24"/>
                <w:szCs w:val="24"/>
              </w:rPr>
            </w:pPr>
            <w:r>
              <w:rPr>
                <w:lang w:val="en-GB"/>
              </w:rPr>
              <w:lastRenderedPageBreak/>
              <w:br w:type="page"/>
            </w:r>
            <w:r w:rsidR="00CC2FB3"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CC2FB3" w:rsidRPr="00CC2FB3">
              <w:rPr>
                <w:rFonts w:ascii="Arial" w:hAnsi="Arial" w:cs="Arial"/>
                <w:sz w:val="24"/>
                <w:szCs w:val="24"/>
              </w:rPr>
              <w:t xml:space="preserve"> here:</w:t>
            </w: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t>Assignment 4</w:t>
            </w: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t>Fraud Detection Techniques</w:t>
            </w: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t>i.</w:t>
            </w:r>
            <w:r w:rsidRPr="00497223">
              <w:rPr>
                <w:rFonts w:ascii="Arial" w:eastAsia="Calibri" w:hAnsi="Arial" w:cs="Arial"/>
                <w:b/>
                <w:sz w:val="24"/>
                <w:szCs w:val="24"/>
              </w:rPr>
              <w:tab/>
              <w:t>Explain the term “fraud risk factors”.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It has been suggested that the organisations most vulnerable to fraud are those with weak controls consisting of management, accounting and security.  There are also fraud risk factors which can be divided into internal factors and fraud factors.  Both types can provide opportunities for fraud to occur and can include the: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Nature of the business and</w:t>
            </w:r>
            <w:bookmarkStart w:id="0" w:name="_GoBack"/>
            <w:bookmarkEnd w:id="0"/>
            <w:r w:rsidRPr="00497223">
              <w:rPr>
                <w:rFonts w:ascii="Arial" w:eastAsia="Calibri" w:hAnsi="Arial" w:cs="Arial"/>
                <w:sz w:val="24"/>
                <w:szCs w:val="24"/>
              </w:rPr>
              <w:t xml:space="preserve"> the industry in which it operates – this includes the procedure for mainlining records and accounts and also the type of transactions occurring in that business or industry</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Interaction of the business with its suppliers and customers.  Theorists suggest that where a business dominates a market it results in more frequent inappropriate transactions</w:t>
            </w:r>
          </w:p>
          <w:p w:rsidR="00497223" w:rsidRPr="00497223" w:rsidRDefault="00497223" w:rsidP="00794AB6">
            <w:pPr>
              <w:numPr>
                <w:ilvl w:val="0"/>
                <w:numId w:val="16"/>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Judgement of management is also a factor – this includes the method of determining income and expenditure and the methods of asset and liability valuation</w:t>
            </w:r>
          </w:p>
          <w:p w:rsidR="00497223" w:rsidRPr="00497223" w:rsidRDefault="00497223" w:rsidP="00794AB6">
            <w:pPr>
              <w:numPr>
                <w:ilvl w:val="0"/>
                <w:numId w:val="16"/>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Supervision level of senior management</w:t>
            </w:r>
          </w:p>
          <w:p w:rsidR="00497223" w:rsidRPr="00497223" w:rsidRDefault="00497223" w:rsidP="00794AB6">
            <w:pPr>
              <w:numPr>
                <w:ilvl w:val="0"/>
                <w:numId w:val="16"/>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Complexity of an organisation’s structure and stability</w:t>
            </w:r>
          </w:p>
          <w:p w:rsidR="00497223" w:rsidRDefault="00497223" w:rsidP="00794AB6">
            <w:pPr>
              <w:numPr>
                <w:ilvl w:val="0"/>
                <w:numId w:val="16"/>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Control environment of the organisation – how effective are its internal controls, accounting systems, and accountable personnel.</w:t>
            </w:r>
          </w:p>
          <w:p w:rsidR="00497223" w:rsidRPr="00497223" w:rsidRDefault="00497223" w:rsidP="00794AB6">
            <w:pPr>
              <w:spacing w:after="160" w:line="360" w:lineRule="auto"/>
              <w:ind w:left="720"/>
              <w:contextualSpacing/>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Managements internal control systems will affect the risk of fraud in larger organisations.  High risk factors affecting fraud, in particular in relation to misappropriation of assets, include the value, demand, movability and convertibility of assets, and this is linked to weak internal controls and an inability to protect such assets.  This can be due to a lack of supervision, lack of screening of employees, where there is a lack of both physical controls and accounting procedures, where reconciliations are infrequent and, where there is a lack of segregation of duties </w:t>
            </w:r>
            <w:r w:rsidRPr="00497223">
              <w:rPr>
                <w:rFonts w:ascii="Arial" w:eastAsia="Calibri" w:hAnsi="Arial" w:cs="Arial"/>
                <w:sz w:val="24"/>
                <w:szCs w:val="24"/>
              </w:rPr>
              <w:lastRenderedPageBreak/>
              <w:t>between employees.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In addition to fraud risk factors relating to management, there are further fraud risk factors which include, values and attitudes to fraud in the organisation.  Situations can increase the risk of fraud such as:</w:t>
            </w:r>
          </w:p>
          <w:p w:rsidR="00497223" w:rsidRPr="00497223" w:rsidRDefault="00497223" w:rsidP="00794AB6">
            <w:pPr>
              <w:numPr>
                <w:ilvl w:val="0"/>
                <w:numId w:val="17"/>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Where the ethical values in an organisation are unclear due to the lack of communication of the ethics in an organisation.</w:t>
            </w:r>
          </w:p>
          <w:p w:rsidR="00497223" w:rsidRPr="00497223" w:rsidRDefault="00497223" w:rsidP="00794AB6">
            <w:pPr>
              <w:numPr>
                <w:ilvl w:val="0"/>
                <w:numId w:val="17"/>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Where there is a lack of repercussion for fraudulent behaviour</w:t>
            </w:r>
          </w:p>
          <w:p w:rsidR="00497223" w:rsidRPr="00497223" w:rsidRDefault="00497223" w:rsidP="00794AB6">
            <w:pPr>
              <w:numPr>
                <w:ilvl w:val="0"/>
                <w:numId w:val="17"/>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Where expectations are not communicated to employees and forecasts and budgets are unrealistic</w:t>
            </w:r>
          </w:p>
          <w:p w:rsidR="00497223" w:rsidRPr="00497223" w:rsidRDefault="00497223" w:rsidP="00794AB6">
            <w:pPr>
              <w:numPr>
                <w:ilvl w:val="0"/>
                <w:numId w:val="17"/>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Where disclosure policies and accounting practices are questionable yet management attempt to justify them</w:t>
            </w:r>
          </w:p>
          <w:p w:rsidR="00497223" w:rsidRPr="00497223" w:rsidRDefault="00497223" w:rsidP="00794AB6">
            <w:pPr>
              <w:numPr>
                <w:ilvl w:val="0"/>
                <w:numId w:val="17"/>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Where auditors and management have an unhealthy relationship – this can include auditors being unable to access relevant date, given unrealistic time constraints and where there is evidence of bullying tactics by management towards the auditors.</w:t>
            </w:r>
          </w:p>
          <w:p w:rsidR="00497223" w:rsidRPr="00497223" w:rsidRDefault="00497223" w:rsidP="00794AB6">
            <w:pPr>
              <w:spacing w:after="160" w:line="360" w:lineRule="auto"/>
              <w:ind w:left="720"/>
              <w:contextualSpacing/>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t>ii.</w:t>
            </w:r>
            <w:r w:rsidRPr="00497223">
              <w:rPr>
                <w:rFonts w:ascii="Arial" w:eastAsia="Calibri" w:hAnsi="Arial" w:cs="Arial"/>
                <w:b/>
                <w:sz w:val="24"/>
                <w:szCs w:val="24"/>
              </w:rPr>
              <w:tab/>
              <w:t>What control mechanisms could be adopted against corruption?</w:t>
            </w:r>
          </w:p>
          <w:p w:rsid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Corruption can be defined as the abuse of power for private gain</w:t>
            </w:r>
            <w:r w:rsidR="00794AB6">
              <w:rPr>
                <w:rFonts w:ascii="Arial" w:eastAsia="Calibri" w:hAnsi="Arial" w:cs="Arial"/>
                <w:sz w:val="24"/>
                <w:szCs w:val="24"/>
              </w:rPr>
              <w:t xml:space="preserve"> (Singleton 2010)</w:t>
            </w:r>
            <w:r w:rsidRPr="00497223">
              <w:rPr>
                <w:rFonts w:ascii="Arial" w:eastAsia="Calibri" w:hAnsi="Arial" w:cs="Arial"/>
                <w:sz w:val="24"/>
                <w:szCs w:val="24"/>
              </w:rPr>
              <w:t>.  Depending on the amounts of money involved and, the sector in which is occurs, it could be grand, petty and also political.  Grand corruption can include corruption occurring at high levels of government which enable policies to be distorted which enables leaders to benefit at the expense of the good of the public.  Petty corruption can refer to everyday abuse.  Again by entrusted power, this could be low or mid-level public officials.  Political corruption is where policies, and rules of procedure in the allocation of financing by political decision makers is affected.  They abuse their position in order to gain power, status and also wealth.</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Corruption is often hard to detect as the transactions are usually hidden.  Anyone with authority can be susceptible to bribery, in particular where the authority to award contract or purchase products involving large amount of money is concerned.  Likely people to be targeted include engineers, senior management and people who have </w:t>
            </w:r>
            <w:r w:rsidRPr="00497223">
              <w:rPr>
                <w:rFonts w:ascii="Arial" w:eastAsia="Calibri" w:hAnsi="Arial" w:cs="Arial"/>
                <w:sz w:val="24"/>
                <w:szCs w:val="24"/>
              </w:rPr>
              <w:lastRenderedPageBreak/>
              <w:t>the authority to sanction such contracts or purchases.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Corruption in business should be fought by stringent internal control mechanisms. These mechanisms should be able to detect fraud however, because fraud is difficult to detect, the controls are usually designed instead to minimise the risk of corruption or fraud.  Rose-Ackerman (1998) recommends a two-pronged strategy aimed at increasing the benefits of being honest and the costs of being corrupt, a sensible combination of reward and punishment as the driving force of reforms. Other methods for preventing the risk of fraud are discussed below:</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Paying civil servants well</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Research suggests that underpaid civil servants will be demotivated and have no incentive to resist fraudulent activities.  The rational will often be that they deserve an increase in pay and will therefore, supplement their income in “unofficial” ways.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Creating transparency and openness in government spending</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Where there is transparency in government processes, there is the less likelihood of corruption taking place.  Collier (2007) provides evident on the negative impact of ineffective systems of budget control and found that in countries where citizens are able to scrutinize government activities, it makes a difference. </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New Zealand, which is consistently one of the top performers in Transparency International’s Corruption Perceptions Index, is a pioneer in creating transparent budget processes, having approved in 1994 the Fiscal Responsibility Act, providing a legal framework for transparent management of public resources.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Cutting red tape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A high correlation exists between the incidence of corruption and the extent of bureaucratic red tape.  Country specific regulations regarding new businesses, registering property, business dealings in international trade and obtaining certificates and licenses take a great deal of planning and time.  How necessary these rules and obtainments are questionable and Rose-Ackerman (1998) suggests that “the most obvious approach is simply to eliminate laws and programs that breed </w:t>
            </w:r>
            <w:r w:rsidRPr="00497223">
              <w:rPr>
                <w:rFonts w:ascii="Arial" w:eastAsia="Calibri" w:hAnsi="Arial" w:cs="Arial"/>
                <w:sz w:val="24"/>
                <w:szCs w:val="24"/>
              </w:rPr>
              <w:lastRenderedPageBreak/>
              <w:t>corruption.”</w:t>
            </w:r>
          </w:p>
          <w:p w:rsidR="00794AB6" w:rsidRDefault="00794AB6" w:rsidP="00794AB6">
            <w:pPr>
              <w:spacing w:after="160" w:line="360" w:lineRule="auto"/>
              <w:jc w:val="both"/>
              <w:rPr>
                <w:rFonts w:ascii="Arial" w:eastAsia="Calibri" w:hAnsi="Arial" w:cs="Arial"/>
                <w:b/>
                <w:i/>
                <w:sz w:val="24"/>
                <w:szCs w:val="24"/>
              </w:rPr>
            </w:pP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Replacing regressive and distorting subsidies with targeted cash transfers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Government policy regarding incentives can also distort incentives and create opportunities for corruption. The offer of such subsidies can lead to shortages of goods and services which results in the emergence of black markets. A suggested alternative has been to replace expensive, regressive subsidies with targeted cash transfers.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Establishing international conventions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emergence of the global economy and the resulting international legal framework regarding the control of corruption is an important element when governments are considering their options.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Countries have been working together in the fight against corruption.  There was the emergence in 2005 of the UN Convention Against Corruption (UNCAC) entered into force, and by late 2013 had been ratified by the vast majority of its 140 signatories. This has led to the creation of a global framework involving developed and developing nations and covers domestic and foreign corruption, extortion, preventive measures, anti-money laundering provisions, conflict of interest laws, means to recover illicit funds deposited by officials in offshore banks, among others. However, the UN has no enforcement powers, and as such, the effectiveness of the Convention as a tool to deter corruption depends on the introduction of adequate national monitoring mechanisms to assess government compliance.</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Deploying smart technology</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Direct contact between government officials and citizens can create the opportunity for corruption and readily available technologies has been encouraged in order to create more of an arms-length relationship between officials and civil society; in this respect the Internet has been proved to be an effective tool to reduce corruption (Andersen et al., 2011) found that the emergence of the Internet has been found to be an effective tool in the reduction of corruption. Chile is one country that has used </w:t>
            </w:r>
            <w:r w:rsidRPr="00497223">
              <w:rPr>
                <w:rFonts w:ascii="Arial" w:eastAsia="Calibri" w:hAnsi="Arial" w:cs="Arial"/>
                <w:sz w:val="24"/>
                <w:szCs w:val="24"/>
              </w:rPr>
              <w:lastRenderedPageBreak/>
              <w:t>the latest technologies to create one of the world’s most transparent public procurement systems in the world with its use of ChileCompra.   It is a public electronic system for purchasing and hiring, based on an Internet platform and has been a shining example for the use of the Internet throughout the country.</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Other methods include introducing frequent rotation of employees through different vendor assignments which aims to reduce the corruption incurred when using the same vendor.  Or where managers outside of the purchasing department are included in the supplier decision-making process.</w:t>
            </w:r>
          </w:p>
          <w:p w:rsidR="00497223" w:rsidRPr="00497223" w:rsidRDefault="00794AB6" w:rsidP="00794AB6">
            <w:pPr>
              <w:spacing w:after="160" w:line="360" w:lineRule="auto"/>
              <w:jc w:val="both"/>
              <w:rPr>
                <w:rFonts w:ascii="Arial" w:eastAsia="Calibri" w:hAnsi="Arial" w:cs="Arial"/>
                <w:sz w:val="24"/>
                <w:szCs w:val="24"/>
              </w:rPr>
            </w:pPr>
            <w:r>
              <w:rPr>
                <w:rFonts w:ascii="Arial" w:eastAsia="Calibri" w:hAnsi="Arial" w:cs="Arial"/>
                <w:sz w:val="24"/>
                <w:szCs w:val="24"/>
              </w:rPr>
              <w:t>The requirement for bi</w:t>
            </w:r>
            <w:r w:rsidR="00497223" w:rsidRPr="00497223">
              <w:rPr>
                <w:rFonts w:ascii="Arial" w:eastAsia="Calibri" w:hAnsi="Arial" w:cs="Arial"/>
                <w:sz w:val="24"/>
                <w:szCs w:val="24"/>
              </w:rPr>
              <w:t>ds to be submitted to named individuals to eliminate competitors obtaining information regarding other company’s bids.  Also where there is an unusually short time elapsing between the submission and response to bids.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introduction of a hotline for information to be passed where suspect</w:t>
            </w:r>
            <w:r w:rsidR="00794AB6">
              <w:rPr>
                <w:rFonts w:ascii="Arial" w:eastAsia="Calibri" w:hAnsi="Arial" w:cs="Arial"/>
                <w:sz w:val="24"/>
                <w:szCs w:val="24"/>
              </w:rPr>
              <w:t xml:space="preserve"> activities have been witnesses and disclosure </w:t>
            </w:r>
            <w:r w:rsidRPr="00497223">
              <w:rPr>
                <w:rFonts w:ascii="Arial" w:eastAsia="Calibri" w:hAnsi="Arial" w:cs="Arial"/>
                <w:sz w:val="24"/>
                <w:szCs w:val="24"/>
              </w:rPr>
              <w:t>of gifts being introduced and training in the warning signs such as the extravagant lifestyles of buyers or where purchases are not in line with activities.</w:t>
            </w:r>
          </w:p>
          <w:p w:rsidR="00497223" w:rsidRPr="00497223" w:rsidRDefault="00497223" w:rsidP="00794AB6">
            <w:pPr>
              <w:spacing w:after="160" w:line="360" w:lineRule="auto"/>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t>iii.</w:t>
            </w:r>
            <w:r w:rsidRPr="00497223">
              <w:rPr>
                <w:rFonts w:ascii="Arial" w:eastAsia="Calibri" w:hAnsi="Arial" w:cs="Arial"/>
                <w:b/>
                <w:sz w:val="24"/>
                <w:szCs w:val="24"/>
              </w:rPr>
              <w:tab/>
              <w:t xml:space="preserve">Outline the main benefits of using analytic procedures in an audit </w:t>
            </w:r>
            <w:r w:rsidRPr="00497223">
              <w:rPr>
                <w:rFonts w:ascii="Arial" w:eastAsia="Calibri" w:hAnsi="Arial" w:cs="Arial"/>
                <w:b/>
                <w:sz w:val="24"/>
                <w:szCs w:val="24"/>
              </w:rPr>
              <w:tab/>
              <w:t>process.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Using analytical procedures in an audit provides many benefits including making audits more effective and efficient especially when used in substantive testing during fieldwork.</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Defining audit analytics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AICPA auditing standards define analytical procedures as “evaluations of financial information through analysis of plausible relationships among both financial and nonfinancial data.” They are also used in the investigation of “identified fluctuations or relationships that are inconsistent with other relevant information or that differ from expected values by a significant amount.” Examples of analytical tests include trend, ratio and regression analysis.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lastRenderedPageBreak/>
              <w:t>Using analytical procedures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Auditors often use analytical procedures in their work.  They are used, in combination with other testing procedures, to help obtain evidence, usually in relation to misstatements in account balances. The benefit is that they are often more efficient than traditional, manual audit testing procedures which produce a large amount of paperwork and take many hours to analyse.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Analytical procedures generally follow these five steps:</w:t>
            </w:r>
          </w:p>
          <w:p w:rsidR="00497223" w:rsidRPr="00497223" w:rsidRDefault="00497223" w:rsidP="00794AB6">
            <w:pPr>
              <w:numPr>
                <w:ilvl w:val="0"/>
                <w:numId w:val="18"/>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Form an independent expectation about an account balance or financial relationship.</w:t>
            </w:r>
          </w:p>
          <w:p w:rsidR="00497223" w:rsidRPr="00497223" w:rsidRDefault="00497223" w:rsidP="00794AB6">
            <w:pPr>
              <w:numPr>
                <w:ilvl w:val="0"/>
                <w:numId w:val="18"/>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Identify differences between expected and reported amounts.</w:t>
            </w:r>
          </w:p>
          <w:p w:rsidR="00497223" w:rsidRPr="00497223" w:rsidRDefault="00497223" w:rsidP="00794AB6">
            <w:pPr>
              <w:numPr>
                <w:ilvl w:val="0"/>
                <w:numId w:val="18"/>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Investigate the most probable cause(s) of any discrepancies.</w:t>
            </w:r>
          </w:p>
          <w:p w:rsidR="00497223" w:rsidRPr="00497223" w:rsidRDefault="00497223" w:rsidP="00794AB6">
            <w:pPr>
              <w:numPr>
                <w:ilvl w:val="0"/>
                <w:numId w:val="18"/>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Evaluate the likelihood of material misstatement.</w:t>
            </w:r>
          </w:p>
          <w:p w:rsidR="00497223" w:rsidRDefault="00497223" w:rsidP="00794AB6">
            <w:pPr>
              <w:numPr>
                <w:ilvl w:val="0"/>
                <w:numId w:val="18"/>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Determine the nature and extent of any additional auditing procedures needed.</w:t>
            </w:r>
          </w:p>
          <w:p w:rsidR="00794AB6" w:rsidRDefault="00794AB6" w:rsidP="00794AB6">
            <w:pPr>
              <w:spacing w:after="160" w:line="360" w:lineRule="auto"/>
              <w:jc w:val="both"/>
              <w:rPr>
                <w:rFonts w:ascii="Arial" w:eastAsia="Calibri" w:hAnsi="Arial" w:cs="Arial"/>
                <w:sz w:val="24"/>
                <w:szCs w:val="24"/>
              </w:rPr>
            </w:pPr>
          </w:p>
          <w:p w:rsidR="00497223" w:rsidRDefault="00794AB6" w:rsidP="00794AB6">
            <w:pPr>
              <w:spacing w:after="160" w:line="360" w:lineRule="auto"/>
              <w:jc w:val="both"/>
              <w:rPr>
                <w:rFonts w:ascii="Arial" w:eastAsia="Calibri" w:hAnsi="Arial" w:cs="Arial"/>
                <w:sz w:val="24"/>
                <w:szCs w:val="24"/>
              </w:rPr>
            </w:pPr>
            <w:r>
              <w:rPr>
                <w:rFonts w:ascii="Arial" w:eastAsia="Calibri" w:hAnsi="Arial" w:cs="Arial"/>
                <w:sz w:val="24"/>
                <w:szCs w:val="24"/>
              </w:rPr>
              <w:t xml:space="preserve">They are used </w:t>
            </w:r>
            <w:r w:rsidR="00497223" w:rsidRPr="00497223">
              <w:rPr>
                <w:rFonts w:ascii="Arial" w:eastAsia="Calibri" w:hAnsi="Arial" w:cs="Arial"/>
                <w:sz w:val="24"/>
                <w:szCs w:val="24"/>
              </w:rPr>
              <w:t xml:space="preserve">as a result of the threshold set by the auditor in his work.  This type of analysis is a matter of professional judgment, but is influenced primarily by the concept of materiality and the desired level of assurance.  When used correctly, analytical procedures can help make the audit less time-consuming, less expensive and more effective. </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analytic procedure has three main purposes:  preliminary analysis, to help provide an insight into the company and the high risk areas.  This helps to ensure that the nature and timing of the audit is right.  Substantive analysis, used to evaluate account balances and obtain evidence and final analytic procedures, used in the final assessment of financial statement and assess whether the audit conclusions are correct.</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The benefits of the analytical procedure include help in assessing a company’s ability to remain a going concern.  By assessing its performance in relation to its competitors amongst other factors it can assess whether it is likely to be able to </w:t>
            </w:r>
            <w:r w:rsidRPr="00497223">
              <w:rPr>
                <w:rFonts w:ascii="Arial" w:eastAsia="Calibri" w:hAnsi="Arial" w:cs="Arial"/>
                <w:sz w:val="24"/>
                <w:szCs w:val="24"/>
              </w:rPr>
              <w:lastRenderedPageBreak/>
              <w:t>continue or face bankruptcy.  The analytical procedures can help identify discrepancies between actual and expected performance and, if it fails to reveal any such inconsistencies it may indicate that there is no material irregularities or errors.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By undertaking trend and ratio analysis, these types of procedures can also identify unexpected relationships.  The benefits of analytical procedures can draw a number of comparisons including current data with historical data, actual data against budgeted data, and data from the organisation with other similar organisations in the same industry.  Importantly it can help draw comparisons of actual data of the company against the expected results.</w:t>
            </w:r>
          </w:p>
          <w:p w:rsidR="00497223" w:rsidRPr="00497223" w:rsidRDefault="00497223" w:rsidP="00794AB6">
            <w:pPr>
              <w:spacing w:after="160" w:line="360" w:lineRule="auto"/>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t>iv.</w:t>
            </w:r>
            <w:r w:rsidRPr="00497223">
              <w:rPr>
                <w:rFonts w:ascii="Arial" w:eastAsia="Calibri" w:hAnsi="Arial" w:cs="Arial"/>
                <w:b/>
                <w:sz w:val="24"/>
                <w:szCs w:val="24"/>
              </w:rPr>
              <w:tab/>
              <w:t xml:space="preserve">What are the common rationalisations for a fraudster, which tempt him </w:t>
            </w:r>
            <w:r w:rsidR="00794AB6">
              <w:rPr>
                <w:rFonts w:ascii="Arial" w:eastAsia="Calibri" w:hAnsi="Arial" w:cs="Arial"/>
                <w:b/>
                <w:sz w:val="24"/>
                <w:szCs w:val="24"/>
              </w:rPr>
              <w:tab/>
            </w:r>
            <w:r w:rsidRPr="00497223">
              <w:rPr>
                <w:rFonts w:ascii="Arial" w:eastAsia="Calibri" w:hAnsi="Arial" w:cs="Arial"/>
                <w:b/>
                <w:sz w:val="24"/>
                <w:szCs w:val="24"/>
              </w:rPr>
              <w:t>to commit fraud?</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Rationalisation is one of the elements of Cressey’s Fraud Triangle.  Here we can consider some of the more common rationalisations used by fraudsters however, there are as many rationalisations as there are cases of fraud.  The reason is that every fraudster has a different reason for perpetrating the fraud and that person does not see the fraud in the way the victim does.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But that’s the point of rationalization. The person who undertakes the fraud will justify their behaviour for doing so thus allowing the fraudster to keep the fraud going over a long period of time.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Some of the more common rationalisations are given below:</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Among smaller clients, the employee’s rationale is usually that he works harder than the owner. In the employee’s eye, the owner is vastly overpaid, and, therefore, a little fraud on the part of the employee levels the playing field.</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 major red flag of rationalization on the part of management is firing or forcing an auditor to withdraw from the engagement. When the company starts telling the auditor how to do the job, that’s the ultimate in rationalization.</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Here are some other commo</w:t>
            </w:r>
            <w:r w:rsidR="00794AB6">
              <w:rPr>
                <w:rFonts w:ascii="Arial" w:eastAsia="Calibri" w:hAnsi="Arial" w:cs="Arial"/>
                <w:sz w:val="24"/>
                <w:szCs w:val="24"/>
              </w:rPr>
              <w:t>n rationalis</w:t>
            </w:r>
            <w:r w:rsidRPr="00497223">
              <w:rPr>
                <w:rFonts w:ascii="Arial" w:eastAsia="Calibri" w:hAnsi="Arial" w:cs="Arial"/>
                <w:sz w:val="24"/>
                <w:szCs w:val="24"/>
              </w:rPr>
              <w:t>ations:</w:t>
            </w:r>
          </w:p>
          <w:p w:rsidR="00497223" w:rsidRPr="00497223" w:rsidRDefault="00497223" w:rsidP="00794AB6">
            <w:pPr>
              <w:spacing w:after="160" w:line="360" w:lineRule="auto"/>
              <w:jc w:val="both"/>
              <w:rPr>
                <w:rFonts w:ascii="Arial" w:eastAsia="Calibri" w:hAnsi="Arial" w:cs="Arial"/>
                <w:sz w:val="24"/>
                <w:szCs w:val="24"/>
                <w:u w:val="single"/>
              </w:rPr>
            </w:pPr>
            <w:r w:rsidRPr="00497223">
              <w:rPr>
                <w:rFonts w:ascii="Arial" w:eastAsia="Calibri" w:hAnsi="Arial" w:cs="Arial"/>
                <w:sz w:val="24"/>
                <w:szCs w:val="24"/>
                <w:u w:val="single"/>
              </w:rPr>
              <w:lastRenderedPageBreak/>
              <w:t>“Just borrowing the money”</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most common rationalisation is that the fraudster convinces themselves that they are “just borrowing the money”.  The employee believes that the money will be paid back, however, once the employee manages to hide the fraud, the employee usually continues to steal money.  This results in too much money being taken for the employee to be able to pay the money back.</w:t>
            </w:r>
          </w:p>
          <w:p w:rsidR="00497223" w:rsidRPr="00497223" w:rsidRDefault="00497223" w:rsidP="00794AB6">
            <w:pPr>
              <w:spacing w:after="160" w:line="360" w:lineRule="auto"/>
              <w:jc w:val="both"/>
              <w:rPr>
                <w:rFonts w:ascii="Arial" w:eastAsia="Calibri" w:hAnsi="Arial" w:cs="Arial"/>
                <w:sz w:val="24"/>
                <w:szCs w:val="24"/>
                <w:u w:val="single"/>
              </w:rPr>
            </w:pPr>
            <w:r w:rsidRPr="00497223">
              <w:rPr>
                <w:rFonts w:ascii="Arial" w:eastAsia="Calibri" w:hAnsi="Arial" w:cs="Arial"/>
                <w:sz w:val="24"/>
                <w:szCs w:val="24"/>
                <w:u w:val="single"/>
              </w:rPr>
              <w:t>“I was wronged”</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Another rationalisation is where the fraudster feels that they have been the victim of an injustice such as failing to achieve promotion and the promotion going to another employee.  Where the employee feels that they deserved the promotion, this is where they will rationalise their actions as they believe that they deserve taking the company assets.  That it is their right.</w:t>
            </w:r>
          </w:p>
          <w:p w:rsidR="00497223" w:rsidRPr="00497223" w:rsidRDefault="00497223" w:rsidP="00794AB6">
            <w:pPr>
              <w:spacing w:after="160" w:line="360" w:lineRule="auto"/>
              <w:jc w:val="both"/>
              <w:rPr>
                <w:rFonts w:ascii="Arial" w:eastAsia="Calibri" w:hAnsi="Arial" w:cs="Arial"/>
                <w:sz w:val="24"/>
                <w:szCs w:val="24"/>
                <w:u w:val="single"/>
              </w:rPr>
            </w:pPr>
            <w:r w:rsidRPr="00497223">
              <w:rPr>
                <w:rFonts w:ascii="Arial" w:eastAsia="Calibri" w:hAnsi="Arial" w:cs="Arial"/>
                <w:sz w:val="24"/>
                <w:szCs w:val="24"/>
                <w:u w:val="single"/>
              </w:rPr>
              <w:t xml:space="preserve"> “There’s no other way.” </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employee believes that they have no choice and that if they do not follow through with this course of action then it is a certainly that they will lose either family or his home. This, again, is the “borrowing” approach.  Any internal controls held by the employee are overcome.</w:t>
            </w:r>
          </w:p>
          <w:p w:rsidR="00497223" w:rsidRPr="00497223" w:rsidRDefault="00497223" w:rsidP="00794AB6">
            <w:pPr>
              <w:spacing w:after="160" w:line="360" w:lineRule="auto"/>
              <w:jc w:val="both"/>
              <w:rPr>
                <w:rFonts w:ascii="Arial" w:eastAsia="Calibri" w:hAnsi="Arial" w:cs="Arial"/>
                <w:sz w:val="24"/>
                <w:szCs w:val="24"/>
                <w:u w:val="single"/>
              </w:rPr>
            </w:pPr>
            <w:r w:rsidRPr="00497223">
              <w:rPr>
                <w:rFonts w:ascii="Arial" w:eastAsia="Calibri" w:hAnsi="Arial" w:cs="Arial"/>
                <w:sz w:val="24"/>
                <w:szCs w:val="24"/>
                <w:u w:val="single"/>
              </w:rPr>
              <w:t>“I am entitled”</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This is another rationalisation given where the fraudster believes that they have been an exemplary employee and therefore, they deserve the money. It can be linked to their manager where they believe that they should benefit financially in the same way. Or, where they believe the management will not notice the loss.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worrying part of rationalisation is that it is unique to the fraudster.  It takes place in their thinking and is intangible.  Rationalisation is never visible.</w:t>
            </w:r>
          </w:p>
          <w:p w:rsidR="00497223" w:rsidRDefault="00497223" w:rsidP="00794AB6">
            <w:pPr>
              <w:spacing w:after="160" w:line="360" w:lineRule="auto"/>
              <w:jc w:val="both"/>
              <w:rPr>
                <w:rFonts w:ascii="Arial" w:eastAsia="Calibri" w:hAnsi="Arial" w:cs="Arial"/>
                <w:sz w:val="24"/>
                <w:szCs w:val="24"/>
              </w:rPr>
            </w:pPr>
          </w:p>
          <w:p w:rsidR="00794AB6" w:rsidRDefault="00794AB6" w:rsidP="00794AB6">
            <w:pPr>
              <w:spacing w:after="160" w:line="360" w:lineRule="auto"/>
              <w:jc w:val="both"/>
              <w:rPr>
                <w:rFonts w:ascii="Arial" w:eastAsia="Calibri" w:hAnsi="Arial" w:cs="Arial"/>
                <w:sz w:val="24"/>
                <w:szCs w:val="24"/>
              </w:rPr>
            </w:pPr>
          </w:p>
          <w:p w:rsidR="00794AB6" w:rsidRPr="00497223" w:rsidRDefault="00794AB6" w:rsidP="00794AB6">
            <w:pPr>
              <w:spacing w:after="160" w:line="360" w:lineRule="auto"/>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lastRenderedPageBreak/>
              <w:t>v.</w:t>
            </w:r>
            <w:r w:rsidRPr="00497223">
              <w:rPr>
                <w:rFonts w:ascii="Arial" w:eastAsia="Calibri" w:hAnsi="Arial" w:cs="Arial"/>
                <w:b/>
                <w:sz w:val="24"/>
                <w:szCs w:val="24"/>
              </w:rPr>
              <w:tab/>
              <w:t xml:space="preserve">Outline the important points to be considered when evaluating fraud risk </w:t>
            </w:r>
            <w:r w:rsidRPr="00497223">
              <w:rPr>
                <w:rFonts w:ascii="Arial" w:eastAsia="Calibri" w:hAnsi="Arial" w:cs="Arial"/>
                <w:b/>
                <w:sz w:val="24"/>
                <w:szCs w:val="24"/>
              </w:rPr>
              <w:tab/>
              <w:t>factors.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Business owners should be aware that, at time</w:t>
            </w:r>
            <w:r w:rsidR="00794AB6">
              <w:rPr>
                <w:rFonts w:ascii="Arial" w:eastAsia="Calibri" w:hAnsi="Arial" w:cs="Arial"/>
                <w:sz w:val="24"/>
                <w:szCs w:val="24"/>
              </w:rPr>
              <w:t>s</w:t>
            </w:r>
            <w:r w:rsidRPr="00497223">
              <w:rPr>
                <w:rFonts w:ascii="Arial" w:eastAsia="Calibri" w:hAnsi="Arial" w:cs="Arial"/>
                <w:sz w:val="24"/>
                <w:szCs w:val="24"/>
              </w:rPr>
              <w:t>, employees will carry out fraud.  This occurs when the employee rationalises their actions and this rationalisation gives rise to incentive.  The evaluation of these incentives and pressures which makes an organisation susceptible to fraud must be carried out.  Some points to be considered when evaluating fraud risk factors are hereby discussed.</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They are usually found to be as a result of incentives or pressures from both external and internal parties.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External parties</w:t>
            </w:r>
          </w:p>
          <w:p w:rsidR="00497223" w:rsidRPr="00794AB6" w:rsidRDefault="00497223" w:rsidP="00794AB6">
            <w:pPr>
              <w:pStyle w:val="ListParagraph"/>
              <w:numPr>
                <w:ilvl w:val="0"/>
                <w:numId w:val="21"/>
              </w:numPr>
              <w:spacing w:after="160" w:line="360" w:lineRule="auto"/>
              <w:jc w:val="both"/>
              <w:rPr>
                <w:rFonts w:ascii="Arial" w:hAnsi="Arial" w:cs="Arial"/>
                <w:sz w:val="24"/>
                <w:szCs w:val="24"/>
              </w:rPr>
            </w:pPr>
            <w:r w:rsidRPr="00794AB6">
              <w:rPr>
                <w:rFonts w:ascii="Arial" w:hAnsi="Arial" w:cs="Arial"/>
                <w:sz w:val="24"/>
                <w:szCs w:val="24"/>
              </w:rPr>
              <w:t>Lenders and investors often put pressure on an organisation to perform well</w:t>
            </w:r>
          </w:p>
          <w:p w:rsidR="00497223" w:rsidRPr="00794AB6" w:rsidRDefault="00497223" w:rsidP="00794AB6">
            <w:pPr>
              <w:pStyle w:val="ListParagraph"/>
              <w:numPr>
                <w:ilvl w:val="0"/>
                <w:numId w:val="21"/>
              </w:numPr>
              <w:spacing w:after="160" w:line="360" w:lineRule="auto"/>
              <w:jc w:val="both"/>
              <w:rPr>
                <w:rFonts w:ascii="Arial" w:hAnsi="Arial" w:cs="Arial"/>
                <w:sz w:val="24"/>
                <w:szCs w:val="24"/>
              </w:rPr>
            </w:pPr>
            <w:r w:rsidRPr="00794AB6">
              <w:rPr>
                <w:rFonts w:ascii="Arial" w:hAnsi="Arial" w:cs="Arial"/>
                <w:sz w:val="24"/>
                <w:szCs w:val="24"/>
              </w:rPr>
              <w:t>Pressure for the organisation to retain its stock exchange listing and debt rating</w:t>
            </w:r>
          </w:p>
          <w:p w:rsidR="00497223" w:rsidRPr="00794AB6" w:rsidRDefault="00497223" w:rsidP="00794AB6">
            <w:pPr>
              <w:pStyle w:val="ListParagraph"/>
              <w:numPr>
                <w:ilvl w:val="0"/>
                <w:numId w:val="21"/>
              </w:numPr>
              <w:spacing w:after="160" w:line="360" w:lineRule="auto"/>
              <w:jc w:val="both"/>
              <w:rPr>
                <w:rFonts w:ascii="Arial" w:hAnsi="Arial" w:cs="Arial"/>
                <w:sz w:val="24"/>
                <w:szCs w:val="24"/>
              </w:rPr>
            </w:pPr>
            <w:r w:rsidRPr="00794AB6">
              <w:rPr>
                <w:rFonts w:ascii="Arial" w:hAnsi="Arial" w:cs="Arial"/>
                <w:sz w:val="24"/>
                <w:szCs w:val="24"/>
              </w:rPr>
              <w:t>Possibly the struggle for the organisation to fulfil its debt obligations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Internal parties</w:t>
            </w:r>
          </w:p>
          <w:p w:rsidR="00497223" w:rsidRPr="00794AB6" w:rsidRDefault="00497223" w:rsidP="00794AB6">
            <w:pPr>
              <w:pStyle w:val="ListParagraph"/>
              <w:numPr>
                <w:ilvl w:val="0"/>
                <w:numId w:val="22"/>
              </w:numPr>
              <w:spacing w:after="160" w:line="360" w:lineRule="auto"/>
              <w:jc w:val="both"/>
              <w:rPr>
                <w:rFonts w:ascii="Arial" w:hAnsi="Arial" w:cs="Arial"/>
                <w:sz w:val="24"/>
                <w:szCs w:val="24"/>
              </w:rPr>
            </w:pPr>
            <w:r w:rsidRPr="00794AB6">
              <w:rPr>
                <w:rFonts w:ascii="Arial" w:hAnsi="Arial" w:cs="Arial"/>
                <w:sz w:val="24"/>
                <w:szCs w:val="24"/>
              </w:rPr>
              <w:t>Circumstances arising which can negatively affect the organisation in relation to its profitability</w:t>
            </w:r>
          </w:p>
          <w:p w:rsidR="00497223" w:rsidRPr="00794AB6" w:rsidRDefault="00497223" w:rsidP="00794AB6">
            <w:pPr>
              <w:pStyle w:val="ListParagraph"/>
              <w:numPr>
                <w:ilvl w:val="0"/>
                <w:numId w:val="22"/>
              </w:numPr>
              <w:spacing w:after="160" w:line="360" w:lineRule="auto"/>
              <w:jc w:val="both"/>
              <w:rPr>
                <w:rFonts w:ascii="Arial" w:hAnsi="Arial" w:cs="Arial"/>
                <w:sz w:val="24"/>
                <w:szCs w:val="24"/>
              </w:rPr>
            </w:pPr>
            <w:r w:rsidRPr="00794AB6">
              <w:rPr>
                <w:rFonts w:ascii="Arial" w:hAnsi="Arial" w:cs="Arial"/>
                <w:sz w:val="24"/>
                <w:szCs w:val="24"/>
              </w:rPr>
              <w:t>When the wealth of management may be threatened due to poor performance or where the management is given unrealistic performance goals to achieve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Risk factor</w:t>
            </w:r>
            <w:r w:rsidR="00794AB6">
              <w:rPr>
                <w:rFonts w:ascii="Arial" w:eastAsia="Calibri" w:hAnsi="Arial" w:cs="Arial"/>
                <w:sz w:val="24"/>
                <w:szCs w:val="24"/>
              </w:rPr>
              <w:t>s</w:t>
            </w:r>
            <w:r w:rsidRPr="00497223">
              <w:rPr>
                <w:rFonts w:ascii="Arial" w:eastAsia="Calibri" w:hAnsi="Arial" w:cs="Arial"/>
                <w:sz w:val="24"/>
                <w:szCs w:val="24"/>
              </w:rPr>
              <w:t xml:space="preserve"> such as those discussed above often lead to misappropriation of assets as a result of these risk factors.  For instance, where a manager or employee feels that they are experiencing financial problems may lead them to steal money from the organisation.  If there is a poor relationship between employee and senior management they may also misappropriate funds and justify their actions with their feelings of resentment.</w:t>
            </w:r>
          </w:p>
          <w:p w:rsidR="00497223" w:rsidRDefault="00497223" w:rsidP="00794AB6">
            <w:pPr>
              <w:spacing w:after="160" w:line="360" w:lineRule="auto"/>
              <w:jc w:val="both"/>
              <w:rPr>
                <w:rFonts w:ascii="Arial" w:eastAsia="Calibri" w:hAnsi="Arial" w:cs="Arial"/>
                <w:sz w:val="24"/>
                <w:szCs w:val="24"/>
              </w:rPr>
            </w:pPr>
          </w:p>
          <w:p w:rsidR="00794AB6" w:rsidRDefault="00794AB6" w:rsidP="00794AB6">
            <w:pPr>
              <w:spacing w:after="160" w:line="360" w:lineRule="auto"/>
              <w:jc w:val="both"/>
              <w:rPr>
                <w:rFonts w:ascii="Arial" w:eastAsia="Calibri" w:hAnsi="Arial" w:cs="Arial"/>
                <w:sz w:val="24"/>
                <w:szCs w:val="24"/>
              </w:rPr>
            </w:pPr>
          </w:p>
          <w:p w:rsidR="00794AB6" w:rsidRPr="00497223" w:rsidRDefault="00794AB6" w:rsidP="00794AB6">
            <w:pPr>
              <w:spacing w:after="160" w:line="360" w:lineRule="auto"/>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t>vi.</w:t>
            </w:r>
            <w:r w:rsidRPr="00497223">
              <w:rPr>
                <w:rFonts w:ascii="Arial" w:eastAsia="Calibri" w:hAnsi="Arial" w:cs="Arial"/>
                <w:b/>
                <w:sz w:val="24"/>
                <w:szCs w:val="24"/>
              </w:rPr>
              <w:tab/>
              <w:t xml:space="preserve">Analytic procedures are used throughout the audit process for three </w:t>
            </w:r>
            <w:r w:rsidRPr="00497223">
              <w:rPr>
                <w:rFonts w:ascii="Arial" w:eastAsia="Calibri" w:hAnsi="Arial" w:cs="Arial"/>
                <w:b/>
                <w:sz w:val="24"/>
                <w:szCs w:val="24"/>
              </w:rPr>
              <w:tab/>
              <w:t>primary purposes.   What are they?</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Analytical procedures consist of evaluations of financial information through analysis of plausible relationships among both financial and non-financial data. They also encompass such investigation as is necessary of identified fluctuations or relationships that are inconsistent with other relevant information or that differ from expected values by a significant amount.</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 basic premise underlying the application of analytical procedures is that plausible relationships among data may reasonably be expected to exist and continue in the absence of conditions to the contrary.</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Analytical procedures are used throughout the audit process and are conducted for three primary purpose:</w:t>
            </w:r>
          </w:p>
          <w:p w:rsidR="00497223" w:rsidRPr="00497223" w:rsidRDefault="00497223" w:rsidP="00794AB6">
            <w:pPr>
              <w:numPr>
                <w:ilvl w:val="0"/>
                <w:numId w:val="15"/>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Preliminary analytical procedures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A risk assessment is conducted to obtain an understanding of the business and its environment.  It can highlight high-risk area to auditors which can ensure that the nature, timing and extent of the audit is undertaken correctly. </w:t>
            </w:r>
          </w:p>
          <w:p w:rsidR="00497223" w:rsidRPr="00497223" w:rsidRDefault="00497223" w:rsidP="00794AB6">
            <w:pPr>
              <w:numPr>
                <w:ilvl w:val="0"/>
                <w:numId w:val="15"/>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Substantive analytic procedures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auditor can consider whether or not the use of analytical methods will be more efficient and effective than tests of detail.  They can analysis if they can reduce the risk of material misstatements at the assertion level to an acceptable low level.</w:t>
            </w:r>
          </w:p>
          <w:p w:rsidR="00497223" w:rsidRPr="00497223" w:rsidRDefault="00497223" w:rsidP="00794AB6">
            <w:pPr>
              <w:numPr>
                <w:ilvl w:val="0"/>
                <w:numId w:val="15"/>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Final analytic procedures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These are undertaken at the end of the audit as the final overall review of the financial statements. They help determine whether they are consistent with the auditor's understanding of the entity.</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It is impossible to foresee an employee’s rationalisation in relation to fraud and the potential pressure that an employee faces cannot be foreseen, but the opportunity for the employees to commit fraud can be prevented. It can be achieved by having </w:t>
            </w:r>
            <w:r w:rsidRPr="00497223">
              <w:rPr>
                <w:rFonts w:ascii="Arial" w:eastAsia="Calibri" w:hAnsi="Arial" w:cs="Arial"/>
                <w:sz w:val="24"/>
                <w:szCs w:val="24"/>
              </w:rPr>
              <w:lastRenderedPageBreak/>
              <w:t>good internal controls in place which will limit potential cases of fraud and protect your business from your employees affected by The Fraud Triangle’s temptations.  All organisation must be vigilant when it comes to fraud.  Temptation may not be prevented but the possibility can be.</w:t>
            </w:r>
          </w:p>
          <w:p w:rsidR="00794AB6" w:rsidRDefault="00794AB6" w:rsidP="00794AB6">
            <w:pPr>
              <w:spacing w:after="160" w:line="360" w:lineRule="auto"/>
              <w:jc w:val="both"/>
              <w:rPr>
                <w:rFonts w:ascii="Arial" w:eastAsia="Calibri" w:hAnsi="Arial" w:cs="Arial"/>
                <w:b/>
                <w:sz w:val="24"/>
                <w:szCs w:val="24"/>
              </w:rPr>
            </w:pP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t>2.</w:t>
            </w:r>
            <w:r w:rsidRPr="00497223">
              <w:rPr>
                <w:rFonts w:ascii="Arial" w:eastAsia="Calibri" w:hAnsi="Arial" w:cs="Arial"/>
                <w:b/>
                <w:sz w:val="24"/>
                <w:szCs w:val="24"/>
              </w:rPr>
              <w:tab/>
              <w:t xml:space="preserve">‘Circumstances may exist that create opportunities for management or </w:t>
            </w:r>
            <w:r w:rsidRPr="00497223">
              <w:rPr>
                <w:rFonts w:ascii="Arial" w:eastAsia="Calibri" w:hAnsi="Arial" w:cs="Arial"/>
                <w:b/>
                <w:sz w:val="24"/>
                <w:szCs w:val="24"/>
              </w:rPr>
              <w:tab/>
              <w:t xml:space="preserve">other </w:t>
            </w:r>
            <w:r w:rsidRPr="00497223">
              <w:rPr>
                <w:rFonts w:ascii="Arial" w:eastAsia="Calibri" w:hAnsi="Arial" w:cs="Arial"/>
                <w:b/>
                <w:sz w:val="24"/>
                <w:szCs w:val="24"/>
              </w:rPr>
              <w:tab/>
              <w:t>staff to commit fraud’.  Discuss.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manager’s role in internal control systems and the ability to bypass those controls determine fraud opportunities.  Many factors can contribute to a high risk of misappropriation of assets.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The Assets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This can be determined by the asset itself and the characteristics of the asset.  The value, demand for, ease of convertibility and the ease of movement of the asset will be a deciding factor.</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Management and Internal Controls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Jerome Kerviel was convicted in the 2008 Societe Generale trading loss for breach of trust, forgery and unauthorised use of the bank’s computers.  People ask how did this happen?  His trades were supposed to have been authorised but Mr Kerviel was able to circumvent these controls.  His actions were also missed by the accountants.  The investigations reported that there were an absence of controls that might have uncovered the fraud sooner.</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Segregation of Duties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Trading losses such as those incurred in the Kerviel case were not possible without some level of blindness across many departments within the organisation.  Since the introduction of the Sarbanes-Oxley Act, most fraud investigations have pointed out that a lack of segregation of duties enabled the fraud to occur. </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At a lower level in an organisation segregation of duties exists where different employees approve, record and reconcile each transaction.  However in order to </w:t>
            </w:r>
            <w:r w:rsidRPr="00497223">
              <w:rPr>
                <w:rFonts w:ascii="Arial" w:eastAsia="Calibri" w:hAnsi="Arial" w:cs="Arial"/>
                <w:sz w:val="24"/>
                <w:szCs w:val="24"/>
              </w:rPr>
              <w:lastRenderedPageBreak/>
              <w:t>prevent the most high-level, often financial statement, fraud occurring there must be a greater complexity of checks and balances.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Checks and Balances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Employees involved in segregation of duties must also be given support in detective duties and given the authority to question unusual or unsupported transactions.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Screening of employees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In order to reduce the chances of internal fraud an organisation must take step to make sure that they know who they are employing.  References should always be obtained when employing new staff and, most importantly, this information must be verified. </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To conclude, it is impossible to prevent fraud from happening in every instance but managers must make fraud more difficult to carry out.  All of the above must not be used in isolation but together.  Added to this should be a culture in the organisation which is seen to be hostile to fraud in an attempt to prevent employees from carrying out fraudulent behaviour.</w:t>
            </w:r>
          </w:p>
          <w:p w:rsidR="00497223" w:rsidRPr="00497223" w:rsidRDefault="00497223" w:rsidP="00794AB6">
            <w:pPr>
              <w:spacing w:after="160" w:line="360" w:lineRule="auto"/>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t>3.</w:t>
            </w:r>
            <w:r w:rsidRPr="00497223">
              <w:rPr>
                <w:rFonts w:ascii="Arial" w:eastAsia="Calibri" w:hAnsi="Arial" w:cs="Arial"/>
                <w:b/>
                <w:sz w:val="24"/>
                <w:szCs w:val="24"/>
              </w:rPr>
              <w:tab/>
              <w:t xml:space="preserve">SAS 99 suggests that key sources for the identification of fraud risk </w:t>
            </w:r>
            <w:r w:rsidRPr="00497223">
              <w:rPr>
                <w:rFonts w:ascii="Arial" w:eastAsia="Calibri" w:hAnsi="Arial" w:cs="Arial"/>
                <w:b/>
                <w:sz w:val="24"/>
                <w:szCs w:val="24"/>
              </w:rPr>
              <w:tab/>
              <w:t xml:space="preserve">factors are inquiries of Management.  In this context which type of </w:t>
            </w:r>
            <w:r w:rsidRPr="00497223">
              <w:rPr>
                <w:rFonts w:ascii="Arial" w:eastAsia="Calibri" w:hAnsi="Arial" w:cs="Arial"/>
                <w:b/>
                <w:sz w:val="24"/>
                <w:szCs w:val="24"/>
              </w:rPr>
              <w:tab/>
              <w:t>questions should an auditor ask the management?</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SAS 99 requires that auditors are reasonably sure that the financial statement are free of material misstatements, and gives auditors focused and guidance on what their responsibilities are in their role in uncovering fraud.  SAS 99 requires that auditors took for fraud during their entire audit assignment.  It describes three conditions which are usually present when fraud is committed:  incentives/pressures, opportunities, and attitudes/rationa</w:t>
            </w:r>
            <w:r w:rsidR="00794AB6">
              <w:rPr>
                <w:rFonts w:ascii="Arial" w:eastAsia="Calibri" w:hAnsi="Arial" w:cs="Arial"/>
                <w:sz w:val="24"/>
                <w:szCs w:val="24"/>
              </w:rPr>
              <w:t xml:space="preserve">lisations.  It </w:t>
            </w:r>
            <w:proofErr w:type="spellStart"/>
            <w:r w:rsidR="00794AB6">
              <w:rPr>
                <w:rFonts w:ascii="Arial" w:eastAsia="Calibri" w:hAnsi="Arial" w:cs="Arial"/>
                <w:sz w:val="24"/>
                <w:szCs w:val="24"/>
              </w:rPr>
              <w:t>emphasises</w:t>
            </w:r>
            <w:proofErr w:type="spellEnd"/>
            <w:r w:rsidRPr="00497223">
              <w:rPr>
                <w:rFonts w:ascii="Arial" w:eastAsia="Calibri" w:hAnsi="Arial" w:cs="Arial"/>
                <w:sz w:val="24"/>
                <w:szCs w:val="24"/>
              </w:rPr>
              <w:t xml:space="preserve"> that all three conditions need not be present for the fraud to occur.  Importantly it reiterates that auditors must exercise professional scepticism, maintain a questioning mind and assess the responses from management to determine the risk of fraudulent misstatements.  </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lastRenderedPageBreak/>
              <w:t>SAS NO. 99, Consideration of Fraud in a Financial Statement Audit, paragraphs 20 through 26, specifies questions auditors should ask management and others in checking for fraud risk. The challenge is that those individuals committing wrongful acts and fraud can—and do—lie to the auditor or manager.</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Questions asked of management and others including audit team and audit committees, fall into the following categories;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Making inquiries of Management and Others within the Entity about the Risks of Fraud</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auditor should inquire of management about their knowledge of fraud and if there is an awareness of fraud taking place.  This could have been uncovered from employee communications such as email.</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They should attempt to uncover if management understands the risk of fraud and if there are programmes and controls in place in order to mitigate the occurrence of fraud.  Where the entity has multiple locations the auditor must inquire as to whether there are any particular operating locations or business segments where a risk of fraud may be more likely.</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They should also inquire if management has communicated its ethic views and business practices relating to fraudulent behaviour.</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And Others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auditor should not limit inquiries to operational management but also to those charged with governance such as the audit committee to ascertain their views regarding the risk of fraud.  Where there is an internal audit function, inquiries should also be made about their views and if there are any internal controls in place.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In addition to those personnel detailed above, the auditor should inquire of others who may have additional knowledge about or be able to corroborate risks of fraud identified from consultations with management.  These could include;</w:t>
            </w:r>
          </w:p>
          <w:p w:rsidR="00497223" w:rsidRPr="00497223" w:rsidRDefault="00497223" w:rsidP="00794AB6">
            <w:pPr>
              <w:numPr>
                <w:ilvl w:val="0"/>
                <w:numId w:val="15"/>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Employees with varying levels of authority in the organisation</w:t>
            </w:r>
          </w:p>
          <w:p w:rsidR="00497223" w:rsidRPr="00497223" w:rsidRDefault="00497223" w:rsidP="00794AB6">
            <w:pPr>
              <w:numPr>
                <w:ilvl w:val="0"/>
                <w:numId w:val="15"/>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 xml:space="preserve">Operating personnel even though not directly involved in any financing </w:t>
            </w:r>
            <w:r w:rsidRPr="00497223">
              <w:rPr>
                <w:rFonts w:ascii="Arial" w:eastAsia="Calibri" w:hAnsi="Arial" w:cs="Arial"/>
                <w:sz w:val="24"/>
                <w:szCs w:val="24"/>
              </w:rPr>
              <w:lastRenderedPageBreak/>
              <w:t>decisions</w:t>
            </w:r>
          </w:p>
          <w:p w:rsidR="00497223" w:rsidRPr="00497223" w:rsidRDefault="00497223" w:rsidP="00794AB6">
            <w:pPr>
              <w:numPr>
                <w:ilvl w:val="0"/>
                <w:numId w:val="15"/>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 xml:space="preserve">Employees involved in unusual transactions </w:t>
            </w:r>
          </w:p>
          <w:p w:rsidR="00497223" w:rsidRPr="00497223" w:rsidRDefault="00497223" w:rsidP="00794AB6">
            <w:pPr>
              <w:numPr>
                <w:ilvl w:val="0"/>
                <w:numId w:val="15"/>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In-house legal counsel.</w:t>
            </w:r>
          </w:p>
          <w:p w:rsidR="00497223" w:rsidRDefault="00497223" w:rsidP="00794AB6">
            <w:pPr>
              <w:numPr>
                <w:ilvl w:val="0"/>
                <w:numId w:val="15"/>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The importance of asking questions</w:t>
            </w:r>
          </w:p>
          <w:p w:rsidR="00794AB6" w:rsidRDefault="00794AB6" w:rsidP="00794AB6">
            <w:pPr>
              <w:spacing w:after="160" w:line="360" w:lineRule="auto"/>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auditor’s inquiries of management and others is extremely important as fraud is regularly discovered through responses to inquiries made and the information revealed.  Verbal communication can convey information that an auditor may not elicit from paperwork.  It also provides the auditor with varying perspectives from employees or personnel such as the audit committee.  The inquiry might also provide information regarding any management override of internal controls.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Areas the questions may cover</w:t>
            </w:r>
          </w:p>
          <w:p w:rsidR="00497223" w:rsidRPr="00497223" w:rsidRDefault="00497223" w:rsidP="00794AB6">
            <w:pPr>
              <w:numPr>
                <w:ilvl w:val="0"/>
                <w:numId w:val="19"/>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Alleged, suspected or perpetrated financial statement misstatement or asset misappropriation</w:t>
            </w:r>
          </w:p>
          <w:p w:rsidR="00497223" w:rsidRPr="00497223" w:rsidRDefault="00497223" w:rsidP="00794AB6">
            <w:pPr>
              <w:numPr>
                <w:ilvl w:val="0"/>
                <w:numId w:val="19"/>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Alleged fraud</w:t>
            </w:r>
          </w:p>
          <w:p w:rsidR="00497223" w:rsidRPr="00497223" w:rsidRDefault="00497223" w:rsidP="00794AB6">
            <w:pPr>
              <w:numPr>
                <w:ilvl w:val="0"/>
                <w:numId w:val="19"/>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Whistle-blowing from employees</w:t>
            </w:r>
          </w:p>
          <w:p w:rsidR="00497223" w:rsidRPr="00497223" w:rsidRDefault="00497223" w:rsidP="00794AB6">
            <w:pPr>
              <w:numPr>
                <w:ilvl w:val="0"/>
                <w:numId w:val="19"/>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Perceived risks according to management and areas management has identified as vulnerable areas susceptible to fraud</w:t>
            </w:r>
          </w:p>
          <w:p w:rsidR="00497223" w:rsidRDefault="00497223" w:rsidP="00794AB6">
            <w:pPr>
              <w:numPr>
                <w:ilvl w:val="0"/>
                <w:numId w:val="19"/>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The managements views on ethics and if these views are communicated to employees.  An assessment of any internal controls in place.</w:t>
            </w:r>
          </w:p>
          <w:p w:rsidR="00497223" w:rsidRPr="00497223" w:rsidRDefault="00497223" w:rsidP="00794AB6">
            <w:pPr>
              <w:spacing w:after="160" w:line="360" w:lineRule="auto"/>
              <w:ind w:left="720"/>
              <w:contextualSpacing/>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Audit Committee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auditor</w:t>
            </w:r>
            <w:r w:rsidR="00794AB6">
              <w:rPr>
                <w:rFonts w:ascii="Arial" w:eastAsia="Calibri" w:hAnsi="Arial" w:cs="Arial"/>
                <w:sz w:val="24"/>
                <w:szCs w:val="24"/>
              </w:rPr>
              <w:t>,</w:t>
            </w:r>
            <w:r w:rsidRPr="00497223">
              <w:rPr>
                <w:rFonts w:ascii="Arial" w:eastAsia="Calibri" w:hAnsi="Arial" w:cs="Arial"/>
                <w:sz w:val="24"/>
                <w:szCs w:val="24"/>
              </w:rPr>
              <w:t xml:space="preserve"> in dealings with the audit committee</w:t>
            </w:r>
            <w:r w:rsidR="00794AB6">
              <w:rPr>
                <w:rFonts w:ascii="Arial" w:eastAsia="Calibri" w:hAnsi="Arial" w:cs="Arial"/>
                <w:sz w:val="24"/>
                <w:szCs w:val="24"/>
              </w:rPr>
              <w:t>,</w:t>
            </w:r>
            <w:r w:rsidRPr="00497223">
              <w:rPr>
                <w:rFonts w:ascii="Arial" w:eastAsia="Calibri" w:hAnsi="Arial" w:cs="Arial"/>
                <w:sz w:val="24"/>
                <w:szCs w:val="24"/>
              </w:rPr>
              <w:t xml:space="preserve"> should also make inquiries regarding their evaluation of fraud risk, any information they have regarding fraud</w:t>
            </w:r>
            <w:r w:rsidR="00794AB6">
              <w:rPr>
                <w:rFonts w:ascii="Arial" w:eastAsia="Calibri" w:hAnsi="Arial" w:cs="Arial"/>
                <w:sz w:val="24"/>
                <w:szCs w:val="24"/>
              </w:rPr>
              <w:t>,</w:t>
            </w:r>
            <w:r w:rsidRPr="00497223">
              <w:rPr>
                <w:rFonts w:ascii="Arial" w:eastAsia="Calibri" w:hAnsi="Arial" w:cs="Arial"/>
                <w:sz w:val="24"/>
                <w:szCs w:val="24"/>
              </w:rPr>
              <w:t xml:space="preserve"> and if they have any controls in place to monitor and mitigate the risk of fraud.</w:t>
            </w:r>
          </w:p>
          <w:p w:rsid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 thorough evaluation of the internal audit team and their work should also be undertaken.  This would include their procedures, experience and reaction to fraudulent activity.</w:t>
            </w:r>
          </w:p>
          <w:p w:rsidR="00794AB6" w:rsidRPr="00497223" w:rsidRDefault="00794AB6" w:rsidP="00794AB6">
            <w:pPr>
              <w:spacing w:after="160" w:line="360" w:lineRule="auto"/>
              <w:jc w:val="both"/>
              <w:rPr>
                <w:rFonts w:ascii="Arial" w:eastAsia="Calibri" w:hAnsi="Arial" w:cs="Arial"/>
                <w:sz w:val="24"/>
                <w:szCs w:val="24"/>
              </w:rPr>
            </w:pPr>
          </w:p>
          <w:p w:rsidR="00497223" w:rsidRDefault="00497223" w:rsidP="00794AB6">
            <w:pPr>
              <w:spacing w:after="160" w:line="360" w:lineRule="auto"/>
              <w:jc w:val="center"/>
              <w:rPr>
                <w:rFonts w:ascii="Arial" w:eastAsia="Calibri" w:hAnsi="Arial" w:cs="Arial"/>
                <w:b/>
                <w:sz w:val="24"/>
                <w:szCs w:val="24"/>
                <w:u w:val="single"/>
              </w:rPr>
            </w:pPr>
            <w:r w:rsidRPr="00497223">
              <w:rPr>
                <w:rFonts w:ascii="Arial" w:eastAsia="Calibri" w:hAnsi="Arial" w:cs="Arial"/>
                <w:b/>
                <w:sz w:val="24"/>
                <w:szCs w:val="24"/>
                <w:u w:val="single"/>
              </w:rPr>
              <w:lastRenderedPageBreak/>
              <w:t>Case Study</w:t>
            </w:r>
          </w:p>
          <w:p w:rsidR="00794AB6" w:rsidRPr="00497223" w:rsidRDefault="00794AB6" w:rsidP="00794AB6">
            <w:pPr>
              <w:spacing w:after="160" w:line="360" w:lineRule="auto"/>
              <w:rPr>
                <w:rFonts w:ascii="Arial" w:eastAsia="Calibri" w:hAnsi="Arial" w:cs="Arial"/>
                <w:b/>
                <w:sz w:val="24"/>
                <w:szCs w:val="24"/>
              </w:rPr>
            </w:pPr>
            <w:proofErr w:type="spellStart"/>
            <w:r>
              <w:rPr>
                <w:rFonts w:ascii="Arial" w:eastAsia="Calibri" w:hAnsi="Arial" w:cs="Arial"/>
                <w:b/>
                <w:sz w:val="24"/>
                <w:szCs w:val="24"/>
              </w:rPr>
              <w:t>i</w:t>
            </w:r>
            <w:proofErr w:type="spellEnd"/>
            <w:r>
              <w:rPr>
                <w:rFonts w:ascii="Arial" w:eastAsia="Calibri" w:hAnsi="Arial" w:cs="Arial"/>
                <w:b/>
                <w:sz w:val="24"/>
                <w:szCs w:val="24"/>
              </w:rPr>
              <w:t>.</w:t>
            </w:r>
            <w:r>
              <w:rPr>
                <w:rFonts w:ascii="Arial" w:eastAsia="Calibri" w:hAnsi="Arial" w:cs="Arial"/>
                <w:b/>
                <w:sz w:val="24"/>
                <w:szCs w:val="24"/>
              </w:rPr>
              <w:tab/>
              <w:t xml:space="preserve">What type of evidence do you think the expert would have gathered for </w:t>
            </w:r>
            <w:r>
              <w:rPr>
                <w:rFonts w:ascii="Arial" w:eastAsia="Calibri" w:hAnsi="Arial" w:cs="Arial"/>
                <w:b/>
                <w:sz w:val="24"/>
                <w:szCs w:val="24"/>
              </w:rPr>
              <w:tab/>
              <w:t>his report?</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Investigators should explore the person’s financial situation and legitimate income, and any suspicions they may have when investigating case such as given in this case study. This is to establish whether or not the person has more expenditure or assets than can be supported by their legitimate income.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Competency of evidence means that which is adequately sufficient, reliable, and relevant to the case and presented by a qualified and capable (and sane) witness.  (Singleton, 2010).</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As the investigation progresses it should be carefully documented and any evidence found should be carefully preserved.  The prove that the property in this case is ‘criminal property’, such that has been obtained through proceeds of crime, it is necessary for the forensic accountant to prove that the property constitutes benefit from criminal conduct and that the offender knows or suspects that it constitutes or represents such a benefit.</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Sources of evidence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Evidence may be found in several locations and often contained in electronic devices such as laptops and other mobile devices.  There may also be evidence in the suspects mind and other forms of verbal evidence from witnesses.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Searching electronic devices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Personal property of the suspect may not be seized without an appropriate Court Order and, in the absence of such an order, disclosure of the contents is would be in control of the suspect.  In this case, the best course of action would be for the forensic accountant to ask the suspect for access to such devices.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Financial Evidence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The forensic accountant would have undertaken an analysis of the suspect’s income and expenditure.  The expert would have looked at all financial evidence including </w:t>
            </w:r>
            <w:r w:rsidRPr="00497223">
              <w:rPr>
                <w:rFonts w:ascii="Arial" w:eastAsia="Calibri" w:hAnsi="Arial" w:cs="Arial"/>
                <w:sz w:val="24"/>
                <w:szCs w:val="24"/>
              </w:rPr>
              <w:lastRenderedPageBreak/>
              <w:t>bank records and property deeds and records.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Non</w:t>
            </w:r>
            <w:r w:rsidR="00794AB6">
              <w:rPr>
                <w:rFonts w:ascii="Arial" w:eastAsia="Calibri" w:hAnsi="Arial" w:cs="Arial"/>
                <w:b/>
                <w:i/>
                <w:sz w:val="24"/>
                <w:szCs w:val="24"/>
              </w:rPr>
              <w:t>-</w:t>
            </w:r>
            <w:r w:rsidRPr="00497223">
              <w:rPr>
                <w:rFonts w:ascii="Arial" w:eastAsia="Calibri" w:hAnsi="Arial" w:cs="Arial"/>
                <w:b/>
                <w:i/>
                <w:sz w:val="24"/>
                <w:szCs w:val="24"/>
              </w:rPr>
              <w:t>financial</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The forensic accountant would also have obtained non-financial evidence from other sources such as the Land Registry and possibly witness statements from the person’s employer regarding his financial status.  The expert may also have undertaken investigations into any other form of income or investments.</w:t>
            </w:r>
          </w:p>
          <w:p w:rsidR="00497223" w:rsidRPr="00497223" w:rsidRDefault="00497223" w:rsidP="00794AB6">
            <w:pPr>
              <w:spacing w:after="160" w:line="360" w:lineRule="auto"/>
              <w:jc w:val="both"/>
              <w:rPr>
                <w:rFonts w:ascii="Arial" w:eastAsia="Calibri" w:hAnsi="Arial" w:cs="Arial"/>
                <w:b/>
                <w:i/>
                <w:sz w:val="24"/>
                <w:szCs w:val="24"/>
              </w:rPr>
            </w:pPr>
            <w:r w:rsidRPr="00497223">
              <w:rPr>
                <w:rFonts w:ascii="Arial" w:eastAsia="Calibri" w:hAnsi="Arial" w:cs="Arial"/>
                <w:b/>
                <w:i/>
                <w:sz w:val="24"/>
                <w:szCs w:val="24"/>
              </w:rPr>
              <w:t>Proceeds of Crime: How Forensic Accounting Can Keep the Balance of Justice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In proceeds of crime cases – wherein a court attempts to recover the amount one has benefited financially from criminal acts – forensic accounting services are so often called upon as they base their findings on facts and figures.</w:t>
            </w:r>
          </w:p>
          <w:p w:rsidR="00497223" w:rsidRPr="00497223" w:rsidRDefault="00497223" w:rsidP="00794AB6">
            <w:pPr>
              <w:spacing w:after="160" w:line="360" w:lineRule="auto"/>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b/>
                <w:sz w:val="24"/>
                <w:szCs w:val="24"/>
              </w:rPr>
            </w:pPr>
            <w:r w:rsidRPr="00497223">
              <w:rPr>
                <w:rFonts w:ascii="Arial" w:eastAsia="Calibri" w:hAnsi="Arial" w:cs="Arial"/>
                <w:b/>
                <w:sz w:val="24"/>
                <w:szCs w:val="24"/>
              </w:rPr>
              <w:t>ii.</w:t>
            </w:r>
            <w:r w:rsidRPr="00497223">
              <w:rPr>
                <w:rFonts w:ascii="Arial" w:eastAsia="Calibri" w:hAnsi="Arial" w:cs="Arial"/>
                <w:b/>
                <w:sz w:val="24"/>
                <w:szCs w:val="24"/>
              </w:rPr>
              <w:tab/>
              <w:t xml:space="preserve">What documents could have helped the forensic expert in gathering </w:t>
            </w:r>
            <w:r w:rsidRPr="00497223">
              <w:rPr>
                <w:rFonts w:ascii="Arial" w:eastAsia="Calibri" w:hAnsi="Arial" w:cs="Arial"/>
                <w:b/>
                <w:sz w:val="24"/>
                <w:szCs w:val="24"/>
              </w:rPr>
              <w:tab/>
              <w:t>evidence?</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Physical documents are extremely important pieces of evidence in an investigation and electronic evidence also tend to be equally or more important. Proper analysis of this evidence enables an investigator to draw conclusions and gain insight that would be impossible in an entirely paper-based system. </w:t>
            </w:r>
          </w:p>
          <w:p w:rsidR="00497223" w:rsidRPr="00497223" w:rsidRDefault="00497223" w:rsidP="00794AB6">
            <w:pPr>
              <w:spacing w:after="160" w:line="360" w:lineRule="auto"/>
              <w:jc w:val="both"/>
              <w:rPr>
                <w:rFonts w:ascii="Arial" w:eastAsia="Calibri" w:hAnsi="Arial" w:cs="Arial"/>
                <w:sz w:val="24"/>
                <w:szCs w:val="24"/>
                <w:u w:val="single"/>
              </w:rPr>
            </w:pPr>
            <w:r w:rsidRPr="00497223">
              <w:rPr>
                <w:rFonts w:ascii="Arial" w:eastAsia="Calibri" w:hAnsi="Arial" w:cs="Arial"/>
                <w:sz w:val="24"/>
                <w:szCs w:val="24"/>
                <w:u w:val="single"/>
              </w:rPr>
              <w:t>Analysis of non-financial records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Increasingly, non-financial data is also analysed as a standard element of an investigation. E-mails and text messages of interest to an investigator may involve messages between the alleged perpetrator and third parties.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Reviewing email or text message chains can provide an investigator with vital clues.  Analysis of both financial and non-financial data is an important step in preparing to interview witnesses and subjects.  Reviewing email and other communication before the interview allows an investigator to plan the order and structure of questions to put the interviewer in the best position to identify conflicting statements.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An analysis of public records also could be undertaken, such as a review of his </w:t>
            </w:r>
            <w:r w:rsidRPr="00497223">
              <w:rPr>
                <w:rFonts w:ascii="Arial" w:eastAsia="Calibri" w:hAnsi="Arial" w:cs="Arial"/>
                <w:sz w:val="24"/>
                <w:szCs w:val="24"/>
              </w:rPr>
              <w:lastRenderedPageBreak/>
              <w:t>social media, as social media information often provides a treasure trove of information about a subject.</w:t>
            </w:r>
          </w:p>
          <w:p w:rsidR="00497223" w:rsidRPr="00497223" w:rsidRDefault="00497223" w:rsidP="00794AB6">
            <w:pPr>
              <w:spacing w:after="160" w:line="360" w:lineRule="auto"/>
              <w:jc w:val="both"/>
              <w:rPr>
                <w:rFonts w:ascii="Arial" w:eastAsia="Calibri" w:hAnsi="Arial" w:cs="Arial"/>
                <w:sz w:val="24"/>
                <w:szCs w:val="24"/>
                <w:u w:val="single"/>
              </w:rPr>
            </w:pPr>
            <w:r w:rsidRPr="00497223">
              <w:rPr>
                <w:rFonts w:ascii="Arial" w:eastAsia="Calibri" w:hAnsi="Arial" w:cs="Arial"/>
                <w:sz w:val="24"/>
                <w:szCs w:val="24"/>
                <w:u w:val="single"/>
              </w:rPr>
              <w:t>Non-public records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Non-public records are private and confidential, he would be under no obligation to produce these records unless they have provided their consent or they are compelled to do so as a result of a legal process, such as a court order or subpoena. Records such as personal bank statements should also be acquired and scrutinised. </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List of documents which could have helped the forensic expert to gather evidence could also include:</w:t>
            </w:r>
          </w:p>
          <w:p w:rsidR="00497223" w:rsidRPr="00497223" w:rsidRDefault="00497223" w:rsidP="00794AB6">
            <w:pPr>
              <w:numPr>
                <w:ilvl w:val="0"/>
                <w:numId w:val="20"/>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supporting documentation for the properties purchased;</w:t>
            </w:r>
          </w:p>
          <w:p w:rsidR="00497223" w:rsidRPr="00497223" w:rsidRDefault="00497223" w:rsidP="00794AB6">
            <w:pPr>
              <w:numPr>
                <w:ilvl w:val="0"/>
                <w:numId w:val="20"/>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bank records</w:t>
            </w:r>
          </w:p>
          <w:p w:rsidR="00497223" w:rsidRPr="00497223" w:rsidRDefault="00497223" w:rsidP="00794AB6">
            <w:pPr>
              <w:numPr>
                <w:ilvl w:val="0"/>
                <w:numId w:val="20"/>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payslips from his job as a cleaner</w:t>
            </w:r>
          </w:p>
          <w:p w:rsidR="00497223" w:rsidRPr="00497223" w:rsidRDefault="00497223" w:rsidP="00794AB6">
            <w:pPr>
              <w:numPr>
                <w:ilvl w:val="0"/>
                <w:numId w:val="20"/>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communications relevant to the suspect’s dealings with the properties in question.</w:t>
            </w:r>
          </w:p>
          <w:p w:rsidR="00497223" w:rsidRPr="00497223" w:rsidRDefault="00497223" w:rsidP="00794AB6">
            <w:pPr>
              <w:numPr>
                <w:ilvl w:val="0"/>
                <w:numId w:val="20"/>
              </w:numPr>
              <w:spacing w:after="160" w:line="360" w:lineRule="auto"/>
              <w:contextualSpacing/>
              <w:jc w:val="both"/>
              <w:rPr>
                <w:rFonts w:ascii="Arial" w:eastAsia="Calibri" w:hAnsi="Arial" w:cs="Arial"/>
                <w:sz w:val="24"/>
                <w:szCs w:val="24"/>
              </w:rPr>
            </w:pPr>
            <w:r w:rsidRPr="00497223">
              <w:rPr>
                <w:rFonts w:ascii="Arial" w:eastAsia="Calibri" w:hAnsi="Arial" w:cs="Arial"/>
                <w:sz w:val="24"/>
                <w:szCs w:val="24"/>
              </w:rPr>
              <w:t xml:space="preserve">Documents related to financial evidence including any savings accounts, release of pension, sale of shares, sale of another property, inheritance.   There may also be documentation relating to dividends from a UK company, gambling winnings, a compensation award and perhaps a gift from parents. </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w:t>
            </w:r>
          </w:p>
          <w:p w:rsidR="00497223" w:rsidRPr="00497223" w:rsidRDefault="00497223" w:rsidP="00794AB6">
            <w:pPr>
              <w:spacing w:after="160" w:line="360" w:lineRule="auto"/>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sz w:val="24"/>
                <w:szCs w:val="24"/>
              </w:rPr>
            </w:pP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br w:type="page"/>
            </w:r>
          </w:p>
          <w:p w:rsidR="00497223" w:rsidRPr="00497223" w:rsidRDefault="00497223" w:rsidP="00794AB6">
            <w:pPr>
              <w:spacing w:after="160" w:line="360" w:lineRule="auto"/>
              <w:jc w:val="both"/>
              <w:rPr>
                <w:rFonts w:ascii="Arial" w:eastAsia="Calibri" w:hAnsi="Arial" w:cs="Arial"/>
                <w:sz w:val="24"/>
                <w:szCs w:val="24"/>
              </w:rPr>
            </w:pPr>
          </w:p>
          <w:p w:rsidR="00794AB6" w:rsidRDefault="00794AB6" w:rsidP="00794AB6">
            <w:pPr>
              <w:spacing w:after="160" w:line="360" w:lineRule="auto"/>
              <w:jc w:val="both"/>
              <w:rPr>
                <w:rFonts w:ascii="Arial" w:eastAsia="Calibri" w:hAnsi="Arial" w:cs="Arial"/>
                <w:b/>
                <w:sz w:val="24"/>
                <w:szCs w:val="24"/>
              </w:rPr>
            </w:pPr>
          </w:p>
          <w:p w:rsidR="00794AB6" w:rsidRDefault="00794AB6" w:rsidP="00794AB6">
            <w:pPr>
              <w:spacing w:after="160" w:line="360" w:lineRule="auto"/>
              <w:jc w:val="both"/>
              <w:rPr>
                <w:rFonts w:ascii="Arial" w:eastAsia="Calibri" w:hAnsi="Arial" w:cs="Arial"/>
                <w:b/>
                <w:sz w:val="24"/>
                <w:szCs w:val="24"/>
              </w:rPr>
            </w:pPr>
          </w:p>
          <w:p w:rsidR="00497223" w:rsidRPr="00497223" w:rsidRDefault="00497223" w:rsidP="00794AB6">
            <w:pPr>
              <w:spacing w:after="160" w:line="360" w:lineRule="auto"/>
              <w:jc w:val="center"/>
              <w:rPr>
                <w:rFonts w:ascii="Arial" w:eastAsia="Calibri" w:hAnsi="Arial" w:cs="Arial"/>
                <w:b/>
                <w:sz w:val="24"/>
                <w:szCs w:val="24"/>
              </w:rPr>
            </w:pPr>
            <w:r w:rsidRPr="00497223">
              <w:rPr>
                <w:rFonts w:ascii="Arial" w:eastAsia="Calibri" w:hAnsi="Arial" w:cs="Arial"/>
                <w:b/>
                <w:sz w:val="24"/>
                <w:szCs w:val="24"/>
              </w:rPr>
              <w:lastRenderedPageBreak/>
              <w:t>Bibliography</w:t>
            </w:r>
          </w:p>
          <w:p w:rsidR="00497223" w:rsidRPr="00497223" w:rsidRDefault="00497223" w:rsidP="00794AB6">
            <w:pPr>
              <w:spacing w:after="160" w:line="360" w:lineRule="auto"/>
              <w:jc w:val="both"/>
              <w:rPr>
                <w:rFonts w:ascii="Arial" w:eastAsia="Calibri" w:hAnsi="Arial" w:cs="Arial"/>
                <w:b/>
                <w:sz w:val="24"/>
                <w:szCs w:val="24"/>
              </w:rPr>
            </w:pP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 xml:space="preserve">Ackerman, R.  (1997)  The Role of the World Bank in Controlling Corruption </w:t>
            </w:r>
            <w:r w:rsidRPr="00497223">
              <w:rPr>
                <w:rFonts w:ascii="Arial" w:eastAsia="Calibri" w:hAnsi="Arial" w:cs="Arial"/>
                <w:i/>
                <w:sz w:val="24"/>
                <w:szCs w:val="24"/>
              </w:rPr>
              <w:t>Yale Law School Yale Law School Legal Scholarship Repository Faculty Scholarship Series Yale Law School Faculty Scholarship 1-1</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Collier, P. (2008). The bottom billion. New York: Oxford University Press.</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Singleton, T. &amp; Singleton, A.  (2010) Fraud Auditing and Forensic Accounting, Fourth Edition.  John Wiley &amp; Sons, Hoboken, New Jersey.</w:t>
            </w:r>
          </w:p>
          <w:p w:rsidR="00497223" w:rsidRPr="00497223" w:rsidRDefault="00497223" w:rsidP="00794AB6">
            <w:pPr>
              <w:spacing w:after="160" w:line="360" w:lineRule="auto"/>
              <w:jc w:val="both"/>
              <w:rPr>
                <w:rFonts w:ascii="Arial" w:eastAsia="Calibri" w:hAnsi="Arial" w:cs="Arial"/>
                <w:sz w:val="24"/>
                <w:szCs w:val="24"/>
              </w:rPr>
            </w:pPr>
            <w:r w:rsidRPr="00497223">
              <w:rPr>
                <w:rFonts w:ascii="Arial" w:eastAsia="Calibri" w:hAnsi="Arial" w:cs="Arial"/>
                <w:sz w:val="24"/>
                <w:szCs w:val="24"/>
              </w:rPr>
              <w:t>Taylor, J. (2011). Forensic accounting. Harlow: Financial Times/ Prentice Hall.</w:t>
            </w:r>
          </w:p>
          <w:p w:rsidR="00497223" w:rsidRPr="00497223" w:rsidRDefault="00497223" w:rsidP="00794AB6">
            <w:pPr>
              <w:spacing w:after="160" w:line="360" w:lineRule="auto"/>
              <w:jc w:val="both"/>
              <w:rPr>
                <w:rFonts w:ascii="Arial" w:eastAsia="Calibri" w:hAnsi="Arial" w:cs="Arial"/>
                <w:sz w:val="24"/>
                <w:szCs w:val="24"/>
              </w:rPr>
            </w:pPr>
            <w:hyperlink r:id="rId9" w:history="1">
              <w:r w:rsidRPr="00794AB6">
                <w:rPr>
                  <w:rFonts w:ascii="Arial" w:eastAsia="Calibri" w:hAnsi="Arial" w:cs="Arial"/>
                  <w:color w:val="0563C1"/>
                  <w:sz w:val="24"/>
                  <w:szCs w:val="24"/>
                  <w:u w:val="single"/>
                </w:rPr>
                <w:t>https://www.aicpa.org/Research/Standards/AuditAttest/DownloadableDocuments/AU-00316.pdf</w:t>
              </w:r>
            </w:hyperlink>
            <w:r w:rsidRPr="00497223">
              <w:rPr>
                <w:rFonts w:ascii="Arial" w:eastAsia="Calibri" w:hAnsi="Arial" w:cs="Arial"/>
                <w:sz w:val="24"/>
                <w:szCs w:val="24"/>
              </w:rPr>
              <w:t xml:space="preserve">  [Accessed:  30</w:t>
            </w:r>
            <w:r w:rsidRPr="00497223">
              <w:rPr>
                <w:rFonts w:ascii="Arial" w:eastAsia="Calibri" w:hAnsi="Arial" w:cs="Arial"/>
                <w:sz w:val="24"/>
                <w:szCs w:val="24"/>
                <w:vertAlign w:val="superscript"/>
              </w:rPr>
              <w:t>th</w:t>
            </w:r>
            <w:r w:rsidRPr="00497223">
              <w:rPr>
                <w:rFonts w:ascii="Arial" w:eastAsia="Calibri" w:hAnsi="Arial" w:cs="Arial"/>
                <w:sz w:val="24"/>
                <w:szCs w:val="24"/>
              </w:rPr>
              <w:t xml:space="preserve"> November 2018]</w:t>
            </w:r>
          </w:p>
          <w:p w:rsidR="00497223" w:rsidRPr="00497223" w:rsidRDefault="00497223" w:rsidP="00497223">
            <w:pPr>
              <w:spacing w:after="160" w:line="360" w:lineRule="auto"/>
              <w:jc w:val="both"/>
              <w:rPr>
                <w:rFonts w:ascii="Arial" w:eastAsia="Calibri" w:hAnsi="Arial" w:cs="Arial"/>
                <w:sz w:val="24"/>
                <w:szCs w:val="24"/>
              </w:rPr>
            </w:pPr>
          </w:p>
          <w:p w:rsidR="00497223" w:rsidRPr="00497223" w:rsidRDefault="00497223" w:rsidP="00497223">
            <w:pPr>
              <w:spacing w:after="160" w:line="259" w:lineRule="auto"/>
              <w:rPr>
                <w:rFonts w:ascii="Calibri" w:eastAsia="Calibri" w:hAnsi="Calibri" w:cs="Times New Roman"/>
              </w:rPr>
            </w:pPr>
          </w:p>
          <w:p w:rsidR="00B90CFD" w:rsidRPr="00B90CFD" w:rsidRDefault="00B90CFD" w:rsidP="00B90CFD">
            <w:pPr>
              <w:spacing w:after="160" w:line="360" w:lineRule="auto"/>
              <w:jc w:val="both"/>
              <w:rPr>
                <w:rFonts w:ascii="Arial" w:eastAsia="Calibri" w:hAnsi="Arial" w:cs="Arial"/>
                <w:sz w:val="24"/>
                <w:szCs w:val="24"/>
              </w:rPr>
            </w:pPr>
          </w:p>
          <w:p w:rsidR="00B90CFD" w:rsidRPr="00B90CFD" w:rsidRDefault="00B90CFD" w:rsidP="00B90CFD">
            <w:pPr>
              <w:spacing w:after="160" w:line="256" w:lineRule="auto"/>
              <w:rPr>
                <w:rFonts w:ascii="Calibri" w:eastAsia="Calibri" w:hAnsi="Calibri" w:cs="Times New Roman"/>
              </w:rPr>
            </w:pPr>
          </w:p>
          <w:p w:rsidR="00CC2FB3" w:rsidRDefault="00CC2FB3" w:rsidP="00B90CFD">
            <w:pPr>
              <w:spacing w:line="360" w:lineRule="auto"/>
              <w:rPr>
                <w:b/>
              </w:rPr>
            </w:pPr>
          </w:p>
        </w:tc>
      </w:tr>
    </w:tbl>
    <w:p w:rsidR="00503D7E" w:rsidRPr="00B0415E" w:rsidRDefault="00503D7E" w:rsidP="00B90CFD">
      <w:pPr>
        <w:autoSpaceDE w:val="0"/>
        <w:autoSpaceDN w:val="0"/>
        <w:adjustRightInd w:val="0"/>
        <w:spacing w:after="0" w:line="360" w:lineRule="auto"/>
        <w:rPr>
          <w:rFonts w:cs="CalvertMT-Bold"/>
          <w:b/>
          <w:bCs/>
          <w:color w:val="002060"/>
          <w:sz w:val="28"/>
          <w:lang w:val="en-US"/>
        </w:rPr>
      </w:pPr>
    </w:p>
    <w:p w:rsidR="00FD39AB" w:rsidRDefault="00FD39AB" w:rsidP="00B90CFD">
      <w:pPr>
        <w:autoSpaceDE w:val="0"/>
        <w:autoSpaceDN w:val="0"/>
        <w:adjustRightInd w:val="0"/>
        <w:spacing w:after="0" w:line="360" w:lineRule="auto"/>
        <w:rPr>
          <w:rFonts w:cs="CalvertMT-Bold"/>
          <w:b/>
          <w:bCs/>
          <w:color w:val="002060"/>
          <w:sz w:val="28"/>
          <w:lang w:val="en-US"/>
        </w:rPr>
      </w:pPr>
    </w:p>
    <w:p w:rsidR="00FD39AB" w:rsidRDefault="00FD39AB" w:rsidP="00B90CFD">
      <w:pPr>
        <w:autoSpaceDE w:val="0"/>
        <w:autoSpaceDN w:val="0"/>
        <w:adjustRightInd w:val="0"/>
        <w:spacing w:after="0" w:line="360" w:lineRule="auto"/>
        <w:rPr>
          <w:rFonts w:cs="CalvertMT-Bold"/>
          <w:b/>
          <w:bCs/>
          <w:color w:val="002060"/>
          <w:sz w:val="28"/>
          <w:lang w:val="en-US"/>
        </w:rPr>
      </w:pPr>
    </w:p>
    <w:p w:rsidR="00FD39AB" w:rsidRDefault="00FD39AB" w:rsidP="00B90CFD">
      <w:pPr>
        <w:autoSpaceDE w:val="0"/>
        <w:autoSpaceDN w:val="0"/>
        <w:adjustRightInd w:val="0"/>
        <w:spacing w:after="0" w:line="360" w:lineRule="auto"/>
        <w:rPr>
          <w:rFonts w:cs="CalvertMT-Bold"/>
          <w:b/>
          <w:bCs/>
          <w:color w:val="002060"/>
          <w:sz w:val="28"/>
          <w:lang w:val="en-US"/>
        </w:rPr>
      </w:pPr>
    </w:p>
    <w:p w:rsidR="00A851DA" w:rsidRPr="00B0415E" w:rsidRDefault="00AE1481" w:rsidP="00B90CFD">
      <w:pPr>
        <w:autoSpaceDE w:val="0"/>
        <w:autoSpaceDN w:val="0"/>
        <w:adjustRightInd w:val="0"/>
        <w:spacing w:after="0" w:line="36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B90CFD">
      <w:pPr>
        <w:autoSpaceDE w:val="0"/>
        <w:autoSpaceDN w:val="0"/>
        <w:adjustRightInd w:val="0"/>
        <w:spacing w:after="0" w:line="360" w:lineRule="auto"/>
        <w:rPr>
          <w:rFonts w:cs="CalvertMT-Bold"/>
          <w:b/>
          <w:bCs/>
          <w:color w:val="001AE6"/>
          <w:lang w:val="en-US"/>
        </w:rPr>
      </w:pPr>
    </w:p>
    <w:p w:rsidR="00A851DA" w:rsidRPr="00B0415E" w:rsidRDefault="00405895" w:rsidP="00B90CFD">
      <w:pPr>
        <w:autoSpaceDE w:val="0"/>
        <w:autoSpaceDN w:val="0"/>
        <w:adjustRightInd w:val="0"/>
        <w:spacing w:after="0" w:line="36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B90CFD">
      <w:pPr>
        <w:autoSpaceDE w:val="0"/>
        <w:autoSpaceDN w:val="0"/>
        <w:adjustRightInd w:val="0"/>
        <w:spacing w:after="0" w:line="36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B90CFD">
            <w:pPr>
              <w:spacing w:line="360" w:lineRule="auto"/>
              <w:rPr>
                <w:rFonts w:cs="Bliss-Regular"/>
                <w:color w:val="000000"/>
              </w:rPr>
            </w:pPr>
            <w:r w:rsidRPr="00B0415E">
              <w:rPr>
                <w:rFonts w:cs="Bliss-Regular"/>
                <w:color w:val="000000"/>
              </w:rPr>
              <w:t>Student Signature</w:t>
            </w:r>
          </w:p>
        </w:tc>
        <w:tc>
          <w:tcPr>
            <w:tcW w:w="4035" w:type="dxa"/>
          </w:tcPr>
          <w:p w:rsidR="00405895" w:rsidRPr="00B90CFD" w:rsidRDefault="00B90CFD" w:rsidP="00B90CFD">
            <w:pPr>
              <w:spacing w:line="360" w:lineRule="auto"/>
              <w:rPr>
                <w:rFonts w:ascii="Freestyle Script" w:hAnsi="Freestyle Script" w:cs="Bliss-Regular"/>
                <w:color w:val="000000"/>
                <w:sz w:val="32"/>
                <w:szCs w:val="32"/>
              </w:rPr>
            </w:pPr>
            <w:r>
              <w:rPr>
                <w:rFonts w:ascii="Freestyle Script" w:hAnsi="Freestyle Script" w:cs="Bliss-Regular"/>
                <w:color w:val="000000"/>
                <w:sz w:val="32"/>
                <w:szCs w:val="32"/>
              </w:rPr>
              <w:t>Ellen T Spender</w:t>
            </w:r>
          </w:p>
        </w:tc>
        <w:tc>
          <w:tcPr>
            <w:tcW w:w="1276" w:type="dxa"/>
            <w:shd w:val="clear" w:color="auto" w:fill="D9D9D9" w:themeFill="background1" w:themeFillShade="D9"/>
          </w:tcPr>
          <w:p w:rsidR="00405895" w:rsidRPr="00B0415E" w:rsidRDefault="00405895" w:rsidP="00B90CFD">
            <w:pPr>
              <w:spacing w:line="360" w:lineRule="auto"/>
              <w:rPr>
                <w:rFonts w:cs="Bliss-Regular"/>
                <w:color w:val="000000"/>
              </w:rPr>
            </w:pPr>
            <w:r w:rsidRPr="00B0415E">
              <w:rPr>
                <w:rFonts w:cs="Bliss-Regular"/>
                <w:color w:val="000000"/>
              </w:rPr>
              <w:t>Date</w:t>
            </w:r>
          </w:p>
        </w:tc>
        <w:tc>
          <w:tcPr>
            <w:tcW w:w="1621" w:type="dxa"/>
          </w:tcPr>
          <w:p w:rsidR="00405895" w:rsidRPr="00B0415E" w:rsidRDefault="00794AB6" w:rsidP="00B90CFD">
            <w:pPr>
              <w:spacing w:line="360" w:lineRule="auto"/>
              <w:rPr>
                <w:rFonts w:cs="Bliss-Regular"/>
                <w:color w:val="000000"/>
              </w:rPr>
            </w:pPr>
            <w:r>
              <w:rPr>
                <w:rFonts w:cs="Bliss-Regular"/>
                <w:color w:val="000000"/>
              </w:rPr>
              <w:t>30</w:t>
            </w:r>
            <w:r w:rsidR="00FD39AB">
              <w:rPr>
                <w:rFonts w:cs="Bliss-Regular"/>
                <w:color w:val="000000"/>
              </w:rPr>
              <w:t>/</w:t>
            </w:r>
            <w:r w:rsidR="009C44DA">
              <w:rPr>
                <w:rFonts w:cs="Bliss-Regular"/>
                <w:color w:val="000000"/>
              </w:rPr>
              <w:t>11/2018</w:t>
            </w:r>
          </w:p>
        </w:tc>
      </w:tr>
    </w:tbl>
    <w:p w:rsidR="00A851DA" w:rsidRPr="00B0415E" w:rsidRDefault="00A851DA" w:rsidP="00B90CFD">
      <w:pPr>
        <w:spacing w:line="360" w:lineRule="auto"/>
        <w:rPr>
          <w:rFonts w:cs="Bliss-Regular"/>
          <w:color w:val="000000"/>
          <w:lang w:val="en-US"/>
        </w:rPr>
      </w:pPr>
    </w:p>
    <w:p w:rsidR="00A851DA" w:rsidRPr="00B0415E" w:rsidRDefault="00A851DA" w:rsidP="00B90CFD">
      <w:pPr>
        <w:spacing w:line="360" w:lineRule="auto"/>
        <w:rPr>
          <w:rFonts w:cs="Bliss-Regular"/>
          <w:color w:val="000000"/>
          <w:lang w:val="en-US"/>
        </w:rPr>
      </w:pPr>
    </w:p>
    <w:p w:rsidR="00A851DA" w:rsidRPr="00B0415E" w:rsidRDefault="00503D7E" w:rsidP="00B90CFD">
      <w:pPr>
        <w:shd w:val="clear" w:color="auto" w:fill="D9D9D9" w:themeFill="background1" w:themeFillShade="D9"/>
        <w:spacing w:line="360" w:lineRule="auto"/>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B90CFD">
            <w:pPr>
              <w:spacing w:line="360" w:lineRule="auto"/>
              <w:rPr>
                <w:b/>
                <w:color w:val="002060"/>
              </w:rPr>
            </w:pPr>
            <w:r w:rsidRPr="00B0415E">
              <w:rPr>
                <w:b/>
                <w:color w:val="002060"/>
              </w:rPr>
              <w:t>Total Marks</w:t>
            </w:r>
          </w:p>
        </w:tc>
        <w:tc>
          <w:tcPr>
            <w:tcW w:w="4621" w:type="dxa"/>
          </w:tcPr>
          <w:p w:rsidR="00503D7E" w:rsidRPr="00B0415E" w:rsidRDefault="00503D7E" w:rsidP="00B90CFD">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B90CFD">
            <w:pPr>
              <w:spacing w:line="360" w:lineRule="auto"/>
              <w:rPr>
                <w:b/>
                <w:color w:val="002060"/>
              </w:rPr>
            </w:pPr>
            <w:r w:rsidRPr="00B0415E">
              <w:rPr>
                <w:b/>
                <w:color w:val="002060"/>
              </w:rPr>
              <w:t>Marks Obtained</w:t>
            </w:r>
          </w:p>
        </w:tc>
        <w:tc>
          <w:tcPr>
            <w:tcW w:w="4621" w:type="dxa"/>
          </w:tcPr>
          <w:p w:rsidR="00503D7E" w:rsidRPr="00B0415E" w:rsidRDefault="00503D7E" w:rsidP="00B90CFD">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B90CFD">
            <w:pPr>
              <w:spacing w:line="360" w:lineRule="auto"/>
              <w:rPr>
                <w:b/>
                <w:color w:val="002060"/>
              </w:rPr>
            </w:pPr>
            <w:r w:rsidRPr="00B0415E">
              <w:rPr>
                <w:b/>
                <w:color w:val="002060"/>
              </w:rPr>
              <w:t>Percentage / Grade</w:t>
            </w:r>
          </w:p>
        </w:tc>
        <w:tc>
          <w:tcPr>
            <w:tcW w:w="4621" w:type="dxa"/>
          </w:tcPr>
          <w:p w:rsidR="00503D7E" w:rsidRPr="00B0415E" w:rsidRDefault="00503D7E" w:rsidP="00B90CFD">
            <w:pPr>
              <w:spacing w:line="360" w:lineRule="auto"/>
              <w:rPr>
                <w:rFonts w:cs="Times New Roman"/>
                <w:szCs w:val="32"/>
              </w:rPr>
            </w:pPr>
          </w:p>
        </w:tc>
      </w:tr>
    </w:tbl>
    <w:p w:rsidR="00A851DA" w:rsidRDefault="00A851DA"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607874" w:rsidRDefault="00607874" w:rsidP="00B90CFD">
      <w:pPr>
        <w:spacing w:line="360" w:lineRule="auto"/>
        <w:rPr>
          <w:rFonts w:cs="Times New Roman"/>
          <w:sz w:val="24"/>
          <w:szCs w:val="32"/>
        </w:rPr>
      </w:pPr>
    </w:p>
    <w:p w:rsidR="00EA30AB" w:rsidRDefault="00EA30AB" w:rsidP="00B90CFD">
      <w:pPr>
        <w:spacing w:line="360" w:lineRule="auto"/>
        <w:rPr>
          <w:rFonts w:cs="Times New Roman"/>
          <w:sz w:val="24"/>
          <w:szCs w:val="32"/>
        </w:rPr>
      </w:pPr>
    </w:p>
    <w:p w:rsidR="00EA30AB" w:rsidRDefault="00EA30AB" w:rsidP="00B90CFD">
      <w:pPr>
        <w:spacing w:line="360" w:lineRule="auto"/>
        <w:rPr>
          <w:rFonts w:cs="Times New Roman"/>
          <w:sz w:val="24"/>
          <w:szCs w:val="32"/>
        </w:rPr>
      </w:pPr>
    </w:p>
    <w:p w:rsidR="00EA30AB" w:rsidRPr="00B0415E" w:rsidRDefault="00EA30AB" w:rsidP="00B90CFD">
      <w:pPr>
        <w:spacing w:line="360" w:lineRule="auto"/>
        <w:rPr>
          <w:rFonts w:cs="Times New Roman"/>
          <w:sz w:val="24"/>
          <w:szCs w:val="32"/>
        </w:rPr>
      </w:pPr>
    </w:p>
    <w:p w:rsidR="00CD344A" w:rsidRPr="00B0415E" w:rsidRDefault="00CD344A">
      <w:pPr>
        <w:spacing w:line="360" w:lineRule="auto"/>
        <w:rPr>
          <w:rFonts w:cs="Times New Roman"/>
          <w:sz w:val="24"/>
          <w:szCs w:val="32"/>
        </w:rPr>
      </w:pPr>
    </w:p>
    <w:sectPr w:rsidR="00CD344A"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CFD" w:rsidRDefault="00B90CFD" w:rsidP="00B90CFD">
    <w:pPr>
      <w:pStyle w:val="Header"/>
      <w:jc w:val="right"/>
    </w:pPr>
    <w:r>
      <w:t>Ellen Spender</w:t>
    </w:r>
  </w:p>
  <w:p w:rsidR="00B90CFD" w:rsidRDefault="00B90CFD" w:rsidP="00B90CFD">
    <w:pPr>
      <w:pStyle w:val="Header"/>
      <w:jc w:val="right"/>
    </w:pPr>
    <w:r>
      <w:t>Student No:  25042</w:t>
    </w:r>
  </w:p>
  <w:p w:rsidR="00B90CFD" w:rsidRDefault="00497223" w:rsidP="00B90CFD">
    <w:pPr>
      <w:pStyle w:val="Header"/>
      <w:jc w:val="right"/>
    </w:pPr>
    <w:r>
      <w:t>Assignment Number: 4</w:t>
    </w:r>
  </w:p>
  <w:p w:rsidR="00B90CFD" w:rsidRDefault="00B90CFD" w:rsidP="00B90CFD">
    <w:pPr>
      <w:pStyle w:val="Header"/>
      <w:jc w:val="right"/>
    </w:pPr>
    <w:r>
      <w:t xml:space="preserve">Page </w:t>
    </w:r>
    <w:sdt>
      <w:sdtPr>
        <w:rPr>
          <w:noProof/>
        </w:rPr>
        <w:id w:val="-47998357"/>
        <w:docPartObj>
          <w:docPartGallery w:val="Page Numbers (Top of Page)"/>
          <w:docPartUnique/>
        </w:docPartObj>
      </w:sdtPr>
      <w:sdtEndPr/>
      <w:sdtContent>
        <w:r>
          <w:fldChar w:fldCharType="begin"/>
        </w:r>
        <w:r>
          <w:instrText xml:space="preserve"> PAGE   \* MERGEFORMAT </w:instrText>
        </w:r>
        <w:r>
          <w:fldChar w:fldCharType="separate"/>
        </w:r>
        <w:r w:rsidR="00EE7B72">
          <w:rPr>
            <w:noProof/>
          </w:rPr>
          <w:t>20</w:t>
        </w:r>
        <w:r>
          <w:rPr>
            <w:noProof/>
          </w:rPr>
          <w:fldChar w:fldCharType="end"/>
        </w:r>
      </w:sdtContent>
    </w:sdt>
  </w:p>
  <w:p w:rsidR="00B90CFD" w:rsidRDefault="00B90C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66C8C"/>
    <w:multiLevelType w:val="hybridMultilevel"/>
    <w:tmpl w:val="22D46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87756"/>
    <w:multiLevelType w:val="hybridMultilevel"/>
    <w:tmpl w:val="E38AD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1375E"/>
    <w:multiLevelType w:val="hybridMultilevel"/>
    <w:tmpl w:val="E2428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5C5647"/>
    <w:multiLevelType w:val="hybridMultilevel"/>
    <w:tmpl w:val="5C162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C9361D"/>
    <w:multiLevelType w:val="hybridMultilevel"/>
    <w:tmpl w:val="61B82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2383D"/>
    <w:multiLevelType w:val="hybridMultilevel"/>
    <w:tmpl w:val="9110B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E4054D"/>
    <w:multiLevelType w:val="hybridMultilevel"/>
    <w:tmpl w:val="34C26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497E7A"/>
    <w:multiLevelType w:val="hybridMultilevel"/>
    <w:tmpl w:val="A7D6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9A7467"/>
    <w:multiLevelType w:val="hybridMultilevel"/>
    <w:tmpl w:val="DE82B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CC009F"/>
    <w:multiLevelType w:val="hybridMultilevel"/>
    <w:tmpl w:val="152A7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DA0700"/>
    <w:multiLevelType w:val="hybridMultilevel"/>
    <w:tmpl w:val="6AF4A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7B0F90"/>
    <w:multiLevelType w:val="hybridMultilevel"/>
    <w:tmpl w:val="98CC5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EC1866"/>
    <w:multiLevelType w:val="hybridMultilevel"/>
    <w:tmpl w:val="9176F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57690C"/>
    <w:multiLevelType w:val="hybridMultilevel"/>
    <w:tmpl w:val="64FA2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5F7848"/>
    <w:multiLevelType w:val="hybridMultilevel"/>
    <w:tmpl w:val="64906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B54FD5"/>
    <w:multiLevelType w:val="hybridMultilevel"/>
    <w:tmpl w:val="C0143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3ED1855"/>
    <w:multiLevelType w:val="hybridMultilevel"/>
    <w:tmpl w:val="0F92C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5428DB"/>
    <w:multiLevelType w:val="hybridMultilevel"/>
    <w:tmpl w:val="1BE6A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083EAE"/>
    <w:multiLevelType w:val="hybridMultilevel"/>
    <w:tmpl w:val="B7386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1A712A"/>
    <w:multiLevelType w:val="hybridMultilevel"/>
    <w:tmpl w:val="3E4EC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C8103C"/>
    <w:multiLevelType w:val="hybridMultilevel"/>
    <w:tmpl w:val="1EE2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17"/>
  </w:num>
  <w:num w:numId="4">
    <w:abstractNumId w:val="8"/>
  </w:num>
  <w:num w:numId="5">
    <w:abstractNumId w:val="15"/>
  </w:num>
  <w:num w:numId="6">
    <w:abstractNumId w:val="18"/>
  </w:num>
  <w:num w:numId="7">
    <w:abstractNumId w:val="5"/>
  </w:num>
  <w:num w:numId="8">
    <w:abstractNumId w:val="1"/>
  </w:num>
  <w:num w:numId="9">
    <w:abstractNumId w:val="13"/>
  </w:num>
  <w:num w:numId="10">
    <w:abstractNumId w:val="19"/>
  </w:num>
  <w:num w:numId="11">
    <w:abstractNumId w:val="21"/>
  </w:num>
  <w:num w:numId="12">
    <w:abstractNumId w:val="10"/>
  </w:num>
  <w:num w:numId="13">
    <w:abstractNumId w:val="6"/>
  </w:num>
  <w:num w:numId="14">
    <w:abstractNumId w:val="9"/>
  </w:num>
  <w:num w:numId="15">
    <w:abstractNumId w:val="2"/>
  </w:num>
  <w:num w:numId="16">
    <w:abstractNumId w:val="4"/>
  </w:num>
  <w:num w:numId="17">
    <w:abstractNumId w:val="0"/>
  </w:num>
  <w:num w:numId="18">
    <w:abstractNumId w:val="20"/>
  </w:num>
  <w:num w:numId="19">
    <w:abstractNumId w:val="7"/>
  </w:num>
  <w:num w:numId="20">
    <w:abstractNumId w:val="11"/>
  </w:num>
  <w:num w:numId="21">
    <w:abstractNumId w:val="3"/>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28B0"/>
    <w:rsid w:val="002B573D"/>
    <w:rsid w:val="002C5CB2"/>
    <w:rsid w:val="002F779F"/>
    <w:rsid w:val="00371885"/>
    <w:rsid w:val="003E2B87"/>
    <w:rsid w:val="00402786"/>
    <w:rsid w:val="00405895"/>
    <w:rsid w:val="004058DF"/>
    <w:rsid w:val="00443E6F"/>
    <w:rsid w:val="00486F1A"/>
    <w:rsid w:val="00490CB9"/>
    <w:rsid w:val="00497223"/>
    <w:rsid w:val="004A2CE2"/>
    <w:rsid w:val="004E3CDA"/>
    <w:rsid w:val="004F4B4D"/>
    <w:rsid w:val="0050216D"/>
    <w:rsid w:val="00503D7E"/>
    <w:rsid w:val="0050778F"/>
    <w:rsid w:val="00527C11"/>
    <w:rsid w:val="00535F31"/>
    <w:rsid w:val="00561A81"/>
    <w:rsid w:val="00574D64"/>
    <w:rsid w:val="00591365"/>
    <w:rsid w:val="005B31E4"/>
    <w:rsid w:val="006034F6"/>
    <w:rsid w:val="00607874"/>
    <w:rsid w:val="00607E77"/>
    <w:rsid w:val="00617BB3"/>
    <w:rsid w:val="00645CDD"/>
    <w:rsid w:val="006823A7"/>
    <w:rsid w:val="00687EE8"/>
    <w:rsid w:val="0070347F"/>
    <w:rsid w:val="0070678E"/>
    <w:rsid w:val="00794AB6"/>
    <w:rsid w:val="007F7D86"/>
    <w:rsid w:val="00831C11"/>
    <w:rsid w:val="008A60B4"/>
    <w:rsid w:val="008B3C31"/>
    <w:rsid w:val="008B64FE"/>
    <w:rsid w:val="00935BF7"/>
    <w:rsid w:val="0095442C"/>
    <w:rsid w:val="009734F6"/>
    <w:rsid w:val="00983942"/>
    <w:rsid w:val="009C37E0"/>
    <w:rsid w:val="009C44DA"/>
    <w:rsid w:val="009E41F4"/>
    <w:rsid w:val="00A14B66"/>
    <w:rsid w:val="00A65CF7"/>
    <w:rsid w:val="00A81AB4"/>
    <w:rsid w:val="00A851DA"/>
    <w:rsid w:val="00AC7D5B"/>
    <w:rsid w:val="00AE1481"/>
    <w:rsid w:val="00B0415E"/>
    <w:rsid w:val="00B04678"/>
    <w:rsid w:val="00B6721D"/>
    <w:rsid w:val="00B90CFD"/>
    <w:rsid w:val="00BC46DF"/>
    <w:rsid w:val="00C03577"/>
    <w:rsid w:val="00C53029"/>
    <w:rsid w:val="00C65FEA"/>
    <w:rsid w:val="00CA0AC2"/>
    <w:rsid w:val="00CB4D0A"/>
    <w:rsid w:val="00CC2FB3"/>
    <w:rsid w:val="00CC575A"/>
    <w:rsid w:val="00CD344A"/>
    <w:rsid w:val="00CF123B"/>
    <w:rsid w:val="00D01E92"/>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0895"/>
    <w:rsid w:val="00EE7B72"/>
    <w:rsid w:val="00F96EB3"/>
    <w:rsid w:val="00FD39A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41B37694-6977-4EBA-88AD-3C8799E1F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7D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358706">
      <w:bodyDiv w:val="1"/>
      <w:marLeft w:val="0"/>
      <w:marRight w:val="0"/>
      <w:marTop w:val="0"/>
      <w:marBottom w:val="0"/>
      <w:divBdr>
        <w:top w:val="none" w:sz="0" w:space="0" w:color="auto"/>
        <w:left w:val="none" w:sz="0" w:space="0" w:color="auto"/>
        <w:bottom w:val="none" w:sz="0" w:space="0" w:color="auto"/>
        <w:right w:val="none" w:sz="0" w:space="0" w:color="auto"/>
      </w:divBdr>
    </w:div>
    <w:div w:id="1434128465">
      <w:bodyDiv w:val="1"/>
      <w:marLeft w:val="0"/>
      <w:marRight w:val="0"/>
      <w:marTop w:val="0"/>
      <w:marBottom w:val="0"/>
      <w:divBdr>
        <w:top w:val="none" w:sz="0" w:space="0" w:color="auto"/>
        <w:left w:val="none" w:sz="0" w:space="0" w:color="auto"/>
        <w:bottom w:val="none" w:sz="0" w:space="0" w:color="auto"/>
        <w:right w:val="none" w:sz="0" w:space="0" w:color="auto"/>
      </w:divBdr>
    </w:div>
    <w:div w:id="1610159215">
      <w:bodyDiv w:val="1"/>
      <w:marLeft w:val="0"/>
      <w:marRight w:val="0"/>
      <w:marTop w:val="0"/>
      <w:marBottom w:val="0"/>
      <w:divBdr>
        <w:top w:val="none" w:sz="0" w:space="0" w:color="auto"/>
        <w:left w:val="none" w:sz="0" w:space="0" w:color="auto"/>
        <w:bottom w:val="none" w:sz="0" w:space="0" w:color="auto"/>
        <w:right w:val="none" w:sz="0" w:space="0" w:color="auto"/>
      </w:divBdr>
    </w:div>
    <w:div w:id="18381118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icpa.org/Research/Standards/AuditAttest/DownloadableDocuments/AU-003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07153-FA72-45FA-B5E9-A6E424C20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4720</Words>
  <Characters>26906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Ellen</cp:lastModifiedBy>
  <cp:revision>4</cp:revision>
  <dcterms:created xsi:type="dcterms:W3CDTF">2018-11-30T16:36:00Z</dcterms:created>
  <dcterms:modified xsi:type="dcterms:W3CDTF">2018-11-30T16:49:00Z</dcterms:modified>
</cp:coreProperties>
</file>