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33E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502DB6" w:rsidRDefault="00502DB6" w:rsidP="00405895">
                  <w:pPr>
                    <w:jc w:val="center"/>
                    <w:rPr>
                      <w:b/>
                      <w:bCs/>
                      <w:color w:val="002060"/>
                      <w:sz w:val="44"/>
                      <w:szCs w:val="40"/>
                    </w:rPr>
                  </w:pPr>
                  <w:r>
                    <w:rPr>
                      <w:sz w:val="24"/>
                    </w:rPr>
                    <w:t xml:space="preserve">   </w:t>
                  </w:r>
                  <w:r>
                    <w:rPr>
                      <w:b/>
                      <w:bCs/>
                      <w:color w:val="002060"/>
                      <w:sz w:val="44"/>
                      <w:szCs w:val="40"/>
                    </w:rPr>
                    <w:t>Assignment Cover Sheet</w:t>
                  </w:r>
                </w:p>
                <w:p w:rsidR="00502DB6" w:rsidRDefault="00502DB6"/>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02DB6" w:rsidRDefault="00502DB6">
            <w:pPr>
              <w:pStyle w:val="Default"/>
              <w:rPr>
                <w:rFonts w:ascii="Arial" w:hAnsi="Arial" w:cs="Arial"/>
              </w:rPr>
            </w:pPr>
            <w:r w:rsidRPr="00502DB6">
              <w:rPr>
                <w:rFonts w:ascii="Arial" w:hAnsi="Arial" w:cs="Arial"/>
              </w:rPr>
              <w:t>Garth Bertrand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2DB6">
            <w:pPr>
              <w:pStyle w:val="Default"/>
              <w:rPr>
                <w:rFonts w:asciiTheme="minorHAnsi" w:hAnsiTheme="minorHAnsi"/>
              </w:rPr>
            </w:pPr>
            <w:r>
              <w:rPr>
                <w:rFonts w:asciiTheme="minorHAnsi" w:hAnsiTheme="minorHAnsi"/>
              </w:rPr>
              <w:t>10809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2DB6">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2DB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502DB6" w:rsidRDefault="00502DB6" w:rsidP="00502DB6">
            <w:pPr>
              <w:spacing w:line="360" w:lineRule="auto"/>
              <w:rPr>
                <w:rFonts w:ascii="Arial" w:hAnsi="Arial" w:cs="Arial"/>
                <w:sz w:val="24"/>
              </w:rPr>
            </w:pPr>
            <w:r>
              <w:rPr>
                <w:rFonts w:ascii="Arial" w:hAnsi="Arial" w:cs="Arial"/>
                <w:sz w:val="24"/>
              </w:rPr>
              <w:t>With respect to the following questions and the case posed, one responded as follows:</w:t>
            </w:r>
          </w:p>
          <w:p w:rsidR="00502DB6" w:rsidRDefault="00502DB6" w:rsidP="00502DB6">
            <w:pPr>
              <w:pStyle w:val="ListParagraph"/>
              <w:numPr>
                <w:ilvl w:val="0"/>
                <w:numId w:val="2"/>
              </w:numPr>
              <w:spacing w:line="360" w:lineRule="auto"/>
              <w:rPr>
                <w:rFonts w:ascii="Arial" w:hAnsi="Arial" w:cs="Arial"/>
                <w:sz w:val="24"/>
              </w:rPr>
            </w:pPr>
          </w:p>
          <w:p w:rsidR="00502DB6" w:rsidRDefault="00502DB6" w:rsidP="00502DB6">
            <w:pPr>
              <w:pStyle w:val="ListParagraph"/>
              <w:numPr>
                <w:ilvl w:val="1"/>
                <w:numId w:val="2"/>
              </w:numPr>
              <w:spacing w:line="360" w:lineRule="auto"/>
              <w:rPr>
                <w:rFonts w:ascii="Arial" w:hAnsi="Arial" w:cs="Arial"/>
                <w:sz w:val="24"/>
              </w:rPr>
            </w:pPr>
            <w:r>
              <w:rPr>
                <w:rFonts w:ascii="Arial" w:hAnsi="Arial" w:cs="Arial"/>
                <w:sz w:val="24"/>
              </w:rPr>
              <w:t>For a given economy, one is the sound opinion that the way in which the negative effects of crime would influence it is in the fact that both the public and private sector of that economy would have to spend more monies to ensure the safety of its citizens, or to avoid incurring huge amounts of losses.</w:t>
            </w:r>
          </w:p>
          <w:p w:rsidR="00502DB6" w:rsidRDefault="00502DB6" w:rsidP="00502DB6">
            <w:pPr>
              <w:pStyle w:val="ListParagraph"/>
              <w:spacing w:line="360" w:lineRule="auto"/>
              <w:rPr>
                <w:rFonts w:ascii="Arial" w:hAnsi="Arial" w:cs="Arial"/>
                <w:sz w:val="24"/>
              </w:rPr>
            </w:pPr>
          </w:p>
          <w:p w:rsidR="00502DB6" w:rsidRDefault="00502DB6" w:rsidP="00502DB6">
            <w:pPr>
              <w:pStyle w:val="ListParagraph"/>
              <w:numPr>
                <w:ilvl w:val="1"/>
                <w:numId w:val="2"/>
              </w:numPr>
              <w:spacing w:line="360" w:lineRule="auto"/>
              <w:rPr>
                <w:rFonts w:ascii="Arial" w:hAnsi="Arial" w:cs="Arial"/>
                <w:sz w:val="24"/>
              </w:rPr>
            </w:pPr>
            <w:r>
              <w:rPr>
                <w:rFonts w:ascii="Arial" w:hAnsi="Arial" w:cs="Arial"/>
                <w:sz w:val="24"/>
              </w:rPr>
              <w:t xml:space="preserve">With regard as how crime cost the economy and tax payers is evident in the monies spent on security by both the public and private sector on one hand, and the payment by victims of crime in medical/psychological recovery. Thus for example, in my jurisdiction of Trinidad and Tobago, the People’s National Movement (PNM) has allocated $10.8bn TTD to the Ministry of National Security </w:t>
            </w:r>
            <w:sdt>
              <w:sdtPr>
                <w:rPr>
                  <w:rFonts w:ascii="Arial" w:hAnsi="Arial" w:cs="Arial"/>
                  <w:sz w:val="24"/>
                </w:rPr>
                <w:id w:val="229692809"/>
                <w:citation/>
              </w:sdtPr>
              <w:sdtContent>
                <w:r>
                  <w:rPr>
                    <w:rFonts w:ascii="Arial" w:hAnsi="Arial" w:cs="Arial"/>
                    <w:sz w:val="24"/>
                  </w:rPr>
                  <w:fldChar w:fldCharType="begin"/>
                </w:r>
                <w:r>
                  <w:rPr>
                    <w:rFonts w:ascii="Arial" w:hAnsi="Arial" w:cs="Arial"/>
                    <w:sz w:val="24"/>
                  </w:rPr>
                  <w:instrText xml:space="preserve"> CITATION Sus15 \l 1033 </w:instrText>
                </w:r>
                <w:r>
                  <w:rPr>
                    <w:rFonts w:ascii="Arial" w:hAnsi="Arial" w:cs="Arial"/>
                    <w:sz w:val="24"/>
                  </w:rPr>
                  <w:fldChar w:fldCharType="separate"/>
                </w:r>
                <w:r w:rsidRPr="004F2040">
                  <w:rPr>
                    <w:rFonts w:ascii="Arial" w:hAnsi="Arial" w:cs="Arial"/>
                    <w:noProof/>
                    <w:sz w:val="24"/>
                  </w:rPr>
                  <w:t>(Mohammed, 2015)</w:t>
                </w:r>
                <w:r>
                  <w:rPr>
                    <w:rFonts w:ascii="Arial" w:hAnsi="Arial" w:cs="Arial"/>
                    <w:sz w:val="24"/>
                  </w:rPr>
                  <w:fldChar w:fldCharType="end"/>
                </w:r>
              </w:sdtContent>
            </w:sdt>
            <w:r>
              <w:rPr>
                <w:rFonts w:ascii="Arial" w:hAnsi="Arial" w:cs="Arial"/>
                <w:sz w:val="24"/>
              </w:rPr>
              <w:t xml:space="preserve"> so as to implement new measures to deal with </w:t>
            </w:r>
            <w:r>
              <w:rPr>
                <w:rFonts w:ascii="Arial" w:hAnsi="Arial" w:cs="Arial"/>
                <w:sz w:val="24"/>
              </w:rPr>
              <w:lastRenderedPageBreak/>
              <w:t>criminal activity, and in most homes and business, business owners and tax payers alike have CCTV cameras and additional security.</w:t>
            </w:r>
          </w:p>
          <w:p w:rsidR="00502DB6" w:rsidRPr="004B67BE" w:rsidRDefault="00502DB6" w:rsidP="00502DB6">
            <w:pPr>
              <w:pStyle w:val="ListParagraph"/>
              <w:rPr>
                <w:rFonts w:ascii="Arial" w:hAnsi="Arial" w:cs="Arial"/>
                <w:sz w:val="24"/>
              </w:rPr>
            </w:pPr>
          </w:p>
          <w:p w:rsidR="00502DB6" w:rsidRDefault="00502DB6" w:rsidP="00502DB6">
            <w:pPr>
              <w:pStyle w:val="ListParagraph"/>
              <w:numPr>
                <w:ilvl w:val="1"/>
                <w:numId w:val="2"/>
              </w:numPr>
              <w:spacing w:line="360" w:lineRule="auto"/>
              <w:rPr>
                <w:rFonts w:ascii="Arial" w:hAnsi="Arial" w:cs="Arial"/>
                <w:sz w:val="24"/>
              </w:rPr>
            </w:pPr>
            <w:r>
              <w:rPr>
                <w:rFonts w:ascii="Arial" w:hAnsi="Arial" w:cs="Arial"/>
                <w:sz w:val="24"/>
              </w:rPr>
              <w:t>According to Find Law, arson can be defined as the “willful and malicious burning or charring of property”</w:t>
            </w:r>
            <w:r>
              <w:rPr>
                <w:rFonts w:ascii="Arial" w:hAnsi="Arial" w:cs="Arial"/>
                <w:noProof/>
                <w:sz w:val="24"/>
              </w:rPr>
              <w:t xml:space="preserve"> </w:t>
            </w:r>
            <w:r w:rsidRPr="000C175E">
              <w:rPr>
                <w:rFonts w:ascii="Arial" w:hAnsi="Arial" w:cs="Arial"/>
                <w:noProof/>
                <w:sz w:val="24"/>
              </w:rPr>
              <w:t>(Arson, 2013</w:t>
            </w:r>
            <w:r>
              <w:rPr>
                <w:rFonts w:ascii="Arial" w:hAnsi="Arial" w:cs="Arial"/>
                <w:noProof/>
                <w:sz w:val="24"/>
              </w:rPr>
              <w:t>, para.1</w:t>
            </w:r>
            <w:r w:rsidRPr="000C175E">
              <w:rPr>
                <w:rFonts w:ascii="Arial" w:hAnsi="Arial" w:cs="Arial"/>
                <w:noProof/>
                <w:sz w:val="24"/>
              </w:rPr>
              <w:t>)</w:t>
            </w:r>
            <w:r>
              <w:rPr>
                <w:rFonts w:ascii="Arial" w:hAnsi="Arial" w:cs="Arial"/>
                <w:sz w:val="24"/>
              </w:rPr>
              <w:t>.</w:t>
            </w:r>
          </w:p>
          <w:p w:rsidR="00502DB6" w:rsidRPr="000C175E" w:rsidRDefault="00502DB6" w:rsidP="00502DB6">
            <w:pPr>
              <w:pStyle w:val="ListParagraph"/>
              <w:rPr>
                <w:rFonts w:ascii="Arial" w:hAnsi="Arial" w:cs="Arial"/>
                <w:sz w:val="24"/>
              </w:rPr>
            </w:pPr>
          </w:p>
          <w:p w:rsidR="00502DB6" w:rsidRDefault="00502DB6" w:rsidP="00502DB6">
            <w:pPr>
              <w:pStyle w:val="ListParagraph"/>
              <w:numPr>
                <w:ilvl w:val="1"/>
                <w:numId w:val="2"/>
              </w:numPr>
              <w:spacing w:line="360" w:lineRule="auto"/>
              <w:rPr>
                <w:rFonts w:ascii="Arial" w:hAnsi="Arial" w:cs="Arial"/>
                <w:sz w:val="24"/>
              </w:rPr>
            </w:pPr>
            <w:r>
              <w:rPr>
                <w:rFonts w:ascii="Arial" w:hAnsi="Arial" w:cs="Arial"/>
                <w:sz w:val="24"/>
              </w:rPr>
              <w:t xml:space="preserve">According to International Compliance Association in their article, What is money Laundering?, “money laundering is the generic term used to describe the process by which criminals disguise the original ownership and control of the proceeds of criminal conduct by making such proceeds appear to have derived from a legitimate source” </w:t>
            </w:r>
            <w:sdt>
              <w:sdtPr>
                <w:rPr>
                  <w:rFonts w:ascii="Arial" w:hAnsi="Arial" w:cs="Arial"/>
                  <w:sz w:val="24"/>
                </w:rPr>
                <w:id w:val="229692812"/>
                <w:citation/>
              </w:sdtPr>
              <w:sdtContent>
                <w:r>
                  <w:rPr>
                    <w:rFonts w:ascii="Arial" w:hAnsi="Arial" w:cs="Arial"/>
                    <w:sz w:val="24"/>
                  </w:rPr>
                  <w:fldChar w:fldCharType="begin"/>
                </w:r>
                <w:r>
                  <w:rPr>
                    <w:rFonts w:ascii="Arial" w:hAnsi="Arial" w:cs="Arial"/>
                    <w:sz w:val="24"/>
                  </w:rPr>
                  <w:instrText xml:space="preserve"> CITATION Wha \l 1033 </w:instrText>
                </w:r>
                <w:r>
                  <w:rPr>
                    <w:rFonts w:ascii="Arial" w:hAnsi="Arial" w:cs="Arial"/>
                    <w:sz w:val="24"/>
                  </w:rPr>
                  <w:fldChar w:fldCharType="separate"/>
                </w:r>
                <w:r w:rsidRPr="004F2040">
                  <w:rPr>
                    <w:rFonts w:ascii="Arial" w:hAnsi="Arial" w:cs="Arial"/>
                    <w:noProof/>
                    <w:sz w:val="24"/>
                  </w:rPr>
                  <w:t>(What is Money Laundering)</w:t>
                </w:r>
                <w:r>
                  <w:rPr>
                    <w:rFonts w:ascii="Arial" w:hAnsi="Arial" w:cs="Arial"/>
                    <w:sz w:val="24"/>
                  </w:rPr>
                  <w:fldChar w:fldCharType="end"/>
                </w:r>
              </w:sdtContent>
            </w:sdt>
            <w:r>
              <w:rPr>
                <w:rFonts w:ascii="Arial" w:hAnsi="Arial" w:cs="Arial"/>
                <w:sz w:val="24"/>
              </w:rPr>
              <w:t>; and, according to one’s class notes, some activities that would encompass money laundering are:</w:t>
            </w:r>
          </w:p>
          <w:p w:rsidR="00502DB6" w:rsidRPr="003006B1" w:rsidRDefault="00502DB6" w:rsidP="00502DB6">
            <w:pPr>
              <w:pStyle w:val="ListParagraph"/>
              <w:rPr>
                <w:rFonts w:ascii="Arial" w:hAnsi="Arial" w:cs="Arial"/>
                <w:sz w:val="24"/>
              </w:rPr>
            </w:pPr>
          </w:p>
          <w:p w:rsidR="00502DB6" w:rsidRDefault="00502DB6" w:rsidP="00502DB6">
            <w:pPr>
              <w:pStyle w:val="ListParagraph"/>
              <w:numPr>
                <w:ilvl w:val="2"/>
                <w:numId w:val="2"/>
              </w:numPr>
              <w:spacing w:line="360" w:lineRule="auto"/>
              <w:rPr>
                <w:rFonts w:ascii="Arial" w:hAnsi="Arial" w:cs="Arial"/>
                <w:sz w:val="24"/>
              </w:rPr>
            </w:pPr>
            <w:r>
              <w:rPr>
                <w:rFonts w:ascii="Arial" w:hAnsi="Arial" w:cs="Arial"/>
                <w:sz w:val="24"/>
              </w:rPr>
              <w:t>Transfer of money and other monetary instruments to and from overseas</w:t>
            </w:r>
          </w:p>
          <w:p w:rsidR="00502DB6" w:rsidRDefault="00502DB6" w:rsidP="00502DB6">
            <w:pPr>
              <w:pStyle w:val="ListParagraph"/>
              <w:numPr>
                <w:ilvl w:val="2"/>
                <w:numId w:val="2"/>
              </w:numPr>
              <w:spacing w:line="360" w:lineRule="auto"/>
              <w:rPr>
                <w:rFonts w:ascii="Arial" w:hAnsi="Arial" w:cs="Arial"/>
                <w:sz w:val="24"/>
              </w:rPr>
            </w:pPr>
            <w:r>
              <w:rPr>
                <w:rFonts w:ascii="Arial" w:hAnsi="Arial" w:cs="Arial"/>
                <w:sz w:val="24"/>
              </w:rPr>
              <w:t>Monies received from illegal activities – e.g. from the selling and trafficking of drugs</w:t>
            </w:r>
          </w:p>
          <w:p w:rsidR="00502DB6" w:rsidRDefault="00502DB6" w:rsidP="00502DB6">
            <w:pPr>
              <w:pStyle w:val="ListParagraph"/>
              <w:numPr>
                <w:ilvl w:val="2"/>
                <w:numId w:val="2"/>
              </w:numPr>
              <w:spacing w:line="360" w:lineRule="auto"/>
              <w:rPr>
                <w:rFonts w:ascii="Arial" w:hAnsi="Arial" w:cs="Arial"/>
                <w:sz w:val="24"/>
              </w:rPr>
            </w:pPr>
            <w:r>
              <w:rPr>
                <w:rFonts w:ascii="Arial" w:hAnsi="Arial" w:cs="Arial"/>
                <w:sz w:val="24"/>
              </w:rPr>
              <w:t>Purchase of intangible and tangible products or services with large sums of cash.</w:t>
            </w:r>
            <w:r>
              <w:rPr>
                <w:rFonts w:ascii="Arial" w:hAnsi="Arial" w:cs="Arial"/>
                <w:noProof/>
                <w:sz w:val="24"/>
              </w:rPr>
              <w:t xml:space="preserve"> </w:t>
            </w:r>
            <w:r w:rsidRPr="0007288A">
              <w:rPr>
                <w:rFonts w:ascii="Arial" w:hAnsi="Arial" w:cs="Arial"/>
                <w:noProof/>
                <w:sz w:val="24"/>
              </w:rPr>
              <w:t>(College, 2017</w:t>
            </w:r>
            <w:r>
              <w:rPr>
                <w:rFonts w:ascii="Arial" w:hAnsi="Arial" w:cs="Arial"/>
                <w:noProof/>
                <w:sz w:val="24"/>
              </w:rPr>
              <w:t>, p.10</w:t>
            </w:r>
            <w:r w:rsidRPr="0007288A">
              <w:rPr>
                <w:rFonts w:ascii="Arial" w:hAnsi="Arial" w:cs="Arial"/>
                <w:noProof/>
                <w:sz w:val="24"/>
              </w:rPr>
              <w:t>)</w:t>
            </w:r>
          </w:p>
          <w:p w:rsidR="00502DB6" w:rsidRDefault="00502DB6" w:rsidP="00502DB6">
            <w:pPr>
              <w:pStyle w:val="ListParagraph"/>
              <w:numPr>
                <w:ilvl w:val="0"/>
                <w:numId w:val="2"/>
              </w:numPr>
              <w:spacing w:line="360" w:lineRule="auto"/>
              <w:rPr>
                <w:rFonts w:ascii="Arial" w:hAnsi="Arial" w:cs="Arial"/>
                <w:sz w:val="24"/>
              </w:rPr>
            </w:pPr>
            <w:r w:rsidRPr="00C15FA1">
              <w:rPr>
                <w:rFonts w:ascii="Arial" w:hAnsi="Arial" w:cs="Arial"/>
                <w:sz w:val="24"/>
              </w:rPr>
              <w:t>On the other hand, embezzlement is a criminal act perpetrated by the employee of an organization</w:t>
            </w:r>
            <w:r w:rsidRPr="00C15FA1">
              <w:rPr>
                <w:rFonts w:ascii="Arial" w:hAnsi="Arial" w:cs="Arial"/>
                <w:noProof/>
                <w:sz w:val="24"/>
              </w:rPr>
              <w:t xml:space="preserve"> (College, 2017, p.7)</w:t>
            </w:r>
            <w:r w:rsidRPr="00C15FA1">
              <w:rPr>
                <w:rFonts w:ascii="Arial" w:hAnsi="Arial" w:cs="Arial"/>
                <w:sz w:val="24"/>
              </w:rPr>
              <w:t xml:space="preserve">, and </w:t>
            </w:r>
            <w:r>
              <w:rPr>
                <w:rFonts w:ascii="Arial" w:hAnsi="Arial" w:cs="Arial"/>
                <w:sz w:val="24"/>
              </w:rPr>
              <w:t xml:space="preserve">it is considered a financial crime as the intent of the prospect is to defraud the company of vast sums of money in most cases though it can also be company assets. According to Cornell Law School, embezzlement is the “fraudulent taking of personal property by someone to whom it is entrusted” (Embezzlement, para.1); it is often associated with the misappropriation of money and it can happen irrespective of whether the perpetrator “keeps the personal property or transfer it to a third party” </w:t>
            </w:r>
            <w:r w:rsidRPr="004223D6">
              <w:rPr>
                <w:rFonts w:ascii="Arial" w:hAnsi="Arial" w:cs="Arial"/>
                <w:noProof/>
                <w:sz w:val="24"/>
              </w:rPr>
              <w:t>(Embezzlement</w:t>
            </w:r>
            <w:r>
              <w:rPr>
                <w:rFonts w:ascii="Arial" w:hAnsi="Arial" w:cs="Arial"/>
                <w:noProof/>
                <w:sz w:val="24"/>
              </w:rPr>
              <w:t>, para.1</w:t>
            </w:r>
            <w:r w:rsidRPr="004223D6">
              <w:rPr>
                <w:rFonts w:ascii="Arial" w:hAnsi="Arial" w:cs="Arial"/>
                <w:noProof/>
                <w:sz w:val="24"/>
              </w:rPr>
              <w:t>)</w:t>
            </w:r>
            <w:r>
              <w:rPr>
                <w:rFonts w:ascii="Arial" w:hAnsi="Arial" w:cs="Arial"/>
                <w:noProof/>
                <w:sz w:val="24"/>
              </w:rPr>
              <w:t xml:space="preserve">. One classical example of this can be an employee of particualr firm staging a fake robbery of companies goods when in fact the goods were not stolen but was chanelled to some location until insurance claims are applied for the loss. He or she can then sell the goods for money. Thus a fiancial crime as the company has lost </w:t>
            </w:r>
            <w:r>
              <w:rPr>
                <w:rFonts w:ascii="Arial" w:hAnsi="Arial" w:cs="Arial"/>
                <w:noProof/>
                <w:sz w:val="24"/>
              </w:rPr>
              <w:lastRenderedPageBreak/>
              <w:t>out on a sale of those assets are supposedly stolen.</w:t>
            </w:r>
          </w:p>
          <w:p w:rsidR="00502DB6" w:rsidRDefault="00502DB6" w:rsidP="00502DB6">
            <w:pPr>
              <w:pStyle w:val="ListParagraph"/>
              <w:numPr>
                <w:ilvl w:val="0"/>
                <w:numId w:val="2"/>
              </w:numPr>
              <w:spacing w:line="360" w:lineRule="auto"/>
              <w:rPr>
                <w:rFonts w:ascii="Arial" w:hAnsi="Arial" w:cs="Arial"/>
                <w:sz w:val="24"/>
              </w:rPr>
            </w:pPr>
            <w:r>
              <w:rPr>
                <w:rFonts w:ascii="Arial" w:hAnsi="Arial" w:cs="Arial"/>
                <w:sz w:val="24"/>
              </w:rPr>
              <w:t>In regards to Forgery, it, examiner according to one’s lecture notes is “the deceitful making or material modification of any writing with the intention to deceive or harm another person’s rights”</w:t>
            </w:r>
            <w:r>
              <w:rPr>
                <w:rFonts w:ascii="Arial" w:hAnsi="Arial" w:cs="Arial"/>
                <w:noProof/>
                <w:sz w:val="24"/>
              </w:rPr>
              <w:t xml:space="preserve"> </w:t>
            </w:r>
            <w:r w:rsidRPr="006503B7">
              <w:rPr>
                <w:rFonts w:ascii="Arial" w:hAnsi="Arial" w:cs="Arial"/>
                <w:noProof/>
                <w:sz w:val="24"/>
              </w:rPr>
              <w:t>(College, 2017</w:t>
            </w:r>
            <w:r>
              <w:rPr>
                <w:rFonts w:ascii="Arial" w:hAnsi="Arial" w:cs="Arial"/>
                <w:noProof/>
                <w:sz w:val="24"/>
              </w:rPr>
              <w:t>, p.8</w:t>
            </w:r>
            <w:r w:rsidRPr="006503B7">
              <w:rPr>
                <w:rFonts w:ascii="Arial" w:hAnsi="Arial" w:cs="Arial"/>
                <w:noProof/>
                <w:sz w:val="24"/>
              </w:rPr>
              <w:t>)</w:t>
            </w:r>
            <w:r>
              <w:rPr>
                <w:rFonts w:ascii="Arial" w:hAnsi="Arial" w:cs="Arial"/>
                <w:sz w:val="24"/>
              </w:rPr>
              <w:t xml:space="preserve">. In other words, it is tampering with a signature or some material figure(s) that is not yours. The intent is to defraud a person or firm of a large quantity of money, property or something of material significance. On the other hand, the difference between forgery and uttering is that uttering is the case where one would offer or present a forge document as genuine. According </w:t>
            </w:r>
            <w:sdt>
              <w:sdtPr>
                <w:rPr>
                  <w:rFonts w:ascii="Arial" w:hAnsi="Arial" w:cs="Arial"/>
                  <w:sz w:val="24"/>
                </w:rPr>
                <w:id w:val="229692819"/>
                <w:citation/>
              </w:sdtPr>
              <w:sdtContent>
                <w:r>
                  <w:rPr>
                    <w:rFonts w:ascii="Arial" w:hAnsi="Arial" w:cs="Arial"/>
                    <w:sz w:val="24"/>
                  </w:rPr>
                  <w:fldChar w:fldCharType="begin"/>
                </w:r>
                <w:r>
                  <w:rPr>
                    <w:rFonts w:ascii="Arial" w:hAnsi="Arial" w:cs="Arial"/>
                    <w:sz w:val="24"/>
                  </w:rPr>
                  <w:instrText xml:space="preserve"> CITATION Wes17 \l 1033 </w:instrText>
                </w:r>
                <w:r>
                  <w:rPr>
                    <w:rFonts w:ascii="Arial" w:hAnsi="Arial" w:cs="Arial"/>
                    <w:sz w:val="24"/>
                  </w:rPr>
                  <w:fldChar w:fldCharType="separate"/>
                </w:r>
                <w:r w:rsidRPr="004F2040">
                  <w:rPr>
                    <w:rFonts w:ascii="Arial" w:hAnsi="Arial" w:cs="Arial"/>
                    <w:noProof/>
                    <w:sz w:val="24"/>
                  </w:rPr>
                  <w:t>(West's Encyclopedia of American Law, 2017)</w:t>
                </w:r>
                <w:r>
                  <w:rPr>
                    <w:rFonts w:ascii="Arial" w:hAnsi="Arial" w:cs="Arial"/>
                    <w:sz w:val="24"/>
                  </w:rPr>
                  <w:fldChar w:fldCharType="end"/>
                </w:r>
              </w:sdtContent>
            </w:sdt>
            <w:r>
              <w:rPr>
                <w:rFonts w:ascii="Arial" w:hAnsi="Arial" w:cs="Arial"/>
                <w:sz w:val="24"/>
              </w:rPr>
              <w:t xml:space="preserve">, “the related crime of uttering of a forged document occurs when an inauthentic writing is intentionally offered as genuine” (para.1); and, examples of this are presenting a forged company </w:t>
            </w:r>
            <w:proofErr w:type="spellStart"/>
            <w:r>
              <w:rPr>
                <w:rFonts w:ascii="Arial" w:hAnsi="Arial" w:cs="Arial"/>
                <w:sz w:val="24"/>
              </w:rPr>
              <w:t>cheque</w:t>
            </w:r>
            <w:proofErr w:type="spellEnd"/>
            <w:r>
              <w:rPr>
                <w:rFonts w:ascii="Arial" w:hAnsi="Arial" w:cs="Arial"/>
                <w:sz w:val="24"/>
              </w:rPr>
              <w:t xml:space="preserve"> to a bank for the awarding of monies, or presenting a fake license as evidence to receive compensation </w:t>
            </w:r>
            <w:r w:rsidRPr="005E1693">
              <w:rPr>
                <w:rFonts w:ascii="Arial" w:hAnsi="Arial" w:cs="Arial"/>
                <w:noProof/>
                <w:sz w:val="24"/>
              </w:rPr>
              <w:t>(College, 2017</w:t>
            </w:r>
            <w:r>
              <w:rPr>
                <w:rFonts w:ascii="Arial" w:hAnsi="Arial" w:cs="Arial"/>
                <w:noProof/>
                <w:sz w:val="24"/>
              </w:rPr>
              <w:t>, p.8</w:t>
            </w:r>
            <w:r w:rsidRPr="005E1693">
              <w:rPr>
                <w:rFonts w:ascii="Arial" w:hAnsi="Arial" w:cs="Arial"/>
                <w:noProof/>
                <w:sz w:val="24"/>
              </w:rPr>
              <w:t>)</w:t>
            </w:r>
            <w:r>
              <w:rPr>
                <w:rFonts w:ascii="Arial" w:hAnsi="Arial" w:cs="Arial"/>
                <w:noProof/>
                <w:sz w:val="24"/>
              </w:rPr>
              <w:t>.</w:t>
            </w:r>
          </w:p>
          <w:p w:rsidR="00502DB6" w:rsidRDefault="00502DB6" w:rsidP="00502DB6">
            <w:pPr>
              <w:spacing w:line="360" w:lineRule="auto"/>
              <w:rPr>
                <w:rFonts w:ascii="Arial" w:hAnsi="Arial" w:cs="Arial"/>
                <w:b/>
                <w:sz w:val="24"/>
              </w:rPr>
            </w:pPr>
            <w:r w:rsidRPr="00902A7F">
              <w:rPr>
                <w:rFonts w:ascii="Arial" w:hAnsi="Arial" w:cs="Arial"/>
                <w:b/>
                <w:sz w:val="24"/>
              </w:rPr>
              <w:t>Case Study Responses</w:t>
            </w:r>
          </w:p>
          <w:p w:rsidR="00502DB6" w:rsidRDefault="00502DB6" w:rsidP="00502DB6">
            <w:pPr>
              <w:spacing w:line="360" w:lineRule="auto"/>
              <w:rPr>
                <w:rFonts w:ascii="Arial" w:hAnsi="Arial" w:cs="Arial"/>
                <w:sz w:val="24"/>
              </w:rPr>
            </w:pPr>
            <w:r>
              <w:rPr>
                <w:rFonts w:ascii="Arial" w:hAnsi="Arial" w:cs="Arial"/>
                <w:b/>
                <w:sz w:val="24"/>
              </w:rPr>
              <w:tab/>
            </w:r>
            <w:r w:rsidRPr="004C2B87">
              <w:rPr>
                <w:rFonts w:ascii="Arial" w:hAnsi="Arial" w:cs="Arial"/>
                <w:sz w:val="24"/>
              </w:rPr>
              <w:t xml:space="preserve">In treating with </w:t>
            </w:r>
            <w:r>
              <w:rPr>
                <w:rFonts w:ascii="Arial" w:hAnsi="Arial" w:cs="Arial"/>
                <w:sz w:val="24"/>
              </w:rPr>
              <w:t>the case presented to my person, wherein a possible case of money laundering, embezzlement and forgery/uttering can be occurring simultaneously, I am of the informed opinion that the forensic accountant had access to and peruse the couple’s bank statements; cheques, if any, submitted to the bank or any firm; the company where the couple work and the internal control in place; the job portfolio of the husband and wife; the accountant’s report and the source from which the accountant pulled the information.</w:t>
            </w:r>
          </w:p>
          <w:p w:rsidR="00502DB6" w:rsidRDefault="00502DB6" w:rsidP="00502DB6">
            <w:pPr>
              <w:spacing w:line="360" w:lineRule="auto"/>
              <w:ind w:firstLine="720"/>
              <w:rPr>
                <w:rFonts w:ascii="Arial" w:hAnsi="Arial" w:cs="Arial"/>
                <w:sz w:val="24"/>
              </w:rPr>
            </w:pPr>
            <w:r>
              <w:rPr>
                <w:rFonts w:ascii="Arial" w:hAnsi="Arial" w:cs="Arial"/>
                <w:sz w:val="24"/>
              </w:rPr>
              <w:t xml:space="preserve"> Examiner what one have to do as a forensic accountant is to scrutinize thoroughly that accountant’s report and obtain leads that can be pursued so as to determine how the  couple is gaining additional income beside their normal salary; for, yes the report can say that the savings are legitimate but where are the monies coming from is the question. Thus, looking at the bank statement for example, one can look for the name(s) that is generated with respect to the extra income coming in. One can then test or run some background check to see if the name(s) are legit or not. If it is not, then one can take notes and test further for forgery and uttering.</w:t>
            </w:r>
          </w:p>
          <w:p w:rsidR="00502DB6" w:rsidRDefault="00502DB6" w:rsidP="00502DB6">
            <w:pPr>
              <w:spacing w:line="360" w:lineRule="auto"/>
              <w:ind w:firstLine="720"/>
              <w:rPr>
                <w:rFonts w:ascii="Arial" w:hAnsi="Arial" w:cs="Arial"/>
                <w:sz w:val="24"/>
              </w:rPr>
            </w:pPr>
            <w:r>
              <w:rPr>
                <w:rFonts w:ascii="Arial" w:hAnsi="Arial" w:cs="Arial"/>
                <w:sz w:val="24"/>
              </w:rPr>
              <w:t xml:space="preserve">On the other hand, the forensic accountant was able to reach his conclusion because the couple was spending loads of cash than necessary, and most likely it </w:t>
            </w:r>
            <w:r>
              <w:rPr>
                <w:rFonts w:ascii="Arial" w:hAnsi="Arial" w:cs="Arial"/>
                <w:sz w:val="24"/>
              </w:rPr>
              <w:lastRenderedPageBreak/>
              <w:t xml:space="preserve">would be acquisition of tangible goods and service. This is a common red flag when persons are defrauding a company for their personal gain. According to </w:t>
            </w:r>
            <w:sdt>
              <w:sdtPr>
                <w:rPr>
                  <w:rFonts w:ascii="Arial" w:hAnsi="Arial" w:cs="Arial"/>
                  <w:sz w:val="24"/>
                </w:rPr>
                <w:id w:val="311771860"/>
                <w:citation/>
              </w:sdtPr>
              <w:sdtContent>
                <w:r>
                  <w:rPr>
                    <w:rFonts w:ascii="Arial" w:hAnsi="Arial" w:cs="Arial"/>
                    <w:sz w:val="24"/>
                  </w:rPr>
                  <w:fldChar w:fldCharType="begin"/>
                </w:r>
                <w:r>
                  <w:rPr>
                    <w:rFonts w:ascii="Arial" w:hAnsi="Arial" w:cs="Arial"/>
                    <w:sz w:val="24"/>
                  </w:rPr>
                  <w:instrText xml:space="preserve"> CITATION Mar09 \l 1033 </w:instrText>
                </w:r>
                <w:r>
                  <w:rPr>
                    <w:rFonts w:ascii="Arial" w:hAnsi="Arial" w:cs="Arial"/>
                    <w:sz w:val="24"/>
                  </w:rPr>
                  <w:fldChar w:fldCharType="separate"/>
                </w:r>
                <w:r w:rsidRPr="004F2040">
                  <w:rPr>
                    <w:rFonts w:ascii="Arial" w:hAnsi="Arial" w:cs="Arial"/>
                    <w:noProof/>
                    <w:sz w:val="24"/>
                  </w:rPr>
                  <w:t>(Romney &amp; Steibart, 2009)</w:t>
                </w:r>
                <w:r>
                  <w:rPr>
                    <w:rFonts w:ascii="Arial" w:hAnsi="Arial" w:cs="Arial"/>
                    <w:sz w:val="24"/>
                  </w:rPr>
                  <w:fldChar w:fldCharType="end"/>
                </w:r>
              </w:sdtContent>
            </w:sdt>
            <w:r>
              <w:rPr>
                <w:rFonts w:ascii="Arial" w:hAnsi="Arial" w:cs="Arial"/>
                <w:sz w:val="24"/>
              </w:rPr>
              <w:t xml:space="preserve"> “In employee fraud, all fraud perpetrators go through the conversion phase unless they steal actual cash that can be spent or use the asset personally” (p.151).</w:t>
            </w:r>
          </w:p>
          <w:p w:rsidR="00502DB6" w:rsidRDefault="00502DB6" w:rsidP="00502DB6">
            <w:pPr>
              <w:spacing w:line="360" w:lineRule="auto"/>
              <w:ind w:firstLine="720"/>
              <w:rPr>
                <w:rFonts w:ascii="Arial" w:hAnsi="Arial" w:cs="Arial"/>
                <w:sz w:val="24"/>
              </w:rPr>
            </w:pPr>
          </w:p>
          <w:sdt>
            <w:sdtPr>
              <w:id w:val="311771861"/>
              <w:docPartObj>
                <w:docPartGallery w:val="Bibliographies"/>
                <w:docPartUnique/>
              </w:docPartObj>
            </w:sdtPr>
            <w:sdtEndPr>
              <w:rPr>
                <w:rFonts w:asciiTheme="minorHAnsi" w:eastAsiaTheme="minorHAnsi" w:hAnsiTheme="minorHAnsi" w:cstheme="minorBidi"/>
                <w:b w:val="0"/>
                <w:bCs w:val="0"/>
                <w:color w:val="auto"/>
                <w:sz w:val="22"/>
                <w:szCs w:val="22"/>
                <w:lang w:bidi="ar-SA"/>
              </w:rPr>
            </w:sdtEndPr>
            <w:sdtContent>
              <w:p w:rsidR="00502DB6" w:rsidRPr="004F2040" w:rsidRDefault="00502DB6" w:rsidP="00502DB6">
                <w:pPr>
                  <w:pStyle w:val="Heading1"/>
                  <w:spacing w:line="360" w:lineRule="auto"/>
                  <w:outlineLvl w:val="0"/>
                  <w:rPr>
                    <w:rFonts w:ascii="Arial" w:hAnsi="Arial" w:cs="Arial"/>
                    <w:sz w:val="24"/>
                    <w:szCs w:val="24"/>
                  </w:rPr>
                </w:pPr>
                <w:r w:rsidRPr="00037EBF">
                  <w:rPr>
                    <w:rFonts w:ascii="Arial" w:hAnsi="Arial" w:cs="Arial"/>
                    <w:color w:val="auto"/>
                    <w:szCs w:val="24"/>
                  </w:rPr>
                  <w:t>References</w:t>
                </w:r>
              </w:p>
              <w:p w:rsidR="00502DB6" w:rsidRPr="004F2040" w:rsidRDefault="00502DB6" w:rsidP="00502DB6">
                <w:pPr>
                  <w:pStyle w:val="Bibliography"/>
                  <w:spacing w:line="360" w:lineRule="auto"/>
                  <w:ind w:left="720" w:hanging="720"/>
                  <w:rPr>
                    <w:rFonts w:ascii="Arial" w:hAnsi="Arial" w:cs="Arial"/>
                    <w:noProof/>
                    <w:sz w:val="24"/>
                    <w:szCs w:val="24"/>
                  </w:rPr>
                </w:pPr>
                <w:r w:rsidRPr="004F2040">
                  <w:rPr>
                    <w:rFonts w:ascii="Arial" w:hAnsi="Arial" w:cs="Arial"/>
                    <w:sz w:val="24"/>
                    <w:szCs w:val="24"/>
                  </w:rPr>
                  <w:fldChar w:fldCharType="begin"/>
                </w:r>
                <w:r w:rsidRPr="004F2040">
                  <w:rPr>
                    <w:rFonts w:ascii="Arial" w:hAnsi="Arial" w:cs="Arial"/>
                    <w:sz w:val="24"/>
                    <w:szCs w:val="24"/>
                  </w:rPr>
                  <w:instrText xml:space="preserve"> BIBLIOGRAPHY </w:instrText>
                </w:r>
                <w:r w:rsidRPr="004F2040">
                  <w:rPr>
                    <w:rFonts w:ascii="Arial" w:hAnsi="Arial" w:cs="Arial"/>
                    <w:sz w:val="24"/>
                    <w:szCs w:val="24"/>
                  </w:rPr>
                  <w:fldChar w:fldCharType="separate"/>
                </w:r>
                <w:r w:rsidRPr="004F2040">
                  <w:rPr>
                    <w:rFonts w:ascii="Arial" w:hAnsi="Arial" w:cs="Arial"/>
                    <w:i/>
                    <w:iCs/>
                    <w:noProof/>
                    <w:sz w:val="24"/>
                    <w:szCs w:val="24"/>
                  </w:rPr>
                  <w:t>Arson</w:t>
                </w:r>
                <w:r w:rsidRPr="004F2040">
                  <w:rPr>
                    <w:rFonts w:ascii="Arial" w:hAnsi="Arial" w:cs="Arial"/>
                    <w:noProof/>
                    <w:sz w:val="24"/>
                    <w:szCs w:val="24"/>
                  </w:rPr>
                  <w:t>. (2013). Retrieved from FindLaw: http://criminal.findlaw.com/criminal-charges/arson.html</w:t>
                </w:r>
              </w:p>
              <w:p w:rsidR="00502DB6" w:rsidRPr="004F2040" w:rsidRDefault="00502DB6" w:rsidP="00502DB6">
                <w:pPr>
                  <w:pStyle w:val="Bibliography"/>
                  <w:spacing w:line="360" w:lineRule="auto"/>
                  <w:ind w:left="720" w:hanging="720"/>
                  <w:rPr>
                    <w:rFonts w:ascii="Arial" w:hAnsi="Arial" w:cs="Arial"/>
                    <w:noProof/>
                    <w:sz w:val="24"/>
                    <w:szCs w:val="24"/>
                  </w:rPr>
                </w:pPr>
                <w:r w:rsidRPr="004F2040">
                  <w:rPr>
                    <w:rFonts w:ascii="Arial" w:hAnsi="Arial" w:cs="Arial"/>
                    <w:noProof/>
                    <w:sz w:val="24"/>
                    <w:szCs w:val="24"/>
                  </w:rPr>
                  <w:t>College, B. O. (2017). Crime and Economy. Leicester, England.</w:t>
                </w:r>
              </w:p>
              <w:p w:rsidR="00502DB6" w:rsidRPr="004F2040" w:rsidRDefault="00502DB6" w:rsidP="00502DB6">
                <w:pPr>
                  <w:pStyle w:val="Bibliography"/>
                  <w:spacing w:line="360" w:lineRule="auto"/>
                  <w:ind w:left="720" w:hanging="720"/>
                  <w:rPr>
                    <w:rFonts w:ascii="Arial" w:hAnsi="Arial" w:cs="Arial"/>
                    <w:noProof/>
                    <w:sz w:val="24"/>
                    <w:szCs w:val="24"/>
                  </w:rPr>
                </w:pPr>
                <w:r w:rsidRPr="004F2040">
                  <w:rPr>
                    <w:rFonts w:ascii="Arial" w:hAnsi="Arial" w:cs="Arial"/>
                    <w:i/>
                    <w:iCs/>
                    <w:noProof/>
                    <w:sz w:val="24"/>
                    <w:szCs w:val="24"/>
                  </w:rPr>
                  <w:t>Embezzlement</w:t>
                </w:r>
                <w:r w:rsidRPr="004F2040">
                  <w:rPr>
                    <w:rFonts w:ascii="Arial" w:hAnsi="Arial" w:cs="Arial"/>
                    <w:noProof/>
                    <w:sz w:val="24"/>
                    <w:szCs w:val="24"/>
                  </w:rPr>
                  <w:t>. (n.d.). Retrieved from Cornell Law School: https://www.int-comp.org/careers/a-career-in-aml/what-is-money-laundering/</w:t>
                </w:r>
              </w:p>
              <w:p w:rsidR="00502DB6" w:rsidRPr="004F2040" w:rsidRDefault="00502DB6" w:rsidP="00502DB6">
                <w:pPr>
                  <w:pStyle w:val="Bibliography"/>
                  <w:spacing w:line="360" w:lineRule="auto"/>
                  <w:ind w:left="720" w:hanging="720"/>
                  <w:rPr>
                    <w:rFonts w:ascii="Arial" w:hAnsi="Arial" w:cs="Arial"/>
                    <w:noProof/>
                    <w:sz w:val="24"/>
                    <w:szCs w:val="24"/>
                  </w:rPr>
                </w:pPr>
                <w:r w:rsidRPr="004F2040">
                  <w:rPr>
                    <w:rFonts w:ascii="Arial" w:hAnsi="Arial" w:cs="Arial"/>
                    <w:noProof/>
                    <w:sz w:val="24"/>
                    <w:szCs w:val="24"/>
                  </w:rPr>
                  <w:t xml:space="preserve">Mohammed, S. (2015, October 5). </w:t>
                </w:r>
                <w:r w:rsidRPr="004F2040">
                  <w:rPr>
                    <w:rFonts w:ascii="Arial" w:hAnsi="Arial" w:cs="Arial"/>
                    <w:i/>
                    <w:iCs/>
                    <w:noProof/>
                    <w:sz w:val="24"/>
                    <w:szCs w:val="24"/>
                  </w:rPr>
                  <w:t>$10.8 billion for National Security</w:t>
                </w:r>
                <w:r w:rsidRPr="004F2040">
                  <w:rPr>
                    <w:rFonts w:ascii="Arial" w:hAnsi="Arial" w:cs="Arial"/>
                    <w:noProof/>
                    <w:sz w:val="24"/>
                    <w:szCs w:val="24"/>
                  </w:rPr>
                  <w:t>. Retrieved from Trinidad Express Newspapers: http://www.trinidadexpress.com/20151005/news/108-billion-for-national-security</w:t>
                </w:r>
              </w:p>
              <w:p w:rsidR="00502DB6" w:rsidRPr="004F2040" w:rsidRDefault="00502DB6" w:rsidP="00502DB6">
                <w:pPr>
                  <w:pStyle w:val="Bibliography"/>
                  <w:spacing w:line="360" w:lineRule="auto"/>
                  <w:ind w:left="720" w:hanging="720"/>
                  <w:rPr>
                    <w:rFonts w:ascii="Arial" w:hAnsi="Arial" w:cs="Arial"/>
                    <w:noProof/>
                    <w:sz w:val="24"/>
                    <w:szCs w:val="24"/>
                  </w:rPr>
                </w:pPr>
                <w:r w:rsidRPr="004F2040">
                  <w:rPr>
                    <w:rFonts w:ascii="Arial" w:hAnsi="Arial" w:cs="Arial"/>
                    <w:noProof/>
                    <w:sz w:val="24"/>
                    <w:szCs w:val="24"/>
                  </w:rPr>
                  <w:t xml:space="preserve">Romney, M. B., &amp; Steibart, P. J. (2009). </w:t>
                </w:r>
                <w:r w:rsidRPr="004F2040">
                  <w:rPr>
                    <w:rFonts w:ascii="Arial" w:hAnsi="Arial" w:cs="Arial"/>
                    <w:i/>
                    <w:iCs/>
                    <w:noProof/>
                    <w:sz w:val="24"/>
                    <w:szCs w:val="24"/>
                  </w:rPr>
                  <w:t>Accounting Information Systen.</w:t>
                </w:r>
                <w:r w:rsidRPr="004F2040">
                  <w:rPr>
                    <w:rFonts w:ascii="Arial" w:hAnsi="Arial" w:cs="Arial"/>
                    <w:noProof/>
                    <w:sz w:val="24"/>
                    <w:szCs w:val="24"/>
                  </w:rPr>
                  <w:t xml:space="preserve"> New Jersey: Pearson Prentice Hall.</w:t>
                </w:r>
              </w:p>
              <w:p w:rsidR="00502DB6" w:rsidRPr="004F2040" w:rsidRDefault="00502DB6" w:rsidP="00502DB6">
                <w:pPr>
                  <w:pStyle w:val="Bibliography"/>
                  <w:spacing w:line="360" w:lineRule="auto"/>
                  <w:ind w:left="720" w:hanging="720"/>
                  <w:rPr>
                    <w:rFonts w:ascii="Arial" w:hAnsi="Arial" w:cs="Arial"/>
                    <w:noProof/>
                    <w:sz w:val="24"/>
                    <w:szCs w:val="24"/>
                  </w:rPr>
                </w:pPr>
                <w:r w:rsidRPr="004F2040">
                  <w:rPr>
                    <w:rFonts w:ascii="Arial" w:hAnsi="Arial" w:cs="Arial"/>
                    <w:noProof/>
                    <w:sz w:val="24"/>
                    <w:szCs w:val="24"/>
                  </w:rPr>
                  <w:t xml:space="preserve">West's Encyclopedia of American Law, e. 2. (2017, September 20). </w:t>
                </w:r>
                <w:r w:rsidRPr="004F2040">
                  <w:rPr>
                    <w:rFonts w:ascii="Arial" w:hAnsi="Arial" w:cs="Arial"/>
                    <w:i/>
                    <w:iCs/>
                    <w:noProof/>
                    <w:sz w:val="24"/>
                    <w:szCs w:val="24"/>
                  </w:rPr>
                  <w:t>forgery</w:t>
                </w:r>
                <w:r w:rsidRPr="004F2040">
                  <w:rPr>
                    <w:rFonts w:ascii="Arial" w:hAnsi="Arial" w:cs="Arial"/>
                    <w:noProof/>
                    <w:sz w:val="24"/>
                    <w:szCs w:val="24"/>
                  </w:rPr>
                  <w:t>. Retrieved from The Free Dictionary; : http://legal-dictionary.thefreedictionary.com/forgery</w:t>
                </w:r>
              </w:p>
              <w:p w:rsidR="00502DB6" w:rsidRPr="004F2040" w:rsidRDefault="00502DB6" w:rsidP="00502DB6">
                <w:pPr>
                  <w:pStyle w:val="Bibliography"/>
                  <w:spacing w:line="360" w:lineRule="auto"/>
                  <w:ind w:left="720" w:hanging="720"/>
                  <w:rPr>
                    <w:rFonts w:ascii="Arial" w:hAnsi="Arial" w:cs="Arial"/>
                    <w:noProof/>
                    <w:sz w:val="24"/>
                    <w:szCs w:val="24"/>
                  </w:rPr>
                </w:pPr>
                <w:r w:rsidRPr="004F2040">
                  <w:rPr>
                    <w:rFonts w:ascii="Arial" w:hAnsi="Arial" w:cs="Arial"/>
                    <w:i/>
                    <w:iCs/>
                    <w:noProof/>
                    <w:sz w:val="24"/>
                    <w:szCs w:val="24"/>
                  </w:rPr>
                  <w:t>What is Money Laundering</w:t>
                </w:r>
                <w:r w:rsidRPr="004F2040">
                  <w:rPr>
                    <w:rFonts w:ascii="Arial" w:hAnsi="Arial" w:cs="Arial"/>
                    <w:noProof/>
                    <w:sz w:val="24"/>
                    <w:szCs w:val="24"/>
                  </w:rPr>
                  <w:t>. (n.d.). Retrieved from International Compliance Association: https://www.int-comp.org/careers/a-career-in-aml/what-is-money-laundering/</w:t>
                </w:r>
              </w:p>
              <w:p w:rsidR="00502DB6" w:rsidRDefault="00502DB6" w:rsidP="00502DB6">
                <w:pPr>
                  <w:spacing w:line="360" w:lineRule="auto"/>
                </w:pPr>
                <w:r w:rsidRPr="004F2040">
                  <w:rPr>
                    <w:rFonts w:ascii="Arial" w:hAnsi="Arial" w:cs="Arial"/>
                    <w:sz w:val="24"/>
                    <w:szCs w:val="24"/>
                  </w:rPr>
                  <w:fldChar w:fldCharType="end"/>
                </w:r>
              </w:p>
            </w:sdtContent>
          </w:sdt>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2DB6" w:rsidP="00A851DA">
            <w:pPr>
              <w:rPr>
                <w:rFonts w:cs="Bliss-Regular"/>
                <w:color w:val="000000"/>
              </w:rPr>
            </w:pPr>
            <w:r>
              <w:rPr>
                <w:rFonts w:cs="Bliss-Regular"/>
                <w:color w:val="000000"/>
              </w:rPr>
              <w:t>G. Bertrand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2DB6" w:rsidP="00A851DA">
            <w:pPr>
              <w:rPr>
                <w:rFonts w:cs="Bliss-Regular"/>
                <w:color w:val="000000"/>
              </w:rPr>
            </w:pPr>
            <w:r>
              <w:rPr>
                <w:rFonts w:cs="Bliss-Regular"/>
                <w:color w:val="000000"/>
              </w:rPr>
              <w:t>20.09.17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DB6" w:rsidRDefault="00502DB6" w:rsidP="00CB4D0A">
      <w:pPr>
        <w:spacing w:after="0" w:line="240" w:lineRule="auto"/>
      </w:pPr>
      <w:r>
        <w:separator/>
      </w:r>
    </w:p>
  </w:endnote>
  <w:endnote w:type="continuationSeparator" w:id="0">
    <w:p w:rsidR="00502DB6" w:rsidRDefault="00502DB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DB6" w:rsidRDefault="00502DB6" w:rsidP="00CB4D0A">
      <w:pPr>
        <w:spacing w:after="0" w:line="240" w:lineRule="auto"/>
      </w:pPr>
      <w:r>
        <w:separator/>
      </w:r>
    </w:p>
  </w:footnote>
  <w:footnote w:type="continuationSeparator" w:id="0">
    <w:p w:rsidR="00502DB6" w:rsidRDefault="00502DB6"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DB6" w:rsidRDefault="00502DB6" w:rsidP="00502DB6">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Garth Bertrand</w:t>
    </w:r>
  </w:p>
  <w:p w:rsidR="00502DB6" w:rsidRDefault="00502DB6" w:rsidP="00502DB6">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Student ID: 10809</w:t>
    </w:r>
  </w:p>
  <w:p w:rsidR="00502DB6" w:rsidRDefault="00502DB6" w:rsidP="00502DB6">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Assignment #2</w:t>
    </w:r>
  </w:p>
  <w:sdt>
    <w:sdtPr>
      <w:rPr>
        <w:color w:val="7F7F7F" w:themeColor="background1" w:themeShade="7F"/>
        <w:spacing w:val="60"/>
      </w:rPr>
      <w:id w:val="311771894"/>
      <w:docPartObj>
        <w:docPartGallery w:val="Page Numbers (Top of Page)"/>
        <w:docPartUnique/>
      </w:docPartObj>
    </w:sdtPr>
    <w:sdtEndPr>
      <w:rPr>
        <w:color w:val="auto"/>
        <w:spacing w:val="0"/>
      </w:rPr>
    </w:sdtEndPr>
    <w:sdtContent>
      <w:p w:rsidR="00502DB6" w:rsidRDefault="00502DB6">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037EBF" w:rsidRPr="00037EBF">
            <w:rPr>
              <w:b/>
              <w:noProof/>
            </w:rPr>
            <w:t>4</w:t>
          </w:r>
        </w:fldSimple>
      </w:p>
    </w:sdtContent>
  </w:sdt>
  <w:p w:rsidR="00502DB6" w:rsidRDefault="00502DB6" w:rsidP="00502DB6">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2A0D96"/>
    <w:multiLevelType w:val="hybridMultilevel"/>
    <w:tmpl w:val="4E6A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37EBF"/>
    <w:rsid w:val="00040083"/>
    <w:rsid w:val="00055992"/>
    <w:rsid w:val="000820E8"/>
    <w:rsid w:val="001175EE"/>
    <w:rsid w:val="00157CF6"/>
    <w:rsid w:val="00182416"/>
    <w:rsid w:val="00187EB4"/>
    <w:rsid w:val="001F0481"/>
    <w:rsid w:val="00200C92"/>
    <w:rsid w:val="0020451E"/>
    <w:rsid w:val="00206B9D"/>
    <w:rsid w:val="0023259C"/>
    <w:rsid w:val="00280FBC"/>
    <w:rsid w:val="002B0BD7"/>
    <w:rsid w:val="002B573D"/>
    <w:rsid w:val="002C5CB2"/>
    <w:rsid w:val="002F779F"/>
    <w:rsid w:val="00371885"/>
    <w:rsid w:val="003E2B87"/>
    <w:rsid w:val="00402786"/>
    <w:rsid w:val="00405895"/>
    <w:rsid w:val="004058DF"/>
    <w:rsid w:val="00443E6F"/>
    <w:rsid w:val="00486F1A"/>
    <w:rsid w:val="00490CB9"/>
    <w:rsid w:val="004A2CE2"/>
    <w:rsid w:val="004B33E3"/>
    <w:rsid w:val="004E3CDA"/>
    <w:rsid w:val="004F4B4D"/>
    <w:rsid w:val="0050216D"/>
    <w:rsid w:val="00502DB6"/>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502DB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2DB6"/>
    <w:rPr>
      <w:rFonts w:asciiTheme="majorHAnsi" w:eastAsiaTheme="majorEastAsia" w:hAnsiTheme="majorHAnsi" w:cstheme="majorBidi"/>
      <w:b/>
      <w:bCs/>
      <w:color w:val="365F91" w:themeColor="accent1" w:themeShade="BF"/>
      <w:sz w:val="28"/>
      <w:szCs w:val="28"/>
      <w:lang w:val="en-US" w:bidi="en-US"/>
    </w:rPr>
  </w:style>
  <w:style w:type="paragraph" w:styleId="Bibliography">
    <w:name w:val="Bibliography"/>
    <w:basedOn w:val="Normal"/>
    <w:next w:val="Normal"/>
    <w:uiPriority w:val="37"/>
    <w:unhideWhenUsed/>
    <w:rsid w:val="00502DB6"/>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Sus15</b:Tag>
    <b:SourceType>InternetSite</b:SourceType>
    <b:Guid>{AFAA79C2-9372-422E-9A9B-9D0E29E53040}</b:Guid>
    <b:LCID>0</b:LCID>
    <b:Author>
      <b:Author>
        <b:NameList>
          <b:Person>
            <b:Last>Mohammed</b:Last>
            <b:First>Susan</b:First>
          </b:Person>
        </b:NameList>
      </b:Author>
    </b:Author>
    <b:Title>$10.8 billion for National Security</b:Title>
    <b:Year>2015</b:Year>
    <b:InternetSiteTitle>Trinidad Express Newspapers</b:InternetSiteTitle>
    <b:Month>October</b:Month>
    <b:Day>5</b:Day>
    <b:URL>http://www.trinidadexpress.com/20151005/news/108-billion-for-national-security</b:URL>
    <b:RefOrder>1</b:RefOrder>
  </b:Source>
  <b:Source>
    <b:Tag>Wha</b:Tag>
    <b:SourceType>InternetSite</b:SourceType>
    <b:Guid>{F2CC0FF5-3DF9-40D0-A98E-2BD404C135D8}</b:Guid>
    <b:LCID>0</b:LCID>
    <b:Title>What is Money Laundering</b:Title>
    <b:InternetSiteTitle>International Compliance Association</b:InternetSiteTitle>
    <b:URL>https://www.int-comp.org/careers/a-career-in-aml/what-is-money-laundering/</b:URL>
    <b:RefOrder>2</b:RefOrder>
  </b:Source>
  <b:Source>
    <b:Tag>Wes17</b:Tag>
    <b:SourceType>InternetSite</b:SourceType>
    <b:Guid>{CFC98E29-941E-441D-BEB0-B5F8E60D0702}</b:Guid>
    <b:LCID>0</b:LCID>
    <b:Author>
      <b:Author>
        <b:NameList>
          <b:Person>
            <b:Last>West's Encyclopedia of American Law</b:Last>
            <b:First>edition</b:First>
            <b:Middle>2. (2008)</b:Middle>
          </b:Person>
        </b:NameList>
      </b:Author>
    </b:Author>
    <b:Title>forgery</b:Title>
    <b:InternetSiteTitle>The Free Dictionary; </b:InternetSiteTitle>
    <b:Year>2017</b:Year>
    <b:Month>September</b:Month>
    <b:Day>20</b:Day>
    <b:URL>http://legal-dictionary.thefreedictionary.com/forgery</b:URL>
    <b:RefOrder>3</b:RefOrder>
  </b:Source>
  <b:Source>
    <b:Tag>Mar09</b:Tag>
    <b:SourceType>Book</b:SourceType>
    <b:Guid>{ED3ACC8A-A5E0-4F77-80F0-117C9D8D2AFD}</b:Guid>
    <b:LCID>0</b:LCID>
    <b:Author>
      <b:Author>
        <b:NameList>
          <b:Person>
            <b:Last>Romney</b:Last>
            <b:First>Marshall</b:First>
            <b:Middle>B.</b:Middle>
          </b:Person>
          <b:Person>
            <b:Last>Steibart</b:Last>
            <b:First>Paul</b:First>
            <b:Middle>John</b:Middle>
          </b:Person>
        </b:NameList>
      </b:Author>
    </b:Author>
    <b:Title>Accounting Information Systen</b:Title>
    <b:Year>2009</b:Year>
    <b:City>New Jersey</b:City>
    <b:Publisher>Pearson Prentice Hall</b:Publisher>
    <b:RefOrder>4</b:RefOrder>
  </b:Source>
  <b:Source>
    <b:Tag>Ars01</b:Tag>
    <b:SourceType>InternetSite</b:SourceType>
    <b:Guid>{05AFFF74-5C8A-42A2-82C7-5581FBC6BA33}</b:Guid>
    <b:LCID>0</b:LCID>
    <b:Title>Arson</b:Title>
    <b:InternetSiteTitle>FindLaw</b:InternetSiteTitle>
    <b:Year>2013</b:Year>
    <b:URL>http://criminal.findlaw.com/criminal-charges/arson.html</b:URL>
    <b:RefOrder>5</b:RefOrder>
  </b:Source>
  <b:Source>
    <b:Tag>Emb</b:Tag>
    <b:SourceType>InternetSite</b:SourceType>
    <b:Guid>{B2596EED-45E7-45E9-89DA-D91FE79C67EB}</b:Guid>
    <b:LCID>0</b:LCID>
    <b:Title>Embezzlement</b:Title>
    <b:InternetSiteTitle>Cornell Law School</b:InternetSiteTitle>
    <b:URL>https://www.int-comp.org/careers/a-career-in-aml/what-is-money-laundering/</b:URL>
    <b:RefOrder>6</b:RefOrder>
  </b:Source>
  <b:Source>
    <b:Tag>Col17</b:Tag>
    <b:SourceType>ElectronicSource</b:SourceType>
    <b:Guid>{04397960-A0E4-4E96-A33B-0EDB5BFF3968}</b:Guid>
    <b:LCID>0</b:LCID>
    <b:Author>
      <b:Author>
        <b:NameList>
          <b:Person>
            <b:Last>College</b:Last>
            <b:First>Brentwood</b:First>
            <b:Middle>Open Learning</b:Middle>
          </b:Person>
        </b:NameList>
      </b:Author>
    </b:Author>
    <b:Title>Crime and Economy</b:Title>
    <b:Year>2017</b:Year>
    <b:CountryRegion>England</b:CountryRegion>
    <b:City>Leicester</b:City>
    <b:RefOrder>7</b:RefOrder>
  </b:Source>
</b:Sources>
</file>

<file path=customXml/itemProps1.xml><?xml version="1.0" encoding="utf-8"?>
<ds:datastoreItem xmlns:ds="http://schemas.openxmlformats.org/officeDocument/2006/customXml" ds:itemID="{B1A71B5D-C4D6-4E87-80A5-937B4CF5C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1089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Sir Garth</cp:lastModifiedBy>
  <cp:revision>2</cp:revision>
  <dcterms:created xsi:type="dcterms:W3CDTF">2017-09-21T03:37:00Z</dcterms:created>
  <dcterms:modified xsi:type="dcterms:W3CDTF">2017-09-21T03:37:00Z</dcterms:modified>
</cp:coreProperties>
</file>