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537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37B">
            <w:pPr>
              <w:pStyle w:val="Default"/>
              <w:rPr>
                <w:rFonts w:asciiTheme="minorHAnsi" w:hAnsiTheme="minorHAnsi"/>
              </w:rPr>
            </w:pPr>
            <w:r w:rsidRPr="004B537B">
              <w:rPr>
                <w:rFonts w:asciiTheme="minorHAnsi" w:hAnsiTheme="minorHAnsi"/>
              </w:rPr>
              <w:t>GARY MATTHIAS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7C80">
            <w:pPr>
              <w:pStyle w:val="Default"/>
              <w:rPr>
                <w:rFonts w:asciiTheme="minorHAnsi" w:hAnsiTheme="minorHAnsi"/>
              </w:rPr>
            </w:pPr>
            <w:r>
              <w:rPr>
                <w:rFonts w:asciiTheme="minorHAnsi" w:hAnsiTheme="minorHAnsi"/>
              </w:rPr>
              <w:t>16570</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37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37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Question 1</w:t>
            </w:r>
          </w:p>
          <w:p w:rsidR="004B537B" w:rsidRPr="00FE2EC6" w:rsidRDefault="004B537B" w:rsidP="004B537B">
            <w:pPr>
              <w:pStyle w:val="ListParagraph"/>
              <w:numPr>
                <w:ilvl w:val="0"/>
                <w:numId w:val="2"/>
              </w:numPr>
              <w:spacing w:after="160" w:line="360" w:lineRule="auto"/>
              <w:rPr>
                <w:rStyle w:val="hvr"/>
                <w:rFonts w:ascii="Arial" w:hAnsi="Arial" w:cs="Arial"/>
                <w:sz w:val="24"/>
                <w:szCs w:val="24"/>
              </w:rPr>
            </w:pPr>
            <w:r w:rsidRPr="00FE2EC6">
              <w:rPr>
                <w:rFonts w:ascii="Arial" w:hAnsi="Arial" w:cs="Arial"/>
                <w:sz w:val="24"/>
                <w:szCs w:val="24"/>
              </w:rPr>
              <w:t>According to West's Encyclopedia of American Law, edition 2, best evidence is “</w:t>
            </w:r>
            <w:r w:rsidRPr="00FE2EC6">
              <w:rPr>
                <w:rFonts w:ascii="Arial" w:hAnsi="Arial" w:cs="Arial"/>
                <w:i/>
                <w:iCs/>
                <w:sz w:val="24"/>
                <w:szCs w:val="24"/>
              </w:rPr>
              <w:t xml:space="preserve">An </w:t>
            </w:r>
            <w:r w:rsidRPr="00FE2EC6">
              <w:rPr>
                <w:rStyle w:val="hvr"/>
                <w:rFonts w:ascii="Arial" w:hAnsi="Arial" w:cs="Arial"/>
                <w:i/>
                <w:iCs/>
                <w:sz w:val="24"/>
                <w:szCs w:val="24"/>
              </w:rPr>
              <w:t>original</w:t>
            </w:r>
            <w:r w:rsidRPr="00FE2EC6">
              <w:rPr>
                <w:rFonts w:ascii="Arial" w:hAnsi="Arial" w:cs="Arial"/>
                <w:i/>
                <w:iCs/>
                <w:sz w:val="24"/>
                <w:szCs w:val="24"/>
              </w:rPr>
              <w:t xml:space="preserve"> </w:t>
            </w:r>
            <w:r w:rsidRPr="00FE2EC6">
              <w:rPr>
                <w:rStyle w:val="hvr"/>
                <w:rFonts w:ascii="Arial" w:hAnsi="Arial" w:cs="Arial"/>
                <w:i/>
                <w:iCs/>
                <w:sz w:val="24"/>
                <w:szCs w:val="24"/>
              </w:rPr>
              <w:t>document</w:t>
            </w:r>
            <w:r w:rsidRPr="00FE2EC6">
              <w:rPr>
                <w:rFonts w:ascii="Arial" w:hAnsi="Arial" w:cs="Arial"/>
                <w:i/>
                <w:iCs/>
                <w:sz w:val="24"/>
                <w:szCs w:val="24"/>
              </w:rPr>
              <w:t xml:space="preserve"> or </w:t>
            </w:r>
            <w:r w:rsidRPr="00FE2EC6">
              <w:rPr>
                <w:rStyle w:val="hvr"/>
                <w:rFonts w:ascii="Arial" w:hAnsi="Arial" w:cs="Arial"/>
                <w:i/>
                <w:iCs/>
                <w:sz w:val="24"/>
                <w:szCs w:val="24"/>
              </w:rPr>
              <w:t>object</w:t>
            </w:r>
            <w:r w:rsidRPr="00FE2EC6">
              <w:rPr>
                <w:rFonts w:ascii="Arial" w:hAnsi="Arial" w:cs="Arial"/>
                <w:i/>
                <w:iCs/>
                <w:sz w:val="24"/>
                <w:szCs w:val="24"/>
              </w:rPr>
              <w:t xml:space="preserve"> </w:t>
            </w:r>
            <w:r w:rsidRPr="00FE2EC6">
              <w:rPr>
                <w:rStyle w:val="hvr"/>
                <w:rFonts w:ascii="Arial" w:hAnsi="Arial" w:cs="Arial"/>
                <w:i/>
                <w:iCs/>
                <w:sz w:val="24"/>
                <w:szCs w:val="24"/>
              </w:rPr>
              <w:t>offered</w:t>
            </w:r>
            <w:r w:rsidRPr="00FE2EC6">
              <w:rPr>
                <w:rFonts w:ascii="Arial" w:hAnsi="Arial" w:cs="Arial"/>
                <w:i/>
                <w:iCs/>
                <w:sz w:val="24"/>
                <w:szCs w:val="24"/>
              </w:rPr>
              <w:t xml:space="preserve"> as </w:t>
            </w:r>
            <w:r w:rsidRPr="00FE2EC6">
              <w:rPr>
                <w:rStyle w:val="hvr"/>
                <w:rFonts w:ascii="Arial" w:hAnsi="Arial" w:cs="Arial"/>
                <w:i/>
                <w:iCs/>
                <w:sz w:val="24"/>
                <w:szCs w:val="24"/>
              </w:rPr>
              <w:t>proof</w:t>
            </w:r>
            <w:r w:rsidRPr="00FE2EC6">
              <w:rPr>
                <w:rFonts w:ascii="Arial" w:hAnsi="Arial" w:cs="Arial"/>
                <w:i/>
                <w:iCs/>
                <w:sz w:val="24"/>
                <w:szCs w:val="24"/>
              </w:rPr>
              <w:t xml:space="preserve"> of a </w:t>
            </w:r>
            <w:r w:rsidRPr="00FE2EC6">
              <w:rPr>
                <w:rStyle w:val="hvr"/>
                <w:rFonts w:ascii="Arial" w:hAnsi="Arial" w:cs="Arial"/>
                <w:i/>
                <w:iCs/>
                <w:sz w:val="24"/>
                <w:szCs w:val="24"/>
              </w:rPr>
              <w:t>fact</w:t>
            </w:r>
            <w:r w:rsidRPr="00FE2EC6">
              <w:rPr>
                <w:rFonts w:ascii="Arial" w:hAnsi="Arial" w:cs="Arial"/>
                <w:i/>
                <w:iCs/>
                <w:sz w:val="24"/>
                <w:szCs w:val="24"/>
              </w:rPr>
              <w:t xml:space="preserve"> in a </w:t>
            </w:r>
            <w:r w:rsidRPr="00FE2EC6">
              <w:rPr>
                <w:rStyle w:val="hvr"/>
                <w:rFonts w:ascii="Arial" w:hAnsi="Arial" w:cs="Arial"/>
                <w:i/>
                <w:iCs/>
                <w:sz w:val="24"/>
                <w:szCs w:val="24"/>
              </w:rPr>
              <w:t>lawsuit</w:t>
            </w:r>
            <w:r w:rsidRPr="00FE2EC6">
              <w:rPr>
                <w:rFonts w:ascii="Arial" w:hAnsi="Arial" w:cs="Arial"/>
                <w:i/>
                <w:iCs/>
                <w:sz w:val="24"/>
                <w:szCs w:val="24"/>
              </w:rPr>
              <w:t xml:space="preserve"> as </w:t>
            </w:r>
            <w:r w:rsidRPr="00FE2EC6">
              <w:rPr>
                <w:rStyle w:val="hvr"/>
                <w:rFonts w:ascii="Arial" w:hAnsi="Arial" w:cs="Arial"/>
                <w:i/>
                <w:iCs/>
                <w:sz w:val="24"/>
                <w:szCs w:val="24"/>
              </w:rPr>
              <w:t>opposed</w:t>
            </w:r>
            <w:r w:rsidRPr="00FE2EC6">
              <w:rPr>
                <w:rFonts w:ascii="Arial" w:hAnsi="Arial" w:cs="Arial"/>
                <w:i/>
                <w:iCs/>
                <w:sz w:val="24"/>
                <w:szCs w:val="24"/>
              </w:rPr>
              <w:t xml:space="preserve"> to a </w:t>
            </w:r>
            <w:r w:rsidRPr="00FE2EC6">
              <w:rPr>
                <w:rStyle w:val="hvr"/>
                <w:rFonts w:ascii="Arial" w:hAnsi="Arial" w:cs="Arial"/>
                <w:i/>
                <w:iCs/>
                <w:sz w:val="24"/>
                <w:szCs w:val="24"/>
              </w:rPr>
              <w:t>photocopy</w:t>
            </w:r>
            <w:r w:rsidRPr="00FE2EC6">
              <w:rPr>
                <w:rFonts w:ascii="Arial" w:hAnsi="Arial" w:cs="Arial"/>
                <w:i/>
                <w:iCs/>
                <w:sz w:val="24"/>
                <w:szCs w:val="24"/>
              </w:rPr>
              <w:t xml:space="preserve"> </w:t>
            </w:r>
            <w:r w:rsidRPr="00FE2EC6">
              <w:rPr>
                <w:rStyle w:val="hvr"/>
                <w:rFonts w:ascii="Arial" w:hAnsi="Arial" w:cs="Arial"/>
                <w:i/>
                <w:iCs/>
                <w:sz w:val="24"/>
                <w:szCs w:val="24"/>
              </w:rPr>
              <w:t>of,</w:t>
            </w:r>
            <w:r w:rsidRPr="00FE2EC6">
              <w:rPr>
                <w:rFonts w:ascii="Arial" w:hAnsi="Arial" w:cs="Arial"/>
                <w:i/>
                <w:iCs/>
                <w:sz w:val="24"/>
                <w:szCs w:val="24"/>
              </w:rPr>
              <w:t xml:space="preserve"> or </w:t>
            </w:r>
            <w:r w:rsidRPr="00FE2EC6">
              <w:rPr>
                <w:rStyle w:val="hvr"/>
                <w:rFonts w:ascii="Arial" w:hAnsi="Arial" w:cs="Arial"/>
                <w:i/>
                <w:iCs/>
                <w:sz w:val="24"/>
                <w:szCs w:val="24"/>
              </w:rPr>
              <w:t>other</w:t>
            </w:r>
            <w:r w:rsidRPr="00FE2EC6">
              <w:rPr>
                <w:rFonts w:ascii="Arial" w:hAnsi="Arial" w:cs="Arial"/>
                <w:i/>
                <w:iCs/>
                <w:sz w:val="24"/>
                <w:szCs w:val="24"/>
              </w:rPr>
              <w:t xml:space="preserve"> </w:t>
            </w:r>
            <w:r w:rsidRPr="00FE2EC6">
              <w:rPr>
                <w:rStyle w:val="hvr"/>
                <w:rFonts w:ascii="Arial" w:hAnsi="Arial" w:cs="Arial"/>
                <w:i/>
                <w:iCs/>
                <w:sz w:val="24"/>
                <w:szCs w:val="24"/>
              </w:rPr>
              <w:t>substitute</w:t>
            </w:r>
            <w:r w:rsidRPr="00FE2EC6">
              <w:rPr>
                <w:rFonts w:ascii="Arial" w:hAnsi="Arial" w:cs="Arial"/>
                <w:i/>
                <w:iCs/>
                <w:sz w:val="24"/>
                <w:szCs w:val="24"/>
              </w:rPr>
              <w:t xml:space="preserve"> </w:t>
            </w:r>
            <w:r w:rsidRPr="00FE2EC6">
              <w:rPr>
                <w:rStyle w:val="hvr"/>
                <w:rFonts w:ascii="Arial" w:hAnsi="Arial" w:cs="Arial"/>
                <w:i/>
                <w:iCs/>
                <w:sz w:val="24"/>
                <w:szCs w:val="24"/>
              </w:rPr>
              <w:t>for,</w:t>
            </w:r>
            <w:r w:rsidRPr="00FE2EC6">
              <w:rPr>
                <w:rFonts w:ascii="Arial" w:hAnsi="Arial" w:cs="Arial"/>
                <w:i/>
                <w:iCs/>
                <w:sz w:val="24"/>
                <w:szCs w:val="24"/>
              </w:rPr>
              <w:t xml:space="preserve"> </w:t>
            </w:r>
            <w:r w:rsidRPr="00FE2EC6">
              <w:rPr>
                <w:rStyle w:val="hvr"/>
                <w:rFonts w:ascii="Arial" w:hAnsi="Arial" w:cs="Arial"/>
                <w:i/>
                <w:iCs/>
                <w:sz w:val="24"/>
                <w:szCs w:val="24"/>
              </w:rPr>
              <w:t>the</w:t>
            </w:r>
            <w:r w:rsidRPr="00FE2EC6">
              <w:rPr>
                <w:rFonts w:ascii="Arial" w:hAnsi="Arial" w:cs="Arial"/>
                <w:i/>
                <w:iCs/>
                <w:sz w:val="24"/>
                <w:szCs w:val="24"/>
              </w:rPr>
              <w:t xml:space="preserve"> </w:t>
            </w:r>
            <w:r w:rsidRPr="00FE2EC6">
              <w:rPr>
                <w:rStyle w:val="hvr"/>
                <w:rFonts w:ascii="Arial" w:hAnsi="Arial" w:cs="Arial"/>
                <w:i/>
                <w:iCs/>
                <w:sz w:val="24"/>
                <w:szCs w:val="24"/>
              </w:rPr>
              <w:t>item</w:t>
            </w:r>
            <w:r w:rsidRPr="00FE2EC6">
              <w:rPr>
                <w:rFonts w:ascii="Arial" w:hAnsi="Arial" w:cs="Arial"/>
                <w:i/>
                <w:iCs/>
                <w:sz w:val="24"/>
                <w:szCs w:val="24"/>
              </w:rPr>
              <w:t xml:space="preserve"> or </w:t>
            </w:r>
            <w:r w:rsidRPr="00FE2EC6">
              <w:rPr>
                <w:rStyle w:val="hvr"/>
                <w:rFonts w:ascii="Arial" w:hAnsi="Arial" w:cs="Arial"/>
                <w:i/>
                <w:iCs/>
                <w:sz w:val="24"/>
                <w:szCs w:val="24"/>
              </w:rPr>
              <w:t>the</w:t>
            </w:r>
            <w:r w:rsidRPr="00FE2EC6">
              <w:rPr>
                <w:rFonts w:ascii="Arial" w:hAnsi="Arial" w:cs="Arial"/>
                <w:i/>
                <w:iCs/>
                <w:sz w:val="24"/>
                <w:szCs w:val="24"/>
              </w:rPr>
              <w:t xml:space="preserve"> </w:t>
            </w:r>
            <w:r w:rsidRPr="00FE2EC6">
              <w:rPr>
                <w:rStyle w:val="hvr"/>
                <w:rFonts w:ascii="Arial" w:hAnsi="Arial" w:cs="Arial"/>
                <w:i/>
                <w:iCs/>
                <w:sz w:val="24"/>
                <w:szCs w:val="24"/>
              </w:rPr>
              <w:t>testimony</w:t>
            </w:r>
            <w:r w:rsidRPr="00FE2EC6">
              <w:rPr>
                <w:rFonts w:ascii="Arial" w:hAnsi="Arial" w:cs="Arial"/>
                <w:i/>
                <w:iCs/>
                <w:sz w:val="24"/>
                <w:szCs w:val="24"/>
              </w:rPr>
              <w:t xml:space="preserve"> of a </w:t>
            </w:r>
            <w:r w:rsidRPr="00FE2EC6">
              <w:rPr>
                <w:rStyle w:val="hvr"/>
                <w:rFonts w:ascii="Arial" w:hAnsi="Arial" w:cs="Arial"/>
                <w:i/>
                <w:iCs/>
                <w:sz w:val="24"/>
                <w:szCs w:val="24"/>
              </w:rPr>
              <w:t>witness</w:t>
            </w:r>
            <w:r w:rsidRPr="00FE2EC6">
              <w:rPr>
                <w:rFonts w:ascii="Arial" w:hAnsi="Arial" w:cs="Arial"/>
                <w:i/>
                <w:iCs/>
                <w:sz w:val="24"/>
                <w:szCs w:val="24"/>
              </w:rPr>
              <w:t xml:space="preserve"> </w:t>
            </w:r>
            <w:r w:rsidRPr="00FE2EC6">
              <w:rPr>
                <w:rStyle w:val="hvr"/>
                <w:rFonts w:ascii="Arial" w:hAnsi="Arial" w:cs="Arial"/>
                <w:i/>
                <w:iCs/>
                <w:sz w:val="24"/>
                <w:szCs w:val="24"/>
              </w:rPr>
              <w:t>describing</w:t>
            </w:r>
            <w:r w:rsidRPr="00FE2EC6">
              <w:rPr>
                <w:rFonts w:ascii="Arial" w:hAnsi="Arial" w:cs="Arial"/>
                <w:i/>
                <w:iCs/>
                <w:sz w:val="24"/>
                <w:szCs w:val="24"/>
              </w:rPr>
              <w:t xml:space="preserve"> </w:t>
            </w:r>
            <w:r w:rsidRPr="00FE2EC6">
              <w:rPr>
                <w:rStyle w:val="hvr"/>
                <w:rFonts w:ascii="Arial" w:hAnsi="Arial" w:cs="Arial"/>
                <w:i/>
                <w:iCs/>
                <w:sz w:val="24"/>
                <w:szCs w:val="24"/>
              </w:rPr>
              <w:t>it.” For example, in a financial forensic audit, best evidence will be original invoices, bank statements, contracts and delivery notes.</w:t>
            </w:r>
          </w:p>
          <w:p w:rsidR="004B537B" w:rsidRPr="00FE2EC6" w:rsidRDefault="004B537B" w:rsidP="004B537B">
            <w:pPr>
              <w:spacing w:line="360" w:lineRule="auto"/>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According to the Brentwood Forensic Accounting Unit 6 reading material “Evidence is meant to prove the case. Whether or not investigators can prove their case depends on how evidence was collected and what was recovered.” Page 18 goes on to state, “After discovering the nature of documents and records available, it is important for investigators to know how to organize them. There is always the possibility of information overload as financial crime investigation involves more documentation and greater collection of records than any other types of investigations.” Other important reasons for well-organized evidence include:</w:t>
            </w:r>
          </w:p>
          <w:p w:rsidR="004B537B" w:rsidRPr="00FE2EC6" w:rsidRDefault="004B537B" w:rsidP="004B537B">
            <w:pPr>
              <w:pStyle w:val="ListParagraph"/>
              <w:spacing w:line="360" w:lineRule="auto"/>
              <w:rPr>
                <w:rFonts w:ascii="Arial" w:hAnsi="Arial" w:cs="Arial"/>
                <w:sz w:val="24"/>
                <w:szCs w:val="24"/>
              </w:rPr>
            </w:pPr>
          </w:p>
          <w:p w:rsidR="004B537B" w:rsidRPr="00FE2EC6" w:rsidRDefault="004B537B" w:rsidP="004B537B">
            <w:pPr>
              <w:pStyle w:val="ListParagraph"/>
              <w:numPr>
                <w:ilvl w:val="0"/>
                <w:numId w:val="3"/>
              </w:numPr>
              <w:spacing w:after="160" w:line="360" w:lineRule="auto"/>
              <w:rPr>
                <w:rFonts w:ascii="Arial" w:hAnsi="Arial" w:cs="Arial"/>
                <w:sz w:val="24"/>
                <w:szCs w:val="24"/>
              </w:rPr>
            </w:pPr>
            <w:r w:rsidRPr="00FE2EC6">
              <w:rPr>
                <w:rFonts w:ascii="Arial" w:hAnsi="Arial" w:cs="Arial"/>
                <w:sz w:val="24"/>
                <w:szCs w:val="24"/>
              </w:rPr>
              <w:t>Reduce the risk of loss or destruction.</w:t>
            </w:r>
          </w:p>
          <w:p w:rsidR="004B537B" w:rsidRPr="00FE2EC6" w:rsidRDefault="004B537B" w:rsidP="004B537B">
            <w:pPr>
              <w:pStyle w:val="ListParagraph"/>
              <w:numPr>
                <w:ilvl w:val="0"/>
                <w:numId w:val="3"/>
              </w:numPr>
              <w:spacing w:after="160" w:line="360" w:lineRule="auto"/>
              <w:rPr>
                <w:rFonts w:ascii="Arial" w:hAnsi="Arial" w:cs="Arial"/>
                <w:sz w:val="24"/>
                <w:szCs w:val="24"/>
              </w:rPr>
            </w:pPr>
            <w:r w:rsidRPr="00FE2EC6">
              <w:rPr>
                <w:rFonts w:ascii="Arial" w:hAnsi="Arial" w:cs="Arial"/>
                <w:sz w:val="24"/>
                <w:szCs w:val="24"/>
              </w:rPr>
              <w:t xml:space="preserve">Reduce the risk of the evidence being tampered with and reduce the solvability of the case.  </w:t>
            </w:r>
          </w:p>
          <w:p w:rsidR="004B537B" w:rsidRPr="00FE2EC6" w:rsidRDefault="004B537B" w:rsidP="004B537B">
            <w:pPr>
              <w:pStyle w:val="ListParagraph"/>
              <w:numPr>
                <w:ilvl w:val="0"/>
                <w:numId w:val="3"/>
              </w:numPr>
              <w:spacing w:after="160" w:line="360" w:lineRule="auto"/>
              <w:rPr>
                <w:rFonts w:ascii="Arial" w:hAnsi="Arial" w:cs="Arial"/>
                <w:sz w:val="24"/>
                <w:szCs w:val="24"/>
              </w:rPr>
            </w:pPr>
            <w:r w:rsidRPr="00FE2EC6">
              <w:rPr>
                <w:rFonts w:ascii="Arial" w:hAnsi="Arial" w:cs="Arial"/>
                <w:sz w:val="24"/>
                <w:szCs w:val="24"/>
              </w:rPr>
              <w:t xml:space="preserve">Reduce the time and cost involved in the case. </w:t>
            </w:r>
          </w:p>
          <w:p w:rsidR="004B537B" w:rsidRPr="00FE2EC6" w:rsidRDefault="004B537B" w:rsidP="004B537B">
            <w:pPr>
              <w:spacing w:line="360" w:lineRule="auto"/>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The devices which could help when collecting evidence include the following:</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Personal Computers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Network Servers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Wireless and cordless telephones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PDAs and BlackBerry devices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Answering machines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Paging devices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Caller ID devices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Digital Cameras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Facsimile machines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Printers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Scanners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ID card printers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Copiers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Computer disc duplicators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Smart cards/magnetic strips cards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Security systems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Global positioning systems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Electronic gaming devices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Vehicle computer devices</w:t>
            </w:r>
          </w:p>
          <w:p w:rsidR="004B537B" w:rsidRPr="00FE2EC6" w:rsidRDefault="004B537B" w:rsidP="004B537B">
            <w:pPr>
              <w:pStyle w:val="ListParagraph"/>
              <w:numPr>
                <w:ilvl w:val="0"/>
                <w:numId w:val="4"/>
              </w:numPr>
              <w:spacing w:after="160" w:line="360" w:lineRule="auto"/>
              <w:rPr>
                <w:rFonts w:ascii="Arial" w:hAnsi="Arial" w:cs="Arial"/>
                <w:sz w:val="24"/>
                <w:szCs w:val="24"/>
              </w:rPr>
            </w:pPr>
            <w:r w:rsidRPr="00FE2EC6">
              <w:rPr>
                <w:rFonts w:ascii="Arial" w:hAnsi="Arial" w:cs="Arial"/>
                <w:sz w:val="24"/>
                <w:szCs w:val="24"/>
              </w:rPr>
              <w:t>Storage media</w:t>
            </w:r>
          </w:p>
          <w:p w:rsidR="004B537B" w:rsidRPr="00FE2EC6" w:rsidRDefault="004B537B" w:rsidP="004B537B">
            <w:pPr>
              <w:spacing w:line="360" w:lineRule="auto"/>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 xml:space="preserve">Gathering, documenting and retaining evidence are crucial steps in any investigation and critical to forensic accounting investigations. In such </w:t>
            </w:r>
            <w:r w:rsidRPr="00FE2EC6">
              <w:rPr>
                <w:rFonts w:ascii="Arial" w:hAnsi="Arial" w:cs="Arial"/>
                <w:sz w:val="24"/>
                <w:szCs w:val="24"/>
              </w:rPr>
              <w:lastRenderedPageBreak/>
              <w:t>investigations, several types of evidence are normally relevant and most of them are documentary in nature. Before gathering any evidence, the forensic accounting investigator should consider with the counsel and the client the level of detailed record keeping necessary to establish the chain of custody over the evidence. Evidence</w:t>
            </w:r>
            <w:r w:rsidRPr="00FE2EC6">
              <w:rPr>
                <w:rFonts w:ascii="Cambria Math" w:hAnsi="Cambria Math" w:cs="Cambria Math"/>
                <w:sz w:val="24"/>
                <w:szCs w:val="24"/>
              </w:rPr>
              <w:t>‐</w:t>
            </w:r>
            <w:r w:rsidRPr="00FE2EC6">
              <w:rPr>
                <w:rFonts w:ascii="Arial" w:hAnsi="Arial" w:cs="Arial"/>
                <w:sz w:val="24"/>
                <w:szCs w:val="24"/>
              </w:rPr>
              <w:t>gathering plan should begin broadly. Even though some of the allegations could be unfounded or overblown by disgruntled employees, it may be unwise to ignore them. Original documents should be marked as evidence and filed separately. Gathering evidence and keeping proper control of it from the time it was first collected until its ultimate use in legal proceedings or other forms of reporting are highly significant aspects of a properly conducted forensic accounting investigation.</w:t>
            </w:r>
          </w:p>
          <w:p w:rsidR="004B537B" w:rsidRPr="00FE2EC6" w:rsidRDefault="004B537B" w:rsidP="004B537B">
            <w:pPr>
              <w:pStyle w:val="ListParagraph"/>
              <w:spacing w:line="360" w:lineRule="auto"/>
              <w:ind w:left="1080"/>
              <w:rPr>
                <w:rFonts w:ascii="Arial" w:hAnsi="Arial" w:cs="Arial"/>
                <w:sz w:val="24"/>
                <w:szCs w:val="24"/>
              </w:rPr>
            </w:pPr>
            <w:r w:rsidRPr="00FE2EC6">
              <w:rPr>
                <w:rStyle w:val="hlfld-contribauthor"/>
                <w:rFonts w:ascii="Arial" w:hAnsi="Arial" w:cs="Arial"/>
                <w:sz w:val="24"/>
                <w:szCs w:val="24"/>
              </w:rPr>
              <w:t>P K Ozili</w:t>
            </w:r>
            <w:r w:rsidRPr="00FE2EC6">
              <w:rPr>
                <w:rFonts w:ascii="Arial" w:hAnsi="Arial" w:cs="Arial"/>
                <w:sz w:val="24"/>
                <w:szCs w:val="24"/>
              </w:rPr>
              <w:t>, Advances and Issues in Fraud Research: A Commentary</w:t>
            </w:r>
            <w:r w:rsidRPr="00FE2EC6">
              <w:rPr>
                <w:rStyle w:val="seperator"/>
                <w:rFonts w:ascii="Arial" w:hAnsi="Arial" w:cs="Arial"/>
                <w:sz w:val="24"/>
                <w:szCs w:val="24"/>
              </w:rPr>
              <w:t xml:space="preserve">, </w:t>
            </w:r>
            <w:r w:rsidRPr="00FE2EC6">
              <w:rPr>
                <w:rStyle w:val="seriestitle"/>
                <w:rFonts w:ascii="Arial" w:hAnsi="Arial" w:cs="Arial"/>
                <w:i/>
                <w:iCs/>
                <w:sz w:val="24"/>
                <w:szCs w:val="24"/>
              </w:rPr>
              <w:t>SSRN Electronic Journal</w:t>
            </w:r>
            <w:r w:rsidRPr="00FE2EC6">
              <w:rPr>
                <w:rStyle w:val="seperator"/>
                <w:rFonts w:ascii="Arial" w:hAnsi="Arial" w:cs="Arial"/>
                <w:sz w:val="24"/>
                <w:szCs w:val="24"/>
              </w:rPr>
              <w:t xml:space="preserve">, </w:t>
            </w:r>
            <w:r w:rsidRPr="00FE2EC6">
              <w:rPr>
                <w:rStyle w:val="doi"/>
                <w:rFonts w:ascii="Arial" w:hAnsi="Arial" w:cs="Arial"/>
                <w:sz w:val="24"/>
                <w:szCs w:val="24"/>
              </w:rPr>
              <w:t>10.2139/ssrn.3132210</w:t>
            </w:r>
            <w:r w:rsidRPr="00FE2EC6">
              <w:rPr>
                <w:rStyle w:val="seperator"/>
                <w:rFonts w:ascii="Arial" w:hAnsi="Arial" w:cs="Arial"/>
                <w:sz w:val="24"/>
                <w:szCs w:val="24"/>
              </w:rPr>
              <w:t xml:space="preserve">, </w:t>
            </w:r>
            <w:r w:rsidRPr="00FE2EC6">
              <w:rPr>
                <w:rStyle w:val="pub-year"/>
                <w:rFonts w:ascii="Arial" w:hAnsi="Arial" w:cs="Arial"/>
                <w:sz w:val="24"/>
                <w:szCs w:val="24"/>
              </w:rPr>
              <w:t>(2018)</w:t>
            </w:r>
            <w:r w:rsidRPr="00FE2EC6">
              <w:rPr>
                <w:rFonts w:ascii="Arial" w:hAnsi="Arial" w:cs="Arial"/>
                <w:sz w:val="24"/>
                <w:szCs w:val="24"/>
              </w:rPr>
              <w:t>.</w:t>
            </w:r>
          </w:p>
          <w:p w:rsidR="004B537B" w:rsidRPr="00FE2EC6" w:rsidRDefault="004B537B" w:rsidP="004B537B">
            <w:pPr>
              <w:pStyle w:val="ListParagraph"/>
              <w:spacing w:line="360" w:lineRule="auto"/>
              <w:ind w:left="1080"/>
              <w:rPr>
                <w:rFonts w:ascii="Arial" w:hAnsi="Arial" w:cs="Arial"/>
                <w:sz w:val="24"/>
                <w:szCs w:val="24"/>
              </w:rPr>
            </w:pPr>
            <w:r w:rsidRPr="00FE2EC6">
              <w:rPr>
                <w:rFonts w:ascii="Arial" w:hAnsi="Arial" w:cs="Arial"/>
                <w:sz w:val="24"/>
                <w:szCs w:val="24"/>
              </w:rPr>
              <w:t>Emphasis must be placed on organizing the evidence and the establishment of a robust system of organisation in order to prevent information overload. Additionally, care must be taken to avoid loss and destruction. According to Silverstone, Sheetz, Pedneault and Rudewicz, in the book Forensic Accounting and Fraud Investigation for Non-Experts, it is necessary to consider the organization and storage of your evidence long before you collect the first document. The following will assist in the overall planning process:</w:t>
            </w:r>
          </w:p>
          <w:p w:rsidR="004B537B" w:rsidRPr="00FE2EC6" w:rsidRDefault="004B537B" w:rsidP="004B537B">
            <w:pPr>
              <w:pStyle w:val="ListParagraph"/>
              <w:numPr>
                <w:ilvl w:val="0"/>
                <w:numId w:val="5"/>
              </w:numPr>
              <w:spacing w:after="160" w:line="360" w:lineRule="auto"/>
              <w:rPr>
                <w:rFonts w:ascii="Arial" w:hAnsi="Arial" w:cs="Arial"/>
                <w:sz w:val="24"/>
                <w:szCs w:val="24"/>
              </w:rPr>
            </w:pPr>
            <w:r w:rsidRPr="00FE2EC6">
              <w:rPr>
                <w:rFonts w:ascii="Arial" w:hAnsi="Arial" w:cs="Arial"/>
                <w:sz w:val="24"/>
                <w:szCs w:val="24"/>
              </w:rPr>
              <w:t>The creation of a flexible numbering/identification system</w:t>
            </w:r>
          </w:p>
          <w:p w:rsidR="004B537B" w:rsidRPr="00FE2EC6" w:rsidRDefault="004B537B" w:rsidP="004B537B">
            <w:pPr>
              <w:pStyle w:val="ListParagraph"/>
              <w:numPr>
                <w:ilvl w:val="0"/>
                <w:numId w:val="5"/>
              </w:numPr>
              <w:spacing w:after="160" w:line="360" w:lineRule="auto"/>
              <w:rPr>
                <w:rFonts w:ascii="Arial" w:hAnsi="Arial" w:cs="Arial"/>
                <w:sz w:val="24"/>
                <w:szCs w:val="24"/>
              </w:rPr>
            </w:pPr>
            <w:r w:rsidRPr="00FE2EC6">
              <w:rPr>
                <w:rFonts w:ascii="Arial" w:hAnsi="Arial" w:cs="Arial"/>
                <w:sz w:val="24"/>
                <w:szCs w:val="24"/>
              </w:rPr>
              <w:t>A descriptive numbering system can also be very useful</w:t>
            </w:r>
          </w:p>
          <w:p w:rsidR="004B537B" w:rsidRPr="00FE2EC6" w:rsidRDefault="004B537B" w:rsidP="004B537B">
            <w:pPr>
              <w:pStyle w:val="ListParagraph"/>
              <w:numPr>
                <w:ilvl w:val="0"/>
                <w:numId w:val="5"/>
              </w:numPr>
              <w:spacing w:after="160" w:line="360" w:lineRule="auto"/>
              <w:rPr>
                <w:rFonts w:ascii="Arial" w:hAnsi="Arial" w:cs="Arial"/>
                <w:sz w:val="24"/>
                <w:szCs w:val="24"/>
              </w:rPr>
            </w:pPr>
            <w:r w:rsidRPr="00FE2EC6">
              <w:rPr>
                <w:rFonts w:ascii="Arial" w:hAnsi="Arial" w:cs="Arial"/>
                <w:sz w:val="24"/>
                <w:szCs w:val="24"/>
              </w:rPr>
              <w:t>A plan of attack can help ease the difficulty of dealing with the numerous amount of evidence in a financial crime investigation. This will depend on the source of the evidence and the circumstances surrounding collection.</w:t>
            </w:r>
          </w:p>
          <w:p w:rsidR="004B537B" w:rsidRPr="00FE2EC6" w:rsidRDefault="004B537B" w:rsidP="004B537B">
            <w:pPr>
              <w:pStyle w:val="ListParagraph"/>
              <w:numPr>
                <w:ilvl w:val="0"/>
                <w:numId w:val="5"/>
              </w:numPr>
              <w:spacing w:after="160" w:line="360" w:lineRule="auto"/>
              <w:rPr>
                <w:rFonts w:ascii="Arial" w:hAnsi="Arial" w:cs="Arial"/>
                <w:sz w:val="24"/>
                <w:szCs w:val="24"/>
              </w:rPr>
            </w:pPr>
            <w:r w:rsidRPr="00FE2EC6">
              <w:rPr>
                <w:rFonts w:ascii="Arial" w:hAnsi="Arial" w:cs="Arial"/>
                <w:sz w:val="24"/>
                <w:szCs w:val="24"/>
              </w:rPr>
              <w:t>It may be necessary to sketch a floor plan and apply a grid, especially if the search area is large. It may also be necessary to canvass the scene where the evidence will be collected.</w:t>
            </w:r>
          </w:p>
          <w:p w:rsidR="004B537B" w:rsidRPr="00FE2EC6" w:rsidRDefault="004B537B" w:rsidP="004B537B">
            <w:pPr>
              <w:pStyle w:val="ListParagraph"/>
              <w:spacing w:line="360" w:lineRule="auto"/>
              <w:ind w:left="1080"/>
              <w:rPr>
                <w:rFonts w:ascii="Arial" w:hAnsi="Arial" w:cs="Arial"/>
                <w:sz w:val="24"/>
                <w:szCs w:val="24"/>
              </w:rPr>
            </w:pPr>
            <w:r w:rsidRPr="00FE2EC6">
              <w:rPr>
                <w:rFonts w:ascii="Arial" w:hAnsi="Arial" w:cs="Arial"/>
                <w:sz w:val="24"/>
                <w:szCs w:val="24"/>
              </w:rPr>
              <w:t xml:space="preserve">According to the Joint Committee on Standards for Educational Evaluation. Program evaluation standards: how to assess evaluations of </w:t>
            </w:r>
            <w:r w:rsidRPr="00FE2EC6">
              <w:rPr>
                <w:rFonts w:ascii="Arial" w:hAnsi="Arial" w:cs="Arial"/>
                <w:sz w:val="24"/>
                <w:szCs w:val="24"/>
              </w:rPr>
              <w:lastRenderedPageBreak/>
              <w:t>educational programs. 2nd ed. Thousand Oaks, CA: Sage Publications, 1994, the following must be considered when planning for the collection of evidence:</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 xml:space="preserve">Choosing indicators that meaningfully address evaluation questions; </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 xml:space="preserve">Describing fully the attributes of information sources and the rationale for their selection; </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 xml:space="preserve">Establishing clear procedures and training staff to collect high-quality information; </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Monitoring periodically the quality of information obtained and taking practical steps to improve quality;</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 xml:space="preserve">Estimating in advance the amount of information required or establishing criteria for deciding when to stop collecting data in situations where an iterative or evolving process is used; and </w:t>
            </w:r>
          </w:p>
          <w:p w:rsidR="004B537B" w:rsidRPr="00FE2EC6" w:rsidRDefault="004B537B" w:rsidP="004B537B">
            <w:pPr>
              <w:pStyle w:val="ListParagraph"/>
              <w:numPr>
                <w:ilvl w:val="0"/>
                <w:numId w:val="6"/>
              </w:numPr>
              <w:spacing w:after="160" w:line="360" w:lineRule="auto"/>
              <w:rPr>
                <w:rFonts w:ascii="Arial" w:hAnsi="Arial" w:cs="Arial"/>
                <w:sz w:val="24"/>
                <w:szCs w:val="24"/>
              </w:rPr>
            </w:pPr>
            <w:r w:rsidRPr="00FE2EC6">
              <w:rPr>
                <w:rFonts w:ascii="Arial" w:hAnsi="Arial" w:cs="Arial"/>
                <w:sz w:val="24"/>
                <w:szCs w:val="24"/>
              </w:rPr>
              <w:t xml:space="preserve">Safeguarding the confidentiality of information and information sources.  </w:t>
            </w:r>
          </w:p>
          <w:p w:rsidR="004B537B" w:rsidRPr="00FE2EC6" w:rsidRDefault="004B537B" w:rsidP="004B537B">
            <w:pPr>
              <w:pStyle w:val="ListParagraph"/>
              <w:spacing w:line="360" w:lineRule="auto"/>
              <w:ind w:left="1800"/>
              <w:rPr>
                <w:rFonts w:ascii="Arial" w:hAnsi="Arial" w:cs="Arial"/>
                <w:sz w:val="24"/>
                <w:szCs w:val="24"/>
              </w:rPr>
            </w:pPr>
          </w:p>
          <w:p w:rsidR="004B537B" w:rsidRPr="00FE2EC6" w:rsidRDefault="004B537B" w:rsidP="004B537B">
            <w:pPr>
              <w:pStyle w:val="ListParagraph"/>
              <w:spacing w:line="360" w:lineRule="auto"/>
              <w:ind w:left="1800"/>
              <w:rPr>
                <w:rFonts w:ascii="Arial" w:hAnsi="Arial" w:cs="Arial"/>
                <w:sz w:val="24"/>
                <w:szCs w:val="24"/>
              </w:rPr>
            </w:pPr>
            <w:r w:rsidRPr="00FE2EC6">
              <w:rPr>
                <w:rFonts w:ascii="Arial" w:hAnsi="Arial" w:cs="Arial"/>
                <w:sz w:val="24"/>
                <w:szCs w:val="24"/>
              </w:rPr>
              <w:t xml:space="preserve">Finally, focus must be on the method of collection and storage of the evidence for timely and accurate retrieval.   </w:t>
            </w: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 xml:space="preserve">The “working papers” is really the file/folder containing all the relevant details of a particular case or audit. According to Golden, Skalak, and Clayton in the book entitled A guide to Forensic Investigation: “During the course of an investigation, the forensic accounting team is more than likely to produce analyses and summaries of the factual material discovered. Such analyses and summaries are likely to form the basis of testimony if litigation to recover losses is commenced, if litigation is brought against the enterprise as in shareholder class-action lawsuits, or if you are instructed or compelled by law to produce them for regulatory or other authorities. Accordingly, care should be taken to include all appropriate materials in the files of the engagement. The practice of cross-referencing analyses to sources of information is critically </w:t>
            </w:r>
            <w:r w:rsidRPr="00FE2EC6">
              <w:rPr>
                <w:rFonts w:ascii="Arial" w:hAnsi="Arial" w:cs="Arial"/>
                <w:sz w:val="24"/>
                <w:szCs w:val="24"/>
              </w:rPr>
              <w:lastRenderedPageBreak/>
              <w:t xml:space="preserve">important and often conveniently accomplished by noting the Bates number of the document from which the data was taken subject to the document retention requirements set forth earlier. </w:t>
            </w:r>
          </w:p>
          <w:p w:rsidR="004B537B" w:rsidRPr="00FE2EC6" w:rsidRDefault="004B537B" w:rsidP="004B537B">
            <w:pPr>
              <w:pStyle w:val="ListParagraph"/>
              <w:spacing w:line="360" w:lineRule="auto"/>
              <w:ind w:left="1080"/>
              <w:rPr>
                <w:rFonts w:ascii="Arial" w:hAnsi="Arial" w:cs="Arial"/>
                <w:sz w:val="24"/>
                <w:szCs w:val="24"/>
              </w:rPr>
            </w:pPr>
            <w:r w:rsidRPr="00FE2EC6">
              <w:rPr>
                <w:rFonts w:ascii="Arial" w:hAnsi="Arial" w:cs="Arial"/>
                <w:sz w:val="24"/>
                <w:szCs w:val="24"/>
              </w:rPr>
              <w:t>The unique subject matter of each investigation will dictate what should be maintained in the working papers, but some types of documents that would typically be included in addition to the report of findings, are the following:</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Accounting records and other documents. General ledger, sub-ledgers, financial management reports, reconciliations, journal entries, internal audit reports, purchase orders, vendor information, accounting journals, management reports, contracts, telephone, computer system and security system records, desk files, e-mail files, Web sites—and still other types of records and documents in this category.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Public record searches. Reports from third-party investigations, such as related-party evidence, Dun &amp; Bradstreet reports, and investigative reports and information from Internet sites: the information may be as varied as newspaper articles, chat room discussions, links to hobbies, and philanthropic and other outside interests and investments. Sources of this material may include filings with the U.S. Securities and Exchange Commission (SEC), accessed through EDGAR.3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Electronic computer files. E-mail (copies of To, From, cc, and bcc), computer files or imaged records of entire drives (see Chapter 20), and data stored in handheld personal digital assistants.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Photographs or digital photos, preferably with a date/time stamp.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Chain-of-custody documentation.</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Interview notes and audio recordings. Interview notes taken by you and your staff professionals during the investigation of witnesses—both targets and company personnel.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 xml:space="preserve">Third-party information. Provided by legal counsel or other interested third parties, this material might include external audit </w:t>
            </w:r>
            <w:r w:rsidRPr="00FE2EC6">
              <w:rPr>
                <w:rFonts w:ascii="Arial" w:hAnsi="Arial" w:cs="Arial"/>
                <w:sz w:val="24"/>
                <w:szCs w:val="24"/>
              </w:rPr>
              <w:lastRenderedPageBreak/>
              <w:t xml:space="preserve">reports, management letters and reports, records of non-audit services, bank statements (canceled checks, bank advices, and other supporting documentation), and documents obtained by subpoena or search warrants. </w:t>
            </w:r>
          </w:p>
          <w:p w:rsidR="004B537B" w:rsidRPr="00FE2EC6" w:rsidRDefault="004B537B" w:rsidP="004B537B">
            <w:pPr>
              <w:pStyle w:val="ListParagraph"/>
              <w:numPr>
                <w:ilvl w:val="0"/>
                <w:numId w:val="7"/>
              </w:numPr>
              <w:spacing w:after="160" w:line="360" w:lineRule="auto"/>
              <w:rPr>
                <w:rFonts w:ascii="Arial" w:hAnsi="Arial" w:cs="Arial"/>
                <w:sz w:val="24"/>
                <w:szCs w:val="24"/>
              </w:rPr>
            </w:pPr>
            <w:r w:rsidRPr="00FE2EC6">
              <w:rPr>
                <w:rFonts w:ascii="Arial" w:hAnsi="Arial" w:cs="Arial"/>
                <w:sz w:val="24"/>
                <w:szCs w:val="24"/>
              </w:rPr>
              <w:t>Court pleadings and deposition transcripts.”</w:t>
            </w:r>
          </w:p>
          <w:p w:rsidR="004B537B" w:rsidRPr="00FE2EC6" w:rsidRDefault="004B537B" w:rsidP="004B537B">
            <w:pPr>
              <w:pStyle w:val="ListParagraph"/>
              <w:spacing w:line="360" w:lineRule="auto"/>
              <w:ind w:left="1080"/>
              <w:rPr>
                <w:rFonts w:ascii="Arial" w:hAnsi="Arial" w:cs="Arial"/>
                <w:sz w:val="24"/>
                <w:szCs w:val="24"/>
              </w:rPr>
            </w:pPr>
            <w:r w:rsidRPr="00FE2EC6">
              <w:rPr>
                <w:rFonts w:ascii="Arial" w:hAnsi="Arial" w:cs="Arial"/>
                <w:sz w:val="24"/>
                <w:szCs w:val="24"/>
              </w:rPr>
              <w:t>The identical information is also presented in the Brentwood Forensic Accounting study material on page eight (6) under the heading “Working Papers”.</w:t>
            </w:r>
          </w:p>
          <w:p w:rsidR="004B537B" w:rsidRPr="00FE2EC6" w:rsidRDefault="004B537B" w:rsidP="004B537B">
            <w:pPr>
              <w:spacing w:line="360" w:lineRule="auto"/>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The order of obtaining evidence depends largely on the skill set of the investigator. However the study material from Brentwood on Forensic Accounting outlined three steps recommended for obtaining or collecting evidence.</w:t>
            </w:r>
          </w:p>
          <w:p w:rsidR="004B537B" w:rsidRPr="00FE2EC6" w:rsidRDefault="004B537B" w:rsidP="004B537B">
            <w:pPr>
              <w:pStyle w:val="ListParagraph"/>
              <w:numPr>
                <w:ilvl w:val="0"/>
                <w:numId w:val="9"/>
              </w:numPr>
              <w:spacing w:after="160" w:line="360" w:lineRule="auto"/>
              <w:rPr>
                <w:rFonts w:ascii="Arial" w:hAnsi="Arial" w:cs="Arial"/>
                <w:sz w:val="24"/>
                <w:szCs w:val="24"/>
              </w:rPr>
            </w:pPr>
            <w:r w:rsidRPr="00FE2EC6">
              <w:rPr>
                <w:rFonts w:ascii="Arial" w:hAnsi="Arial" w:cs="Arial"/>
                <w:sz w:val="24"/>
                <w:szCs w:val="24"/>
              </w:rPr>
              <w:t xml:space="preserve">The first step document retention gathering – This is very important since forensic accounting investigations are heavily reliance on documentary proof, document retention and preservation. The forensic accountant would have to decide the what, how, where and for how long about document retention.  </w:t>
            </w:r>
          </w:p>
          <w:p w:rsidR="004B537B" w:rsidRPr="00FE2EC6" w:rsidRDefault="004B537B" w:rsidP="004B537B">
            <w:pPr>
              <w:pStyle w:val="ListParagraph"/>
              <w:numPr>
                <w:ilvl w:val="0"/>
                <w:numId w:val="9"/>
              </w:numPr>
              <w:spacing w:after="160" w:line="360" w:lineRule="auto"/>
              <w:rPr>
                <w:rFonts w:ascii="Arial" w:hAnsi="Arial" w:cs="Arial"/>
                <w:sz w:val="24"/>
                <w:szCs w:val="24"/>
              </w:rPr>
            </w:pPr>
            <w:r w:rsidRPr="00FE2EC6">
              <w:rPr>
                <w:rFonts w:ascii="Arial" w:hAnsi="Arial" w:cs="Arial"/>
                <w:sz w:val="24"/>
                <w:szCs w:val="24"/>
              </w:rPr>
              <w:t>The second step planning considerations – “It is usually important to meet up with clients, depending on the nature of the investigation, in order to discuss the type of evidence that may be require and to locate the evidence relating to the time period under scrutiny.” Brentwood study material on Forensic Accounting. This step is very important in the overall implementation of the investigation process, and can determine whether the process stays within time and budget.</w:t>
            </w:r>
          </w:p>
          <w:p w:rsidR="004B537B" w:rsidRPr="00FE2EC6" w:rsidRDefault="004B537B" w:rsidP="004B537B">
            <w:pPr>
              <w:pStyle w:val="ListParagraph"/>
              <w:numPr>
                <w:ilvl w:val="0"/>
                <w:numId w:val="9"/>
              </w:numPr>
              <w:spacing w:after="160" w:line="360" w:lineRule="auto"/>
              <w:rPr>
                <w:rFonts w:ascii="Arial" w:hAnsi="Arial" w:cs="Arial"/>
                <w:sz w:val="24"/>
                <w:szCs w:val="24"/>
              </w:rPr>
            </w:pPr>
            <w:r w:rsidRPr="00FE2EC6">
              <w:rPr>
                <w:rFonts w:ascii="Arial" w:hAnsi="Arial" w:cs="Arial"/>
                <w:sz w:val="24"/>
                <w:szCs w:val="24"/>
              </w:rPr>
              <w:t xml:space="preserve">The third stage creating a chain of custody – “The chain of custody serves as proof that the evidence has been properly preserved from alteration and damage from the time it was collected to its presentation. It signifies to the court or regulatory body in front of which the evidence is being presented that it has probative value.” Brentwood study material on Forensic Accounting. </w:t>
            </w:r>
          </w:p>
          <w:p w:rsidR="004B537B" w:rsidRPr="00FE2EC6" w:rsidRDefault="004B537B" w:rsidP="004B537B">
            <w:pPr>
              <w:pStyle w:val="ListParagraph"/>
              <w:spacing w:line="360" w:lineRule="auto"/>
              <w:ind w:left="1800"/>
              <w:rPr>
                <w:rFonts w:ascii="Arial" w:hAnsi="Arial" w:cs="Arial"/>
                <w:sz w:val="24"/>
                <w:szCs w:val="24"/>
              </w:rPr>
            </w:pPr>
          </w:p>
          <w:p w:rsidR="004B537B" w:rsidRPr="00FE2EC6" w:rsidRDefault="004B537B" w:rsidP="004B537B">
            <w:pPr>
              <w:pStyle w:val="ListParagraph"/>
              <w:numPr>
                <w:ilvl w:val="0"/>
                <w:numId w:val="2"/>
              </w:numPr>
              <w:spacing w:after="160" w:line="360" w:lineRule="auto"/>
              <w:rPr>
                <w:rFonts w:ascii="Arial" w:hAnsi="Arial" w:cs="Arial"/>
                <w:sz w:val="24"/>
                <w:szCs w:val="24"/>
              </w:rPr>
            </w:pPr>
            <w:r w:rsidRPr="00FE2EC6">
              <w:rPr>
                <w:rFonts w:ascii="Arial" w:hAnsi="Arial" w:cs="Arial"/>
                <w:sz w:val="24"/>
                <w:szCs w:val="24"/>
              </w:rPr>
              <w:t>The types of documents that are generally collected in an evidence gathering process are as follows according to the Brentwood study material on Forensic Accounting (page 11):</w:t>
            </w:r>
          </w:p>
          <w:p w:rsidR="004B537B" w:rsidRPr="00FE2EC6" w:rsidRDefault="004B537B" w:rsidP="004B537B">
            <w:pPr>
              <w:pStyle w:val="ListParagraph"/>
              <w:numPr>
                <w:ilvl w:val="0"/>
                <w:numId w:val="8"/>
              </w:numPr>
              <w:spacing w:after="160" w:line="360" w:lineRule="auto"/>
              <w:rPr>
                <w:rFonts w:ascii="Arial" w:hAnsi="Arial" w:cs="Arial"/>
                <w:sz w:val="24"/>
                <w:szCs w:val="24"/>
              </w:rPr>
            </w:pPr>
            <w:r w:rsidRPr="00FE2EC6">
              <w:rPr>
                <w:rFonts w:ascii="Arial" w:hAnsi="Arial" w:cs="Arial"/>
                <w:sz w:val="24"/>
                <w:szCs w:val="24"/>
              </w:rPr>
              <w:t>Signed statements – These are written and signed statements from witnesses and complainants. The source of this type of document is from the actual witnesses and complainants.</w:t>
            </w:r>
          </w:p>
          <w:p w:rsidR="004B537B" w:rsidRPr="00FE2EC6" w:rsidRDefault="004B537B" w:rsidP="004B537B">
            <w:pPr>
              <w:pStyle w:val="ListParagraph"/>
              <w:numPr>
                <w:ilvl w:val="0"/>
                <w:numId w:val="8"/>
              </w:numPr>
              <w:spacing w:after="160" w:line="360" w:lineRule="auto"/>
              <w:rPr>
                <w:rFonts w:ascii="Arial" w:hAnsi="Arial" w:cs="Arial"/>
                <w:sz w:val="24"/>
                <w:szCs w:val="24"/>
              </w:rPr>
            </w:pPr>
            <w:r w:rsidRPr="00FE2EC6">
              <w:rPr>
                <w:rFonts w:ascii="Arial" w:hAnsi="Arial" w:cs="Arial"/>
                <w:sz w:val="24"/>
                <w:szCs w:val="24"/>
              </w:rPr>
              <w:t>Transactional paperwork – This is the paper trail or what is referred to as the audit trail for financial or other transactions. For example, an invoice can be traced from the initial stage when it is entered into the books, through to when the final payment is made by the customer. This process may include follow up for payment, credit notes, returns and even dishourned cheques. The source of this type of document will be the same original documents such as the invoices, bank statements, vouchers and other company reports and records.</w:t>
            </w:r>
          </w:p>
          <w:p w:rsidR="004B537B" w:rsidRPr="00FE2EC6" w:rsidRDefault="004B537B" w:rsidP="004B537B">
            <w:pPr>
              <w:pStyle w:val="ListParagraph"/>
              <w:numPr>
                <w:ilvl w:val="0"/>
                <w:numId w:val="8"/>
              </w:numPr>
              <w:spacing w:after="160" w:line="360" w:lineRule="auto"/>
              <w:rPr>
                <w:rFonts w:ascii="Arial" w:hAnsi="Arial" w:cs="Arial"/>
                <w:sz w:val="24"/>
                <w:szCs w:val="24"/>
              </w:rPr>
            </w:pPr>
            <w:r w:rsidRPr="00FE2EC6">
              <w:rPr>
                <w:rFonts w:ascii="Arial" w:hAnsi="Arial" w:cs="Arial"/>
                <w:sz w:val="24"/>
                <w:szCs w:val="24"/>
              </w:rPr>
              <w:t>Intranet sources – This is the internal communication system or messaging system where employees are connected with each other. The investigator can examine these conversations for useful information that can be relevant to a particle case. The source of this is chat facilities and weblogs in the company different sections or departments.</w:t>
            </w:r>
          </w:p>
          <w:p w:rsidR="004B537B" w:rsidRPr="00FE2EC6" w:rsidRDefault="004B537B" w:rsidP="004B537B">
            <w:pPr>
              <w:pStyle w:val="ListParagraph"/>
              <w:numPr>
                <w:ilvl w:val="0"/>
                <w:numId w:val="8"/>
              </w:numPr>
              <w:spacing w:after="160" w:line="360" w:lineRule="auto"/>
              <w:rPr>
                <w:rFonts w:ascii="Arial" w:hAnsi="Arial" w:cs="Arial"/>
                <w:sz w:val="24"/>
                <w:szCs w:val="24"/>
              </w:rPr>
            </w:pPr>
            <w:r w:rsidRPr="00FE2EC6">
              <w:rPr>
                <w:rFonts w:ascii="Arial" w:hAnsi="Arial" w:cs="Arial"/>
                <w:sz w:val="24"/>
                <w:szCs w:val="24"/>
              </w:rPr>
              <w:t xml:space="preserve">E-mails – Emails are arguably the most common mode of communication in a business organisation. These emails are stored for a long time on the company’s server and can be retrieved at any time by the IT staff.  </w:t>
            </w:r>
          </w:p>
          <w:p w:rsidR="004B537B" w:rsidRPr="00FE2EC6" w:rsidRDefault="004B537B" w:rsidP="004B537B">
            <w:pPr>
              <w:pStyle w:val="ListParagraph"/>
              <w:spacing w:line="360" w:lineRule="auto"/>
              <w:ind w:left="1080"/>
              <w:rPr>
                <w:rFonts w:ascii="Arial" w:hAnsi="Arial" w:cs="Arial"/>
                <w:sz w:val="24"/>
                <w:szCs w:val="24"/>
              </w:rPr>
            </w:pPr>
            <w:r w:rsidRPr="00FE2EC6">
              <w:rPr>
                <w:rFonts w:ascii="Arial" w:hAnsi="Arial" w:cs="Arial"/>
                <w:sz w:val="24"/>
                <w:szCs w:val="24"/>
              </w:rPr>
              <w:t xml:space="preserve">These sources are not the only places to find evidence, as the investigator should be flexible and make adjustments based on the particular circumstances of the case. For example, if the company involved in the investigation does not use intranet, and use memos and other internal letters instead, the investigator will have to look to those letters and memos for evidence.        </w:t>
            </w: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Question 2</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According to Wikipedia, “Financial crime is crime committed against property, involving the unlawful conversion of the ownership of property to one's own personal use and benefit. Financial crimes may involve fraud; theft; scams or confidence tricks; tax evasion; bribery; seduction; embezzlement; identity theft; money laundering; and forgery and counterfeiting, including the production of Counterfeit money and consumer goods.”</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There are various types of evidence used in financial crime investigation. Let us look at some of the categories of investigation and the related evidence associated with investigation.</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Investigations of Vendors – The evidence in this case will be related to information about the vendors in the company’s data or accounting system. Accounts Payable file will be the main document in this case. Additionally, documents can be in the form of contracts, purchase orders, invoices, payment records, return and delivery notes. Policies such as procurement and vendor approval policy can be used as evidence as well.</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Investigation of Improper Related Party transactions – The documents in this case will include the following:</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Interview notes</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Internal control policies</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E-mails</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Public record searches</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Procurement policy</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Some companies have policies for related party declaration by management and directors.</w:t>
            </w:r>
          </w:p>
          <w:p w:rsidR="004B537B" w:rsidRPr="00FE2EC6" w:rsidRDefault="004B537B" w:rsidP="004B537B">
            <w:pPr>
              <w:pStyle w:val="ListParagraph"/>
              <w:numPr>
                <w:ilvl w:val="0"/>
                <w:numId w:val="10"/>
              </w:numPr>
              <w:spacing w:after="160" w:line="360" w:lineRule="auto"/>
              <w:rPr>
                <w:rFonts w:ascii="Arial" w:hAnsi="Arial" w:cs="Arial"/>
                <w:sz w:val="24"/>
                <w:szCs w:val="24"/>
              </w:rPr>
            </w:pPr>
            <w:r w:rsidRPr="00FE2EC6">
              <w:rPr>
                <w:rFonts w:ascii="Arial" w:hAnsi="Arial" w:cs="Arial"/>
                <w:sz w:val="24"/>
                <w:szCs w:val="24"/>
              </w:rPr>
              <w:t xml:space="preserve">Minutes of board and management meetings can be used as evidence as well. </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Investigation of Employee misappropriations – Evidence in this situation may include the following:</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Desk files</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lastRenderedPageBreak/>
              <w:t>Computer data and records of employee’s access to corporate computer system</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E-mails</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Employee file, which contains employment records from interview notes and other post-employment official communications between the employee and the company.</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Cell phones and personal computers</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Property ownership</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Banking information</w:t>
            </w:r>
          </w:p>
          <w:p w:rsidR="004B537B" w:rsidRPr="00FE2EC6" w:rsidRDefault="004B537B" w:rsidP="004B537B">
            <w:pPr>
              <w:pStyle w:val="ListParagraph"/>
              <w:numPr>
                <w:ilvl w:val="0"/>
                <w:numId w:val="11"/>
              </w:numPr>
              <w:spacing w:after="160" w:line="360" w:lineRule="auto"/>
              <w:rPr>
                <w:rFonts w:ascii="Arial" w:hAnsi="Arial" w:cs="Arial"/>
                <w:sz w:val="24"/>
                <w:szCs w:val="24"/>
              </w:rPr>
            </w:pPr>
            <w:r w:rsidRPr="00FE2EC6">
              <w:rPr>
                <w:rFonts w:ascii="Arial" w:hAnsi="Arial" w:cs="Arial"/>
                <w:sz w:val="24"/>
                <w:szCs w:val="24"/>
              </w:rPr>
              <w:t>Personal lifestyle of the employee will be relevant document also.</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Investigating Financial Statement Errors – In this case the financial records and transactions will be main form of evidence. This includes copy of the entire accounting program and other computer software that is used in the process of preparing financial statements. Additionally, the following are useful evidence as well:</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Business records and operational policies</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Interviews and investigations from third parties such as banks, credit unions, vendors and customers. This is refer to as third party confirmation and it is a normal audit procedure.</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E-mail servers and data centre</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Bank statements</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Management letter from external auditors and other regulatory authority reports/findings.</w:t>
            </w:r>
          </w:p>
          <w:p w:rsidR="004B537B" w:rsidRPr="00FE2EC6" w:rsidRDefault="004B537B" w:rsidP="004B537B">
            <w:pPr>
              <w:pStyle w:val="ListParagraph"/>
              <w:numPr>
                <w:ilvl w:val="0"/>
                <w:numId w:val="12"/>
              </w:numPr>
              <w:spacing w:after="160" w:line="360" w:lineRule="auto"/>
              <w:rPr>
                <w:rFonts w:ascii="Arial" w:hAnsi="Arial" w:cs="Arial"/>
                <w:sz w:val="24"/>
                <w:szCs w:val="24"/>
              </w:rPr>
            </w:pPr>
            <w:r w:rsidRPr="00FE2EC6">
              <w:rPr>
                <w:rFonts w:ascii="Arial" w:hAnsi="Arial" w:cs="Arial"/>
                <w:sz w:val="24"/>
                <w:szCs w:val="24"/>
              </w:rPr>
              <w:t xml:space="preserve">Testimony </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The amount of documents involved in a financial crime can be significant and can also come from different sources. Investigators are expected to be thorough and flexible in the collection of evidences. Apart from the documents mentioned above, the investigator must be prepared to use other non-conventional techniques such as anonymous tips, allegations and even hearsay, to solve financial crimes.</w:t>
            </w: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lastRenderedPageBreak/>
              <w:t>Question 3</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 xml:space="preserve">According to the study material from Brentwood Collage on Forensic Accounting, the type of evidence is what differentiate financial crimes from non-financial crimes. </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 xml:space="preserve">As stated above, financial crimes can be defined as “crime committed against property, involving the unlawful conversion of the ownership of property to one's own personal use and benefit. Financial crimes may involve fraud; theft; scams or confidence tricks; tax evasion; bribery; seduction; embezzlement; identity theft; money laundering; and forgery and counterfeiting, including the production of Counterfeit money and consumer goods.” Wikipedia. All other types of crimes are considered as non-financial crimes. Examples of non-financial crimes are murder, kidnapping, false imprisonment and assault. </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“Financial crime is highly document-based. Investigations are usually faced with high volumes of documents, receipts, papers, etc. What is considered as unusually high volume of evidence for non-financial crimes is a very common volume for financial crimes.”  Brentwood Collage Forensic Accounting Study material. This means that in the process of gathering and retention of evidence, care must be taken in a financial crime investigation to ensure that the proper systems are in place to deal with the high volume of evidence. This will involve a higher level of risk of lost or tampering of evidence. Additionally, this will also negatively impact the cost of conducting the investigation as well as the time period.</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The type of evidence collected in a financial crime investigation is different from those of non-financial crimes. For example, in a non-financial crime such as murder, real or physical evidence such as guns, knife or any other weapon will be more relevant in a court of law. Other documentary evidence and photographs are also considered as relevant evidence. On the other hand, financial crime investigations will rely more on documentary evidence such as judicial records, official documents, contracts, deeds, letters, memoranda, invoices as well as any other official or private writing.</w:t>
            </w:r>
          </w:p>
          <w:p w:rsidR="004B537B" w:rsidRPr="00FE2EC6" w:rsidRDefault="004B537B" w:rsidP="004B537B">
            <w:pPr>
              <w:spacing w:line="360" w:lineRule="auto"/>
              <w:rPr>
                <w:rFonts w:ascii="Arial" w:hAnsi="Arial" w:cs="Arial"/>
                <w:sz w:val="24"/>
                <w:szCs w:val="24"/>
              </w:rPr>
            </w:pPr>
            <w:r w:rsidRPr="00FE2EC6">
              <w:rPr>
                <w:rFonts w:ascii="Arial" w:hAnsi="Arial" w:cs="Arial"/>
                <w:sz w:val="24"/>
                <w:szCs w:val="24"/>
              </w:rPr>
              <w:t xml:space="preserve">Financial and non-financial crime investigation require the same basic procedures in terms of planning and executing the investigation. However the forensic accountant and others who investigate financial crimes have to pay more attention to organize and collate evidence carefully in order to avoid the chaos ensuring </w:t>
            </w:r>
            <w:r w:rsidRPr="00FE2EC6">
              <w:rPr>
                <w:rFonts w:ascii="Arial" w:hAnsi="Arial" w:cs="Arial"/>
                <w:sz w:val="24"/>
                <w:szCs w:val="24"/>
              </w:rPr>
              <w:lastRenderedPageBreak/>
              <w:t xml:space="preserve">from the sheer number of documents that they have to deal with. Since this process of gathering evidence is so critical in investigating financial crimes, it is important that the decisions taken are closely associated to the scope and manner of the investigation. This usually call for high level of flexibility and professionalism in maintaining the value of the evidence right through to the court.       </w:t>
            </w:r>
          </w:p>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537B" w:rsidP="00A851DA">
            <w:pPr>
              <w:rPr>
                <w:rFonts w:cs="Bliss-Regular"/>
                <w:color w:val="000000"/>
              </w:rPr>
            </w:pPr>
            <w:r>
              <w:rPr>
                <w:rFonts w:cs="Bliss-Regular"/>
                <w:color w:val="000000"/>
              </w:rPr>
              <w:t>May 19,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D85" w:rsidRDefault="00010D85" w:rsidP="00CB4D0A">
      <w:pPr>
        <w:spacing w:after="0" w:line="240" w:lineRule="auto"/>
      </w:pPr>
      <w:r>
        <w:separator/>
      </w:r>
    </w:p>
  </w:endnote>
  <w:endnote w:type="continuationSeparator" w:id="0">
    <w:p w:rsidR="00010D85" w:rsidRDefault="00010D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D85" w:rsidRDefault="00010D85" w:rsidP="00CB4D0A">
      <w:pPr>
        <w:spacing w:after="0" w:line="240" w:lineRule="auto"/>
      </w:pPr>
      <w:r>
        <w:separator/>
      </w:r>
    </w:p>
  </w:footnote>
  <w:footnote w:type="continuationSeparator" w:id="0">
    <w:p w:rsidR="00010D85" w:rsidRDefault="00010D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D4513"/>
    <w:multiLevelType w:val="hybridMultilevel"/>
    <w:tmpl w:val="5B3C9F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DEA2857"/>
    <w:multiLevelType w:val="hybridMultilevel"/>
    <w:tmpl w:val="7EBA1B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4833DDC"/>
    <w:multiLevelType w:val="hybridMultilevel"/>
    <w:tmpl w:val="A5CCFD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A311D35"/>
    <w:multiLevelType w:val="hybridMultilevel"/>
    <w:tmpl w:val="72AEE6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D3E3CB6"/>
    <w:multiLevelType w:val="hybridMultilevel"/>
    <w:tmpl w:val="89EA5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057674"/>
    <w:multiLevelType w:val="hybridMultilevel"/>
    <w:tmpl w:val="41B8A8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6823D51"/>
    <w:multiLevelType w:val="hybridMultilevel"/>
    <w:tmpl w:val="16D8B0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8153FF"/>
    <w:multiLevelType w:val="hybridMultilevel"/>
    <w:tmpl w:val="58A2B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685322"/>
    <w:multiLevelType w:val="hybridMultilevel"/>
    <w:tmpl w:val="086A44D4"/>
    <w:lvl w:ilvl="0" w:tplc="04E64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307750"/>
    <w:multiLevelType w:val="hybridMultilevel"/>
    <w:tmpl w:val="227089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8DE4B18"/>
    <w:multiLevelType w:val="hybridMultilevel"/>
    <w:tmpl w:val="531E3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0"/>
  </w:num>
  <w:num w:numId="4">
    <w:abstractNumId w:val="0"/>
  </w:num>
  <w:num w:numId="5">
    <w:abstractNumId w:val="2"/>
  </w:num>
  <w:num w:numId="6">
    <w:abstractNumId w:val="3"/>
  </w:num>
  <w:num w:numId="7">
    <w:abstractNumId w:val="6"/>
  </w:num>
  <w:num w:numId="8">
    <w:abstractNumId w:val="5"/>
  </w:num>
  <w:num w:numId="9">
    <w:abstractNumId w:val="1"/>
  </w:num>
  <w:num w:numId="10">
    <w:abstractNumId w:val="4"/>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D85"/>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537B"/>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7C8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8ECCC4-CA94-45F8-A1ED-1C32A663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4B537B"/>
  </w:style>
  <w:style w:type="character" w:customStyle="1" w:styleId="hlfld-contribauthor">
    <w:name w:val="hlfld-contribauthor"/>
    <w:basedOn w:val="DefaultParagraphFont"/>
    <w:rsid w:val="004B537B"/>
  </w:style>
  <w:style w:type="character" w:customStyle="1" w:styleId="seperator">
    <w:name w:val="seperator"/>
    <w:basedOn w:val="DefaultParagraphFont"/>
    <w:rsid w:val="004B537B"/>
  </w:style>
  <w:style w:type="character" w:customStyle="1" w:styleId="seriestitle">
    <w:name w:val="seriestitle"/>
    <w:basedOn w:val="DefaultParagraphFont"/>
    <w:rsid w:val="004B537B"/>
  </w:style>
  <w:style w:type="character" w:customStyle="1" w:styleId="doi">
    <w:name w:val="doi"/>
    <w:basedOn w:val="DefaultParagraphFont"/>
    <w:rsid w:val="004B537B"/>
  </w:style>
  <w:style w:type="character" w:customStyle="1" w:styleId="pub-year">
    <w:name w:val="pub-year"/>
    <w:basedOn w:val="DefaultParagraphFont"/>
    <w:rsid w:val="004B5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43237-013C-40EA-9E86-62D5C7C0C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2662</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Gary Matthias</cp:lastModifiedBy>
  <cp:revision>2</cp:revision>
  <dcterms:created xsi:type="dcterms:W3CDTF">2015-01-26T12:24:00Z</dcterms:created>
  <dcterms:modified xsi:type="dcterms:W3CDTF">2019-05-19T22:45:00Z</dcterms:modified>
</cp:coreProperties>
</file>