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0" distR="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mc:AlternateContent>
          <mc:Choice Requires="wps">
            <w:drawing>
              <wp:anchor behindDoc="0" distT="0" distB="0" distL="0" distR="0" simplePos="0" locked="0" layoutInCell="1" allowOverlap="1" relativeHeight="3" wp14:anchorId="690A40E1">
                <wp:simplePos x="0" y="0"/>
                <wp:positionH relativeFrom="column">
                  <wp:posOffset>2889885</wp:posOffset>
                </wp:positionH>
                <wp:positionV relativeFrom="paragraph">
                  <wp:posOffset>99695</wp:posOffset>
                </wp:positionV>
                <wp:extent cx="3115310" cy="467995"/>
                <wp:effectExtent l="3810" t="0" r="0" b="0"/>
                <wp:wrapNone/>
                <wp:docPr id="2" name="Text Box 2"/>
                <a:graphic xmlns:a="http://schemas.openxmlformats.org/drawingml/2006/main">
                  <a:graphicData uri="http://schemas.microsoft.com/office/word/2010/wordprocessingShape">
                    <wps:wsp>
                      <wps:cNvSpPr/>
                      <wps:spPr>
                        <a:xfrm>
                          <a:off x="0" y="0"/>
                          <a:ext cx="3114720" cy="467280"/>
                        </a:xfrm>
                        <a:prstGeom prst="rect">
                          <a:avLst/>
                        </a:prstGeom>
                        <a:solidFill>
                          <a:srgbClr val="ffffff"/>
                        </a:solidFill>
                        <a:ln>
                          <a:noFill/>
                        </a:ln>
                      </wps:spPr>
                      <wps:style>
                        <a:lnRef idx="0"/>
                        <a:fillRef idx="0"/>
                        <a:effectRef idx="0"/>
                        <a:fontRef idx="minor"/>
                      </wps:style>
                      <wps:txbx>
                        <w:txbxContent>
                          <w:p>
                            <w:pPr>
                              <w:pStyle w:val="Kerettartalom"/>
                              <w:jc w:val="center"/>
                              <w:rPr>
                                <w:b/>
                                <w:b/>
                                <w:bCs/>
                                <w:color w:val="002060"/>
                                <w:sz w:val="44"/>
                                <w:szCs w:val="40"/>
                              </w:rPr>
                            </w:pPr>
                            <w:r>
                              <w:rPr>
                                <w:sz w:val="24"/>
                              </w:rPr>
                              <w:t xml:space="preserve">   </w:t>
                            </w:r>
                            <w:r>
                              <w:rPr>
                                <w:b/>
                                <w:bCs/>
                                <w:color w:val="002060"/>
                                <w:sz w:val="44"/>
                                <w:szCs w:val="40"/>
                              </w:rPr>
                              <w:t>Assignment Cover Sheet</w:t>
                            </w:r>
                          </w:p>
                          <w:p>
                            <w:pPr>
                              <w:pStyle w:val="Kerettartalom"/>
                              <w:spacing w:before="0" w:after="200"/>
                              <w:rPr/>
                            </w:pPr>
                            <w:r>
                              <w:rPr/>
                            </w:r>
                          </w:p>
                        </w:txbxContent>
                      </wps:txbx>
                      <wps:bodyPr>
                        <a:noAutofit/>
                      </wps:bodyPr>
                    </wps:wsp>
                  </a:graphicData>
                </a:graphic>
              </wp:anchor>
            </w:drawing>
          </mc:Choice>
          <mc:Fallback>
            <w:pict>
              <v:rect id="shape_0" ID="Text Box 2" fillcolor="white" stroked="f" style="position:absolute;margin-left:227.55pt;margin-top:7.85pt;width:245.2pt;height:36.75pt" wp14:anchorId="690A40E1">
                <w10:wrap type="square"/>
                <v:fill o:detectmouseclick="t" type="solid" color2="black"/>
                <v:stroke color="#3465a4" joinstyle="round" endcap="flat"/>
                <v:textbox>
                  <w:txbxContent>
                    <w:p>
                      <w:pPr>
                        <w:pStyle w:val="Kerettartalom"/>
                        <w:jc w:val="center"/>
                        <w:rPr>
                          <w:b/>
                          <w:b/>
                          <w:bCs/>
                          <w:color w:val="002060"/>
                          <w:sz w:val="44"/>
                          <w:szCs w:val="40"/>
                        </w:rPr>
                      </w:pPr>
                      <w:r>
                        <w:rPr>
                          <w:sz w:val="24"/>
                        </w:rPr>
                        <w:t xml:space="preserve">   </w:t>
                      </w:r>
                      <w:r>
                        <w:rPr>
                          <w:b/>
                          <w:bCs/>
                          <w:color w:val="002060"/>
                          <w:sz w:val="44"/>
                          <w:szCs w:val="40"/>
                        </w:rPr>
                        <w:t>Assignment Cover Sheet</w:t>
                      </w:r>
                    </w:p>
                    <w:p>
                      <w:pPr>
                        <w:pStyle w:val="Kerettartalom"/>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016" w:type="dxa"/>
        <w:jc w:val="left"/>
        <w:tblInd w:w="0" w:type="dxa"/>
        <w:tblCellMar>
          <w:top w:w="0" w:type="dxa"/>
          <w:left w:w="108" w:type="dxa"/>
          <w:bottom w:w="0" w:type="dxa"/>
          <w:right w:w="108" w:type="dxa"/>
        </w:tblCellMar>
        <w:tblLook w:firstRow="1" w:noVBand="1" w:lastRow="0" w:firstColumn="1" w:lastColumn="0" w:noHBand="0" w:val="04a0"/>
      </w:tblPr>
      <w:tblGrid>
        <w:gridCol w:w="2519"/>
        <w:gridCol w:w="6496"/>
      </w:tblGrid>
      <w:tr>
        <w:trPr/>
        <w:tc>
          <w:tcPr>
            <w:tcW w:w="2519"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Name:</w:t>
            </w:r>
          </w:p>
        </w:tc>
        <w:tc>
          <w:tcPr>
            <w:tcW w:w="6496" w:type="dxa"/>
            <w:tcBorders/>
          </w:tcPr>
          <w:p>
            <w:pPr>
              <w:pStyle w:val="Default"/>
              <w:rPr>
                <w:rFonts w:ascii="Calibri" w:hAnsi="Calibri" w:asciiTheme="minorHAnsi" w:hAnsiTheme="minorHAnsi"/>
              </w:rPr>
            </w:pPr>
            <w:r>
              <w:rPr>
                <w:rFonts w:asciiTheme="minorHAnsi" w:hAnsiTheme="minorHAnsi"/>
              </w:rPr>
              <w:t>Mark Nagy</w:t>
            </w:r>
          </w:p>
        </w:tc>
      </w:tr>
      <w:tr>
        <w:trPr/>
        <w:tc>
          <w:tcPr>
            <w:tcW w:w="2519"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Number:</w:t>
            </w:r>
          </w:p>
        </w:tc>
        <w:tc>
          <w:tcPr>
            <w:tcW w:w="6496" w:type="dxa"/>
            <w:tcBorders/>
          </w:tcPr>
          <w:p>
            <w:pPr>
              <w:pStyle w:val="Default"/>
              <w:rPr>
                <w:rFonts w:ascii="Calibri" w:hAnsi="Calibri" w:asciiTheme="minorHAnsi" w:hAnsiTheme="minorHAnsi"/>
              </w:rPr>
            </w:pPr>
            <w:r>
              <w:rPr>
                <w:rFonts w:asciiTheme="minorHAnsi" w:hAnsiTheme="minorHAnsi"/>
              </w:rPr>
              <w:t>27062</w:t>
            </w:r>
          </w:p>
        </w:tc>
      </w:tr>
      <w:tr>
        <w:trPr/>
        <w:tc>
          <w:tcPr>
            <w:tcW w:w="2519" w:type="dxa"/>
            <w:tcBorders/>
            <w:shd w:color="auto" w:fill="D9D9D9" w:themeFill="background1" w:themeFillShade="d9" w:val="clear"/>
          </w:tcPr>
          <w:p>
            <w:pPr>
              <w:pStyle w:val="Normal"/>
              <w:spacing w:lineRule="auto" w:line="240" w:before="0" w:after="0"/>
              <w:rPr>
                <w:b/>
                <w:b/>
                <w:color w:val="002060"/>
              </w:rPr>
            </w:pPr>
            <w:r>
              <w:rPr>
                <w:b/>
                <w:color w:val="002060"/>
                <w:lang w:val="en-US"/>
              </w:rPr>
              <w:t>Course:</w:t>
            </w:r>
          </w:p>
        </w:tc>
        <w:tc>
          <w:tcPr>
            <w:tcW w:w="6496" w:type="dxa"/>
            <w:tcBorders/>
          </w:tcPr>
          <w:p>
            <w:pPr>
              <w:pStyle w:val="Default"/>
              <w:rPr>
                <w:rFonts w:ascii="Calibri" w:hAnsi="Calibri" w:asciiTheme="minorHAnsi" w:hAnsiTheme="minorHAnsi"/>
              </w:rPr>
            </w:pPr>
            <w:r>
              <w:rPr>
                <w:rFonts w:asciiTheme="minorHAnsi" w:hAnsiTheme="minorHAnsi"/>
              </w:rPr>
              <w:t>Supply Chain and logistic Management level 5</w:t>
            </w:r>
          </w:p>
        </w:tc>
      </w:tr>
      <w:tr>
        <w:trPr/>
        <w:tc>
          <w:tcPr>
            <w:tcW w:w="2519" w:type="dxa"/>
            <w:tcBorders/>
            <w:shd w:color="auto" w:fill="D9D9D9" w:themeFill="background1" w:themeFillShade="d9" w:val="clear"/>
          </w:tcPr>
          <w:p>
            <w:pPr>
              <w:pStyle w:val="Normal"/>
              <w:spacing w:lineRule="auto" w:line="240" w:before="0" w:after="0"/>
              <w:rPr>
                <w:b/>
                <w:b/>
                <w:color w:val="002060"/>
              </w:rPr>
            </w:pPr>
            <w:r>
              <w:rPr>
                <w:b/>
                <w:color w:val="002060"/>
                <w:lang w:val="en-US"/>
              </w:rPr>
              <w:t>Assignment NO:</w:t>
            </w:r>
          </w:p>
        </w:tc>
        <w:tc>
          <w:tcPr>
            <w:tcW w:w="6496" w:type="dxa"/>
            <w:tcBorders/>
          </w:tcPr>
          <w:p>
            <w:pPr>
              <w:pStyle w:val="Normal"/>
              <w:spacing w:lineRule="auto" w:line="240" w:before="0" w:after="0"/>
              <w:rPr>
                <w:lang w:val="en-US"/>
              </w:rPr>
            </w:pPr>
            <w:r>
              <w:rPr>
                <w:lang w:val="en-US"/>
              </w:rPr>
              <w:t>11</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016" w:type="dxa"/>
        <w:jc w:val="left"/>
        <w:tblInd w:w="0" w:type="dxa"/>
        <w:tblCellMar>
          <w:top w:w="0" w:type="dxa"/>
          <w:left w:w="108" w:type="dxa"/>
          <w:bottom w:w="0" w:type="dxa"/>
          <w:right w:w="108" w:type="dxa"/>
        </w:tblCellMar>
        <w:tblLook w:firstRow="1" w:noVBand="1" w:lastRow="0" w:firstColumn="1" w:lastColumn="0" w:noHBand="0" w:val="04a0"/>
      </w:tblPr>
      <w:tblGrid>
        <w:gridCol w:w="9016"/>
      </w:tblGrid>
      <w:tr>
        <w:trPr/>
        <w:tc>
          <w:tcPr>
            <w:tcW w:w="9016" w:type="dxa"/>
            <w:tcBorders/>
          </w:tcPr>
          <w:p>
            <w:pPr>
              <w:pStyle w:val="Normal"/>
              <w:spacing w:lineRule="auto" w:line="240" w:before="0" w:after="0"/>
              <w:rPr>
                <w:b/>
                <w:b/>
              </w:rPr>
            </w:pPr>
            <w:r>
              <w:rPr>
                <w:b w:val="false"/>
                <w:bCs w:val="false"/>
                <w:lang w:val="en-US"/>
              </w:rPr>
              <w:t>1.)</w:t>
            </w:r>
          </w:p>
          <w:p>
            <w:pPr>
              <w:pStyle w:val="Normal"/>
              <w:spacing w:lineRule="auto" w:line="240" w:before="0" w:after="0"/>
              <w:rPr>
                <w:b/>
                <w:b/>
              </w:rPr>
            </w:pPr>
            <w:r>
              <w:rPr>
                <w:b w:val="false"/>
                <w:bCs w:val="false"/>
                <w:lang w:val="en-US"/>
              </w:rPr>
              <w:t>I. Make faster and more flexible the administration and the information changing between the stakeholders.</w:t>
            </w:r>
          </w:p>
          <w:p>
            <w:pPr>
              <w:pStyle w:val="Normal"/>
              <w:spacing w:lineRule="auto" w:line="240" w:before="0" w:after="0"/>
              <w:rPr>
                <w:b/>
                <w:b/>
              </w:rPr>
            </w:pPr>
            <w:r>
              <w:rPr>
                <w:b w:val="false"/>
                <w:bCs w:val="false"/>
                <w:lang w:val="en-US"/>
              </w:rPr>
              <w:t xml:space="preserve">ii. </w:t>
            </w:r>
            <w:r>
              <w:rPr>
                <w:b w:val="false"/>
                <w:bCs w:val="false"/>
                <w:lang w:val="en-US"/>
              </w:rPr>
              <w:t>from the basic charts to the regression analysis and the linear programming.</w:t>
            </w:r>
          </w:p>
          <w:p>
            <w:pPr>
              <w:pStyle w:val="Normal"/>
              <w:spacing w:lineRule="auto" w:line="240" w:before="0" w:after="0"/>
              <w:rPr>
                <w:b/>
                <w:b/>
              </w:rPr>
            </w:pPr>
            <w:r>
              <w:rPr>
                <w:b w:val="false"/>
                <w:bCs w:val="false"/>
                <w:lang w:val="en-US"/>
              </w:rPr>
              <w:t>Iii. The ERP system is the main numerous program system what is can make the all of mission of the logistic from the inventory management to the human resources control.</w:t>
            </w:r>
          </w:p>
          <w:p>
            <w:pPr>
              <w:pStyle w:val="Normal"/>
              <w:spacing w:lineRule="auto" w:line="240" w:before="0" w:after="0"/>
              <w:rPr>
                <w:b/>
                <w:b/>
              </w:rPr>
            </w:pPr>
            <w:r>
              <w:rPr>
                <w:b w:val="false"/>
                <w:bCs w:val="false"/>
                <w:lang w:val="en-US"/>
              </w:rPr>
              <w:t>iv. It shows the rate of the procurement and the sold product.</w:t>
            </w:r>
          </w:p>
          <w:p>
            <w:pPr>
              <w:pStyle w:val="Normal"/>
              <w:spacing w:lineRule="auto" w:line="240" w:before="0" w:after="0"/>
              <w:rPr>
                <w:b/>
                <w:b/>
              </w:rPr>
            </w:pPr>
            <w:r>
              <w:rPr>
                <w:b w:val="false"/>
                <w:bCs w:val="false"/>
                <w:lang w:val="en-US"/>
              </w:rPr>
              <w:t>v. These systems support daily warehouse operations and have the ability to contribute to quality ongoing operations of a warehouse.</w:t>
            </w:r>
          </w:p>
          <w:p>
            <w:pPr>
              <w:pStyle w:val="Normal"/>
              <w:spacing w:lineRule="auto" w:line="240" w:before="0" w:after="0"/>
              <w:rPr>
                <w:b/>
                <w:b/>
              </w:rPr>
            </w:pPr>
            <w:r>
              <w:rPr>
                <w:b w:val="false"/>
                <w:bCs w:val="false"/>
                <w:lang w:val="en-US"/>
              </w:rPr>
              <w:t xml:space="preserve">vi. </w:t>
            </w:r>
            <w:r>
              <w:rPr>
                <w:b w:val="false"/>
                <w:bCs w:val="false"/>
                <w:lang w:val="en-US"/>
              </w:rPr>
              <w:t>show every movement in the supply chain, from the production to the transport.</w:t>
            </w:r>
          </w:p>
          <w:p>
            <w:pPr>
              <w:pStyle w:val="Normal"/>
              <w:spacing w:lineRule="auto" w:line="240" w:before="0" w:after="0"/>
              <w:rPr>
                <w:b/>
                <w:b/>
              </w:rPr>
            </w:pPr>
            <w:r>
              <w:rPr>
                <w:b w:val="false"/>
                <w:bCs w:val="false"/>
                <w:lang w:val="en-US"/>
              </w:rPr>
              <w:t>2.)</w:t>
            </w:r>
          </w:p>
          <w:p>
            <w:pPr>
              <w:pStyle w:val="Normal"/>
              <w:spacing w:lineRule="auto" w:line="240" w:before="0" w:after="0"/>
              <w:rPr>
                <w:b/>
                <w:b/>
              </w:rPr>
            </w:pPr>
            <w:r>
              <w:rPr>
                <w:b w:val="false"/>
                <w:bCs w:val="false"/>
                <w:lang w:val="en-US"/>
              </w:rPr>
              <w:t>The E-business is equal the future. More flexible and faster than the old version when the people made it on papers. The datas what are in the files can’t loose, and you can check them forever from that time when you saved.</w:t>
            </w:r>
          </w:p>
          <w:p>
            <w:pPr>
              <w:pStyle w:val="Normal"/>
              <w:spacing w:lineRule="auto" w:line="240" w:before="0" w:after="0"/>
              <w:rPr>
                <w:b/>
                <w:b/>
              </w:rPr>
            </w:pPr>
            <w:r>
              <w:rPr>
                <w:b/>
                <w:lang w:val="en-US"/>
              </w:rPr>
            </w:r>
          </w:p>
          <w:p>
            <w:pPr>
              <w:pStyle w:val="Normal"/>
              <w:spacing w:lineRule="auto" w:line="240" w:before="0" w:after="0"/>
              <w:rPr>
                <w:b/>
                <w:b/>
              </w:rPr>
            </w:pPr>
            <w:r>
              <w:rPr>
                <w:b/>
                <w:lang w:val="en-US"/>
              </w:rPr>
            </w:r>
          </w:p>
          <w:p>
            <w:pPr>
              <w:pStyle w:val="Normal"/>
              <w:spacing w:lineRule="auto" w:line="240" w:before="0" w:after="0"/>
              <w:rPr>
                <w:b/>
                <w:b/>
              </w:rPr>
            </w:pPr>
            <w:r>
              <w:rPr>
                <w:b/>
                <w:lang w:val="en-US"/>
              </w:rPr>
            </w:r>
          </w:p>
          <w:p>
            <w:pPr>
              <w:pStyle w:val="Normal"/>
              <w:spacing w:lineRule="auto" w:line="240" w:before="0" w:after="0"/>
              <w:rPr>
                <w:b/>
                <w:b/>
              </w:rPr>
            </w:pPr>
            <w:r>
              <w:rPr>
                <w:b/>
                <w:lang w:val="en-US"/>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016" w:type="dxa"/>
        <w:jc w:val="left"/>
        <w:tblInd w:w="0" w:type="dxa"/>
        <w:tblCellMar>
          <w:top w:w="0" w:type="dxa"/>
          <w:left w:w="108" w:type="dxa"/>
          <w:bottom w:w="0" w:type="dxa"/>
          <w:right w:w="108" w:type="dxa"/>
        </w:tblCellMar>
        <w:tblLook w:firstRow="1" w:noVBand="1" w:lastRow="0" w:firstColumn="1" w:lastColumn="0" w:noHBand="0" w:val="04a0"/>
      </w:tblPr>
      <w:tblGrid>
        <w:gridCol w:w="2271"/>
        <w:gridCol w:w="3913"/>
        <w:gridCol w:w="1256"/>
        <w:gridCol w:w="1575"/>
      </w:tblGrid>
      <w:tr>
        <w:trPr/>
        <w:tc>
          <w:tcPr>
            <w:tcW w:w="2271"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Student Signature</w:t>
            </w:r>
          </w:p>
        </w:tc>
        <w:tc>
          <w:tcPr>
            <w:tcW w:w="3913" w:type="dxa"/>
            <w:tcBorders/>
          </w:tcPr>
          <w:p>
            <w:pPr>
              <w:pStyle w:val="Normal"/>
              <w:spacing w:lineRule="auto" w:line="240" w:before="0" w:after="0"/>
              <w:rPr>
                <w:rFonts w:cs="Bliss-Regular"/>
                <w:color w:val="000000"/>
              </w:rPr>
            </w:pPr>
            <w:r>
              <w:rPr>
                <w:rFonts w:cs="Bliss-Regular"/>
                <w:color w:val="000000"/>
                <w:lang w:val="en-US"/>
              </w:rPr>
              <w:t>Mark Nagy</w:t>
            </w:r>
          </w:p>
        </w:tc>
        <w:tc>
          <w:tcPr>
            <w:tcW w:w="1256"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Date</w:t>
            </w:r>
          </w:p>
        </w:tc>
        <w:tc>
          <w:tcPr>
            <w:tcW w:w="1575" w:type="dxa"/>
            <w:tcBorders/>
          </w:tcPr>
          <w:p>
            <w:pPr>
              <w:pStyle w:val="Normal"/>
              <w:spacing w:lineRule="auto" w:line="240" w:before="0" w:after="0"/>
              <w:rPr>
                <w:rFonts w:cs="Bliss-Regular"/>
                <w:color w:val="000000"/>
              </w:rPr>
            </w:pPr>
            <w:r>
              <w:rPr>
                <w:rFonts w:cs="Bliss-Regular"/>
                <w:color w:val="000000"/>
                <w:lang w:val="en-US"/>
              </w:rPr>
              <w:t>0</w:t>
            </w:r>
            <w:r>
              <w:rPr>
                <w:rFonts w:cs="Bliss-Regular"/>
                <w:color w:val="000000"/>
                <w:lang w:val="en-US"/>
              </w:rPr>
              <w:t>4</w:t>
            </w:r>
            <w:r>
              <w:rPr>
                <w:rFonts w:cs="Bliss-Regular"/>
                <w:color w:val="000000"/>
                <w:lang w:val="en-US"/>
              </w:rPr>
              <w:t>.05.2020.</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016" w:type="dxa"/>
        <w:jc w:val="left"/>
        <w:tblInd w:w="0" w:type="dxa"/>
        <w:tblCellMar>
          <w:top w:w="0" w:type="dxa"/>
          <w:left w:w="108" w:type="dxa"/>
          <w:bottom w:w="0" w:type="dxa"/>
          <w:right w:w="108" w:type="dxa"/>
        </w:tblCellMar>
        <w:tblLook w:firstRow="1" w:noVBand="1" w:lastRow="0" w:firstColumn="1" w:lastColumn="0" w:noHBand="0" w:val="04a0"/>
      </w:tblPr>
      <w:tblGrid>
        <w:gridCol w:w="4523"/>
        <w:gridCol w:w="4492"/>
      </w:tblGrid>
      <w:tr>
        <w:trPr>
          <w:trHeight w:val="249" w:hRule="atLeast"/>
        </w:trPr>
        <w:tc>
          <w:tcPr>
            <w:tcW w:w="4523" w:type="dxa"/>
            <w:tcBorders/>
            <w:shd w:color="auto" w:fill="D9D9D9" w:themeFill="background1" w:themeFillShade="d9" w:val="clear"/>
          </w:tcPr>
          <w:p>
            <w:pPr>
              <w:pStyle w:val="Normal"/>
              <w:spacing w:lineRule="auto" w:line="240" w:before="0" w:after="0"/>
              <w:rPr>
                <w:b/>
                <w:b/>
                <w:color w:val="002060"/>
              </w:rPr>
            </w:pPr>
            <w:r>
              <w:rPr>
                <w:b/>
                <w:color w:val="002060"/>
                <w:lang w:val="en-US"/>
              </w:rPr>
              <w:t>Total Marks</w:t>
            </w:r>
          </w:p>
        </w:tc>
        <w:tc>
          <w:tcPr>
            <w:tcW w:w="4492" w:type="dxa"/>
            <w:tcBorders/>
          </w:tcPr>
          <w:p>
            <w:pPr>
              <w:pStyle w:val="Normal"/>
              <w:spacing w:lineRule="auto" w:line="240" w:before="0" w:after="0"/>
              <w:rPr>
                <w:rFonts w:cs="Times New Roman"/>
                <w:szCs w:val="32"/>
              </w:rPr>
            </w:pPr>
            <w:r>
              <w:rPr>
                <w:rFonts w:cs="Times New Roman"/>
                <w:szCs w:val="32"/>
                <w:lang w:val="en-US"/>
              </w:rPr>
            </w:r>
          </w:p>
        </w:tc>
      </w:tr>
      <w:tr>
        <w:trPr/>
        <w:tc>
          <w:tcPr>
            <w:tcW w:w="4523" w:type="dxa"/>
            <w:tcBorders/>
            <w:shd w:color="auto" w:fill="D9D9D9" w:themeFill="background1" w:themeFillShade="d9" w:val="clear"/>
          </w:tcPr>
          <w:p>
            <w:pPr>
              <w:pStyle w:val="Normal"/>
              <w:spacing w:lineRule="auto" w:line="240" w:before="0" w:after="0"/>
              <w:rPr>
                <w:b/>
                <w:b/>
                <w:color w:val="002060"/>
              </w:rPr>
            </w:pPr>
            <w:r>
              <w:rPr>
                <w:b/>
                <w:color w:val="002060"/>
                <w:lang w:val="en-US"/>
              </w:rPr>
              <w:t>Marks Obtained</w:t>
            </w:r>
          </w:p>
        </w:tc>
        <w:tc>
          <w:tcPr>
            <w:tcW w:w="4492" w:type="dxa"/>
            <w:tcBorders/>
          </w:tcPr>
          <w:p>
            <w:pPr>
              <w:pStyle w:val="Normal"/>
              <w:spacing w:lineRule="auto" w:line="240" w:before="0" w:after="0"/>
              <w:rPr>
                <w:rFonts w:cs="Times New Roman"/>
                <w:szCs w:val="32"/>
              </w:rPr>
            </w:pPr>
            <w:r>
              <w:rPr>
                <w:rFonts w:cs="Times New Roman"/>
                <w:szCs w:val="32"/>
                <w:lang w:val="en-US"/>
              </w:rPr>
            </w:r>
          </w:p>
        </w:tc>
      </w:tr>
      <w:tr>
        <w:trPr/>
        <w:tc>
          <w:tcPr>
            <w:tcW w:w="4523" w:type="dxa"/>
            <w:tcBorders/>
            <w:shd w:color="auto" w:fill="D9D9D9" w:themeFill="background1" w:themeFillShade="d9" w:val="clear"/>
          </w:tcPr>
          <w:p>
            <w:pPr>
              <w:pStyle w:val="Normal"/>
              <w:spacing w:lineRule="auto" w:line="240" w:before="0" w:after="0"/>
              <w:rPr>
                <w:b/>
                <w:b/>
                <w:color w:val="002060"/>
              </w:rPr>
            </w:pPr>
            <w:r>
              <w:rPr>
                <w:b/>
                <w:color w:val="002060"/>
                <w:lang w:val="en-US"/>
              </w:rPr>
              <w:t>Percentage / Grade</w:t>
            </w:r>
          </w:p>
        </w:tc>
        <w:tc>
          <w:tcPr>
            <w:tcW w:w="4492" w:type="dxa"/>
            <w:tcBorders/>
          </w:tcPr>
          <w:p>
            <w:pPr>
              <w:pStyle w:val="Normal"/>
              <w:spacing w:lineRule="auto" w:line="240" w:before="0" w:after="0"/>
              <w:rPr>
                <w:rFonts w:cs="Times New Roman"/>
                <w:szCs w:val="32"/>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ahoma">
    <w:charset w:val="ee"/>
    <w:family w:val="roman"/>
    <w:pitch w:val="variable"/>
  </w:font>
  <w:font w:name="Liberation Sans">
    <w:altName w:val="Arial"/>
    <w:charset w:val="ee"/>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Cmsor">
    <w:name w:val="Címsor"/>
    <w:basedOn w:val="Normal"/>
    <w:next w:val="Szvegtrzs"/>
    <w:qFormat/>
    <w:pPr>
      <w:keepNext w:val="true"/>
      <w:spacing w:before="240" w:after="120"/>
    </w:pPr>
    <w:rPr>
      <w:rFonts w:ascii="Liberation Sans" w:hAnsi="Liberation Sans" w:eastAsia="Microsoft YaHei" w:cs="Lucida Sans"/>
      <w:sz w:val="28"/>
      <w:szCs w:val="28"/>
    </w:rPr>
  </w:style>
  <w:style w:type="paragraph" w:styleId="Szvegtrzs">
    <w:name w:val="Body Text"/>
    <w:basedOn w:val="Normal"/>
    <w:pPr>
      <w:spacing w:lineRule="auto" w:line="276" w:before="0" w:after="140"/>
    </w:pPr>
    <w:rPr/>
  </w:style>
  <w:style w:type="paragraph" w:styleId="Lista">
    <w:name w:val="List"/>
    <w:basedOn w:val="Szvegtrzs"/>
    <w:pPr/>
    <w:rPr>
      <w:rFonts w:cs="Lucida Sans"/>
    </w:rPr>
  </w:style>
  <w:style w:type="paragraph" w:styleId="Felirat">
    <w:name w:val="Caption"/>
    <w:basedOn w:val="Normal"/>
    <w:qFormat/>
    <w:pPr>
      <w:suppressLineNumbers/>
      <w:spacing w:before="120" w:after="120"/>
    </w:pPr>
    <w:rPr>
      <w:rFonts w:cs="Lucida Sans"/>
      <w:i/>
      <w:iCs/>
      <w:sz w:val="24"/>
      <w:szCs w:val="24"/>
    </w:rPr>
  </w:style>
  <w:style w:type="paragraph" w:styleId="Trgymutat">
    <w:name w:val="Tárgymutató"/>
    <w:basedOn w:val="Normal"/>
    <w:qFormat/>
    <w:pPr>
      <w:suppressLineNumbers/>
    </w:pPr>
    <w:rPr>
      <w:rFonts w:cs="Lucida Sans"/>
    </w:rPr>
  </w:style>
  <w:style w:type="paragraph" w:styleId="Lfejsllb">
    <w:name w:val="Élőfej és élőláb"/>
    <w:basedOn w:val="Normal"/>
    <w:qFormat/>
    <w:pPr/>
    <w:rPr/>
  </w:style>
  <w:style w:type="paragraph" w:styleId="Lfej">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Llb">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Kerettartalom">
    <w:name w:val="Kerettartalom"/>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1230D-AC10-4114-AB3E-110CC020D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LibreOffice/6.4.0.3$Windows_X86_64 LibreOffice_project/b0a288ab3d2d4774cb44b62f04d5d28733ac6df8</Application>
  <Pages>2</Pages>
  <Words>253</Words>
  <Characters>1267</Characters>
  <CharactersWithSpaces>1560</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hu-HU</dc:language>
  <cp:lastModifiedBy/>
  <dcterms:modified xsi:type="dcterms:W3CDTF">2020-05-03T23:36:26Z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