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0"/>
        <w:keepLines w:val="0"/>
        <w:widowControl w:val="0"/>
        <w:pBdr/>
        <w:spacing w:after="0" w:before="0" w:line="240" w:lineRule="auto"/>
        <w:ind w:left="0" w:right="0" w:firstLine="0"/>
        <w:contextualSpacing w:val="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Fonts w:ascii="Calibri" w:cs="Calibri" w:eastAsia="Calibri" w:hAnsi="Calibri"/>
          <w:b w:val="0"/>
          <w:i w:val="0"/>
          <w:smallCaps w:val="0"/>
          <w:strike w:val="0"/>
          <w:color w:val="000000"/>
          <w:sz w:val="24"/>
          <w:szCs w:val="24"/>
          <w:u w:val="none"/>
          <w:vertAlign w:val="baseline"/>
          <w:rtl w:val="0"/>
        </w:rPr>
        <w:t xml:space="preserve">                                                                  </w:t>
      </w:r>
      <w:r w:rsidDel="00000000" w:rsidR="00000000" w:rsidRPr="00000000">
        <w:drawing>
          <wp:anchor allowOverlap="1" behindDoc="0" distB="0" distT="0" distL="114300" distR="114300" hidden="0" layoutInCell="0" locked="0" relativeHeight="0" simplePos="0">
            <wp:simplePos x="0" y="0"/>
            <wp:positionH relativeFrom="margin">
              <wp:posOffset>-342899</wp:posOffset>
            </wp:positionH>
            <wp:positionV relativeFrom="paragraph">
              <wp:posOffset>-295274</wp:posOffset>
            </wp:positionV>
            <wp:extent cx="2809875" cy="1419225"/>
            <wp:effectExtent b="0" l="0" r="0" t="0"/>
            <wp:wrapNone/>
            <wp:docPr descr="BOLC_Logo" id="1" name="image2.png"/>
            <a:graphic>
              <a:graphicData uri="http://schemas.openxmlformats.org/drawingml/2006/picture">
                <pic:pic>
                  <pic:nvPicPr>
                    <pic:cNvPr descr="BOLC_Logo" id="0" name="image2.png"/>
                    <pic:cNvPicPr preferRelativeResize="0"/>
                  </pic:nvPicPr>
                  <pic:blipFill>
                    <a:blip r:embed="rId5"/>
                    <a:srcRect b="32001" l="20320" r="23668" t="20000"/>
                    <a:stretch>
                      <a:fillRect/>
                    </a:stretch>
                  </pic:blipFill>
                  <pic:spPr>
                    <a:xfrm>
                      <a:off x="0" y="0"/>
                      <a:ext cx="2809875" cy="1419225"/>
                    </a:xfrm>
                    <a:prstGeom prst="rect"/>
                    <a:ln/>
                  </pic:spPr>
                </pic:pic>
              </a:graphicData>
            </a:graphic>
          </wp:anchor>
        </w:drawing>
      </w:r>
    </w:p>
    <w:p w:rsidR="00000000" w:rsidDel="00000000" w:rsidP="00000000" w:rsidRDefault="00000000" w:rsidRPr="00000000">
      <w:pPr>
        <w:pBdr/>
        <w:contextualSpacing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4"/>
                                <w:vertAlign w:val="baseline"/>
                              </w:rPr>
                              <w:t xml:space="preserve">   </w:t>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mc:Fallback>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3111500" cy="469900"/>
                        </a:xfrm>
                        <a:prstGeom prst="rect"/>
                        <a:ln/>
                      </pic:spPr>
                    </pic:pic>
                  </a:graphicData>
                </a:graphic>
              </wp:anchor>
            </w:drawing>
          </mc:Fallback>
        </mc:AlternateConten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tbl>
      <w:tblPr>
        <w:tblStyle w:val="Table1"/>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66"/>
        <w:gridCol w:w="6676"/>
        <w:tblGridChange w:id="0">
          <w:tblGrid>
            <w:gridCol w:w="2566"/>
            <w:gridCol w:w="6676"/>
          </w:tblGrid>
        </w:tblGridChange>
      </w:tblGrid>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Student Name: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Jasper J. Ketibuah</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Student Number: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6591</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Course: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pBdr/>
              <w:contextualSpacing w:val="0"/>
              <w:rPr>
                <w:sz w:val="24"/>
                <w:szCs w:val="24"/>
              </w:rPr>
            </w:pPr>
            <w:r w:rsidDel="00000000" w:rsidR="00000000" w:rsidRPr="00000000">
              <w:rPr>
                <w:sz w:val="24"/>
                <w:szCs w:val="24"/>
                <w:rtl w:val="0"/>
              </w:rPr>
              <w:t xml:space="preserve">Project Management</w:t>
            </w:r>
            <w:r w:rsidDel="00000000" w:rsidR="00000000" w:rsidRPr="00000000">
              <w:rPr>
                <w:rtl w:val="0"/>
              </w:rPr>
            </w:r>
          </w:p>
        </w:tc>
      </w:tr>
      <w:tr>
        <w:tc>
          <w:tcPr>
            <w:tcBorders>
              <w:top w:color="000000" w:space="0" w:sz="4" w:val="single"/>
              <w:left w:color="000000" w:space="0" w:sz="4" w:val="single"/>
              <w:bottom w:color="000000" w:space="0" w:sz="4" w:val="single"/>
              <w:right w:color="000000" w:space="0" w:sz="4" w:val="single"/>
            </w:tcBorders>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Assignment NO: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pPr>
              <w:pBdr/>
              <w:contextualSpacing w:val="0"/>
              <w:rPr/>
            </w:pPr>
            <w:r w:rsidDel="00000000" w:rsidR="00000000" w:rsidRPr="00000000">
              <w:rPr>
                <w:rtl w:val="0"/>
              </w:rPr>
              <w:t xml:space="preserve">O6</w:t>
            </w:r>
          </w:p>
        </w:tc>
      </w:tr>
    </w:tbl>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sz w:val="28"/>
          <w:szCs w:val="28"/>
        </w:rPr>
      </w:pPr>
      <w:r w:rsidDel="00000000" w:rsidR="00000000" w:rsidRPr="00000000">
        <w:rPr>
          <w:b w:val="1"/>
          <w:sz w:val="28"/>
          <w:szCs w:val="28"/>
          <w:rtl w:val="0"/>
        </w:rPr>
        <w:t xml:space="preserve">Marking Criteria:</w:t>
      </w:r>
    </w:p>
    <w:p w:rsidR="00000000" w:rsidDel="00000000" w:rsidP="00000000" w:rsidRDefault="00000000" w:rsidRPr="00000000">
      <w:pPr>
        <w:pBdr/>
        <w:contextualSpacing w:val="0"/>
        <w:rPr/>
      </w:pPr>
      <w:r w:rsidDel="00000000" w:rsidR="00000000" w:rsidRPr="00000000">
        <w:rPr>
          <w:b w:val="1"/>
          <w:rtl w:val="0"/>
        </w:rPr>
        <w:t xml:space="preserve"> </w:t>
      </w:r>
      <w:r w:rsidDel="00000000" w:rsidR="00000000" w:rsidRPr="00000000">
        <w:rPr>
          <w:rtl w:val="0"/>
        </w:rPr>
        <w:t xml:space="preserve">We expect the learners to write minimum one well expressed point in three lines against each allocated mark. This means one needs to write 15 lines with 5 well expressed points to get high grades for a 5 marks question.</w:t>
      </w:r>
    </w:p>
    <w:p w:rsidR="00000000" w:rsidDel="00000000" w:rsidP="00000000" w:rsidRDefault="00000000" w:rsidRPr="00000000">
      <w:pPr>
        <w:pBdr/>
        <w:contextualSpacing w:val="0"/>
        <w:rPr/>
      </w:pPr>
      <w:r w:rsidDel="00000000" w:rsidR="00000000" w:rsidRPr="00000000">
        <w:rPr>
          <w:rtl w:val="0"/>
        </w:rPr>
        <w:t xml:space="preserve">For high grades use examples and illustrations where appropriate. </w:t>
      </w:r>
    </w:p>
    <w:tbl>
      <w:tblPr>
        <w:tblStyle w:val="Table2"/>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42"/>
        <w:tblGridChange w:id="0">
          <w:tblGrid>
            <w:gridCol w:w="9242"/>
          </w:tblGrid>
        </w:tblGridChange>
      </w:tblGrid>
      <w:tr>
        <w:tc>
          <w:tcPr/>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i. Administrative cost of a projects are basically cost that arises due to day to day activities of project like utility bills, rents, buying stationeries and other hardware equipment.</w:t>
            </w:r>
          </w:p>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ii. Inputs of Resource Planning, refers to the process of examining the project work and determining what equipment, resources and people needed to for a the success of a project.some of these inputs may be  historical information, work breakdown structures, organisational policies, resource pool etc.</w:t>
            </w:r>
          </w:p>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iii.The variouses of expect judgement are </w:t>
            </w:r>
          </w:p>
          <w:p w:rsidR="00000000" w:rsidDel="00000000" w:rsidP="00000000" w:rsidRDefault="00000000" w:rsidRPr="00000000">
            <w:pPr>
              <w:numPr>
                <w:ilvl w:val="0"/>
                <w:numId w:val="3"/>
              </w:numPr>
              <w:pBd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Consultants</w:t>
            </w:r>
          </w:p>
          <w:p w:rsidR="00000000" w:rsidDel="00000000" w:rsidP="00000000" w:rsidRDefault="00000000" w:rsidRPr="00000000">
            <w:pPr>
              <w:numPr>
                <w:ilvl w:val="0"/>
                <w:numId w:val="3"/>
              </w:numPr>
              <w:pBd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Trade and professional associations</w:t>
            </w:r>
          </w:p>
          <w:p w:rsidR="00000000" w:rsidDel="00000000" w:rsidP="00000000" w:rsidRDefault="00000000" w:rsidRPr="00000000">
            <w:pPr>
              <w:numPr>
                <w:ilvl w:val="0"/>
                <w:numId w:val="3"/>
              </w:numPr>
              <w:pBd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Resources from other department</w:t>
            </w:r>
          </w:p>
          <w:p w:rsidR="00000000" w:rsidDel="00000000" w:rsidP="00000000" w:rsidRDefault="00000000" w:rsidRPr="00000000">
            <w:pPr>
              <w:numPr>
                <w:ilvl w:val="0"/>
                <w:numId w:val="3"/>
              </w:numPr>
              <w:pBd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Industry groups</w:t>
            </w:r>
          </w:p>
          <w:p w:rsidR="00000000" w:rsidDel="00000000" w:rsidP="00000000" w:rsidRDefault="00000000" w:rsidRPr="00000000">
            <w:pPr>
              <w:numPr>
                <w:ilvl w:val="0"/>
                <w:numId w:val="3"/>
              </w:numPr>
              <w:pBd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Experience people</w:t>
            </w:r>
          </w:p>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Fonts w:ascii="Arial" w:cs="Arial" w:eastAsia="Arial" w:hAnsi="Arial"/>
                <w:sz w:val="24"/>
                <w:szCs w:val="24"/>
                <w:rtl w:val="0"/>
              </w:rPr>
              <w:t xml:space="preserve">iv.  Inputs of cost Estimating:</w:t>
            </w:r>
          </w:p>
          <w:p w:rsidR="00000000" w:rsidDel="00000000" w:rsidP="00000000" w:rsidRDefault="00000000" w:rsidRPr="00000000">
            <w:pPr>
              <w:numPr>
                <w:ilvl w:val="0"/>
                <w:numId w:val="2"/>
              </w:numPr>
              <w:pBd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Using WBS (work breakdown structures)</w:t>
            </w:r>
          </w:p>
          <w:p w:rsidR="00000000" w:rsidDel="00000000" w:rsidP="00000000" w:rsidRDefault="00000000" w:rsidRPr="00000000">
            <w:pPr>
              <w:numPr>
                <w:ilvl w:val="0"/>
                <w:numId w:val="2"/>
              </w:numPr>
              <w:pBdr/>
              <w:ind w:left="720" w:hanging="360"/>
              <w:contextualSpacing w:val="1"/>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Fixed costs</w:t>
            </w:r>
          </w:p>
          <w:p w:rsidR="00000000" w:rsidDel="00000000" w:rsidP="00000000" w:rsidRDefault="00000000" w:rsidRPr="00000000">
            <w:pPr>
              <w:numPr>
                <w:ilvl w:val="0"/>
                <w:numId w:val="2"/>
              </w:numPr>
              <w:pBdr/>
              <w:spacing w:after="20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Relying on the resource pool requirements</w:t>
            </w:r>
          </w:p>
          <w:p w:rsidR="00000000" w:rsidDel="00000000" w:rsidP="00000000" w:rsidRDefault="00000000" w:rsidRPr="00000000">
            <w:pPr>
              <w:numPr>
                <w:ilvl w:val="0"/>
                <w:numId w:val="2"/>
              </w:numPr>
              <w:pBdr/>
              <w:spacing w:after="20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Variable Cost</w:t>
            </w:r>
          </w:p>
          <w:p w:rsidR="00000000" w:rsidDel="00000000" w:rsidP="00000000" w:rsidRDefault="00000000" w:rsidRPr="00000000">
            <w:pPr>
              <w:numPr>
                <w:ilvl w:val="0"/>
                <w:numId w:val="2"/>
              </w:numPr>
              <w:pBdr/>
              <w:spacing w:after="20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Indirect Cost</w:t>
            </w:r>
          </w:p>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pBdr/>
              <w:spacing w:after="200"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pPr>
              <w:pBdr/>
              <w:spacing w:after="200" w:line="276" w:lineRule="auto"/>
              <w:contextualSpacing w:val="0"/>
              <w:rPr>
                <w:rFonts w:ascii="Arial" w:cs="Arial" w:eastAsia="Arial" w:hAnsi="Arial"/>
              </w:rPr>
            </w:pPr>
            <w:r w:rsidDel="00000000" w:rsidR="00000000" w:rsidRPr="00000000">
              <w:rPr>
                <w:rFonts w:ascii="Arial" w:cs="Arial" w:eastAsia="Arial" w:hAnsi="Arial"/>
                <w:rtl w:val="0"/>
              </w:rPr>
              <w:t xml:space="preserve">V. Cost Control Process has the following as inputs:</w:t>
            </w:r>
          </w:p>
          <w:p w:rsidR="00000000" w:rsidDel="00000000" w:rsidP="00000000" w:rsidRDefault="00000000" w:rsidRPr="00000000">
            <w:pPr>
              <w:numPr>
                <w:ilvl w:val="0"/>
                <w:numId w:val="1"/>
              </w:numPr>
              <w:pBdr/>
              <w:spacing w:after="20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Cost baseline:Is the expected cost that the project will incur. This is a time-phased budget which reflects the amount that will be spent throughout the project. Remember that the cost baseline is a tool used to measure project performance.</w:t>
            </w:r>
          </w:p>
          <w:p w:rsidR="00000000" w:rsidDel="00000000" w:rsidP="00000000" w:rsidRDefault="00000000" w:rsidRPr="00000000">
            <w:pPr>
              <w:numPr>
                <w:ilvl w:val="0"/>
                <w:numId w:val="1"/>
              </w:numPr>
              <w:pBdr/>
              <w:spacing w:after="20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Cost management: This demonstrates  how cost variances will be managed.</w:t>
            </w:r>
          </w:p>
          <w:p w:rsidR="00000000" w:rsidDel="00000000" w:rsidP="00000000" w:rsidRDefault="00000000" w:rsidRPr="00000000">
            <w:pPr>
              <w:numPr>
                <w:ilvl w:val="0"/>
                <w:numId w:val="1"/>
              </w:numPr>
              <w:pBdr/>
              <w:spacing w:after="200" w:line="276" w:lineRule="auto"/>
              <w:ind w:left="720" w:hanging="360"/>
              <w:contextualSpacing w:val="1"/>
              <w:rPr>
                <w:rFonts w:ascii="Arial" w:cs="Arial" w:eastAsia="Arial" w:hAnsi="Arial"/>
              </w:rPr>
            </w:pPr>
            <w:r w:rsidDel="00000000" w:rsidR="00000000" w:rsidRPr="00000000">
              <w:rPr>
                <w:rFonts w:ascii="Arial" w:cs="Arial" w:eastAsia="Arial" w:hAnsi="Arial"/>
                <w:rtl w:val="0"/>
              </w:rPr>
              <w:t xml:space="preserve">Performance reports : focus on project cost performance, planned performance versus actual performance and project scope. The reports may vary according to stakeholder needs.</w:t>
            </w:r>
          </w:p>
          <w:p w:rsidR="00000000" w:rsidDel="00000000" w:rsidP="00000000" w:rsidRDefault="00000000" w:rsidRPr="00000000">
            <w:pPr>
              <w:pBdr/>
              <w:spacing w:after="200"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pPr>
              <w:pBdr/>
              <w:spacing w:after="200" w:line="276" w:lineRule="auto"/>
              <w:contextualSpacing w:val="0"/>
              <w:rPr>
                <w:rFonts w:ascii="Arial" w:cs="Arial" w:eastAsia="Arial" w:hAnsi="Arial"/>
              </w:rPr>
            </w:pPr>
            <w:r w:rsidDel="00000000" w:rsidR="00000000" w:rsidRPr="00000000">
              <w:rPr>
                <w:rFonts w:ascii="Arial" w:cs="Arial" w:eastAsia="Arial" w:hAnsi="Arial"/>
                <w:rtl w:val="0"/>
              </w:rPr>
              <w:t xml:space="preserve">2. B. Administrative Costs, Resource or Project Cost and Human Resource cost</w:t>
            </w:r>
          </w:p>
          <w:p w:rsidR="00000000" w:rsidDel="00000000" w:rsidP="00000000" w:rsidRDefault="00000000" w:rsidRPr="00000000">
            <w:pPr>
              <w:pBdr/>
              <w:spacing w:after="200" w:line="276" w:lineRule="auto"/>
              <w:contextualSpacing w:val="0"/>
              <w:rPr>
                <w:rFonts w:ascii="Arial" w:cs="Arial" w:eastAsia="Arial" w:hAnsi="Arial"/>
              </w:rPr>
            </w:pPr>
            <w:r w:rsidDel="00000000" w:rsidR="00000000" w:rsidRPr="00000000">
              <w:rPr>
                <w:rFonts w:ascii="Arial" w:cs="Arial" w:eastAsia="Arial" w:hAnsi="Arial"/>
                <w:rtl w:val="0"/>
              </w:rPr>
              <w:t xml:space="preserve">3.Learning Curve: simply refers to the more  experience and learnings obtained by an individual to complete an activity and the more an individual does this task, the less tedious the task becomes, and hence as the experience increases on projects, the cost per unit decreases since the time significantly becomes shortened.</w:t>
            </w:r>
          </w:p>
          <w:p w:rsidR="00000000" w:rsidDel="00000000" w:rsidP="00000000" w:rsidRDefault="00000000" w:rsidRPr="00000000">
            <w:pPr>
              <w:pBdr/>
              <w:spacing w:after="200" w:line="276" w:lineRule="auto"/>
              <w:contextualSpacing w:val="0"/>
              <w:rPr>
                <w:rFonts w:ascii="Arial" w:cs="Arial" w:eastAsia="Arial" w:hAnsi="Arial"/>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pBdr/>
              <w:contextualSpacing w:val="0"/>
              <w:rPr>
                <w:rFonts w:ascii="Arial" w:cs="Arial" w:eastAsia="Arial" w:hAnsi="Arial"/>
                <w:sz w:val="24"/>
                <w:szCs w:val="24"/>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p w:rsidR="00000000" w:rsidDel="00000000" w:rsidP="00000000" w:rsidRDefault="00000000" w:rsidRPr="00000000">
            <w:pPr>
              <w:pBdr/>
              <w:contextualSpacing w:val="0"/>
              <w:rPr>
                <w:b w:val="1"/>
              </w:rPr>
            </w:pPr>
            <w:r w:rsidDel="00000000" w:rsidR="00000000" w:rsidRPr="00000000">
              <w:rPr>
                <w:rtl w:val="0"/>
              </w:rPr>
            </w:r>
          </w:p>
        </w:tc>
      </w:tr>
    </w:tbl>
    <w:p w:rsidR="00000000" w:rsidDel="00000000" w:rsidP="00000000" w:rsidRDefault="00000000" w:rsidRPr="00000000">
      <w:pPr>
        <w:pBdr/>
        <w:spacing w:after="0" w:line="240" w:lineRule="auto"/>
        <w:contextualSpacing w:val="0"/>
        <w:rPr>
          <w:b w:val="1"/>
          <w:color w:val="002060"/>
          <w:sz w:val="28"/>
          <w:szCs w:val="28"/>
        </w:rPr>
      </w:pPr>
      <w:r w:rsidDel="00000000" w:rsidR="00000000" w:rsidRPr="00000000">
        <w:rPr>
          <w:rtl w:val="0"/>
        </w:rPr>
      </w:r>
    </w:p>
    <w:p w:rsidR="00000000" w:rsidDel="00000000" w:rsidP="00000000" w:rsidRDefault="00000000" w:rsidRPr="00000000">
      <w:pPr>
        <w:pBdr/>
        <w:spacing w:after="0" w:line="240" w:lineRule="auto"/>
        <w:contextualSpacing w:val="0"/>
        <w:rPr>
          <w:b w:val="1"/>
          <w:color w:val="002060"/>
          <w:sz w:val="28"/>
          <w:szCs w:val="28"/>
        </w:rPr>
      </w:pPr>
      <w:r w:rsidDel="00000000" w:rsidR="00000000" w:rsidRPr="00000000">
        <w:rPr>
          <w:b w:val="1"/>
          <w:color w:val="002060"/>
          <w:sz w:val="28"/>
          <w:szCs w:val="28"/>
          <w:rtl w:val="0"/>
        </w:rPr>
        <w:t xml:space="preserve">Student Statement:</w:t>
      </w:r>
    </w:p>
    <w:p w:rsidR="00000000" w:rsidDel="00000000" w:rsidP="00000000" w:rsidRDefault="00000000" w:rsidRPr="00000000">
      <w:pPr>
        <w:pBdr/>
        <w:spacing w:after="0" w:line="240" w:lineRule="auto"/>
        <w:contextualSpacing w:val="0"/>
        <w:rPr>
          <w:b w:val="1"/>
          <w:color w:val="001ae6"/>
        </w:rPr>
      </w:pPr>
      <w:r w:rsidDel="00000000" w:rsidR="00000000" w:rsidRPr="00000000">
        <w:rPr>
          <w:rtl w:val="0"/>
        </w:rPr>
      </w:r>
    </w:p>
    <w:p w:rsidR="00000000" w:rsidDel="00000000" w:rsidP="00000000" w:rsidRDefault="00000000" w:rsidRPr="00000000">
      <w:pPr>
        <w:pBdr/>
        <w:spacing w:after="0" w:line="240" w:lineRule="auto"/>
        <w:contextualSpacing w:val="0"/>
        <w:rPr>
          <w:color w:val="000000"/>
        </w:rPr>
      </w:pPr>
      <w:r w:rsidDel="00000000" w:rsidR="00000000" w:rsidRPr="00000000">
        <w:rPr>
          <w:color w:val="000000"/>
          <w:rtl w:val="0"/>
        </w:rPr>
        <w:t xml:space="preserve">By submitting this assignment, I confirm that this is my own work.</w:t>
      </w:r>
    </w:p>
    <w:p w:rsidR="00000000" w:rsidDel="00000000" w:rsidP="00000000" w:rsidRDefault="00000000" w:rsidRPr="00000000">
      <w:pPr>
        <w:pBdr/>
        <w:spacing w:after="0" w:line="240" w:lineRule="auto"/>
        <w:contextualSpacing w:val="0"/>
        <w:rPr>
          <w:color w:val="000000"/>
        </w:rPr>
      </w:pPr>
      <w:r w:rsidDel="00000000" w:rsidR="00000000" w:rsidRPr="00000000">
        <w:rPr>
          <w:rtl w:val="0"/>
        </w:rPr>
      </w:r>
    </w:p>
    <w:p w:rsidR="00000000" w:rsidDel="00000000" w:rsidP="00000000" w:rsidRDefault="00000000" w:rsidRPr="00000000">
      <w:pPr>
        <w:pBdr/>
        <w:spacing w:after="0" w:line="240" w:lineRule="auto"/>
        <w:contextualSpacing w:val="0"/>
        <w:rPr>
          <w:color w:val="000000"/>
        </w:rPr>
      </w:pPr>
      <w:r w:rsidDel="00000000" w:rsidR="00000000" w:rsidRPr="00000000">
        <w:rPr>
          <w:rtl w:val="0"/>
        </w:rPr>
      </w:r>
    </w:p>
    <w:p w:rsidR="00000000" w:rsidDel="00000000" w:rsidP="00000000" w:rsidRDefault="00000000" w:rsidRPr="00000000">
      <w:pPr>
        <w:pBdr/>
        <w:spacing w:after="0" w:line="240" w:lineRule="auto"/>
        <w:contextualSpacing w:val="0"/>
        <w:rPr>
          <w:color w:val="000000"/>
        </w:rPr>
      </w:pPr>
      <w:r w:rsidDel="00000000" w:rsidR="00000000" w:rsidRPr="00000000">
        <w:rPr>
          <w:rtl w:val="0"/>
        </w:rPr>
      </w:r>
    </w:p>
    <w:tbl>
      <w:tblPr>
        <w:tblStyle w:val="Table3"/>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4035"/>
        <w:gridCol w:w="1276"/>
        <w:gridCol w:w="1621"/>
        <w:tblGridChange w:id="0">
          <w:tblGrid>
            <w:gridCol w:w="2310"/>
            <w:gridCol w:w="4035"/>
            <w:gridCol w:w="1276"/>
            <w:gridCol w:w="1621"/>
          </w:tblGrid>
        </w:tblGridChange>
      </w:tblGrid>
      <w:tr>
        <w:tc>
          <w:tcPr>
            <w:shd w:fill="d9d9d9"/>
          </w:tcPr>
          <w:p w:rsidR="00000000" w:rsidDel="00000000" w:rsidP="00000000" w:rsidRDefault="00000000" w:rsidRPr="00000000">
            <w:pPr>
              <w:pBdr/>
              <w:contextualSpacing w:val="0"/>
              <w:rPr>
                <w:color w:val="000000"/>
              </w:rPr>
            </w:pPr>
            <w:r w:rsidDel="00000000" w:rsidR="00000000" w:rsidRPr="00000000">
              <w:rPr>
                <w:color w:val="000000"/>
                <w:rtl w:val="0"/>
              </w:rPr>
              <w:t xml:space="preserve">Student Signature</w:t>
            </w:r>
          </w:p>
        </w:tc>
        <w:tc>
          <w:tcPr/>
          <w:p w:rsidR="00000000" w:rsidDel="00000000" w:rsidP="00000000" w:rsidRDefault="00000000" w:rsidRPr="00000000">
            <w:pPr>
              <w:pBdr/>
              <w:contextualSpacing w:val="0"/>
              <w:rPr>
                <w:color w:val="000000"/>
              </w:rPr>
            </w:pPr>
            <w:r w:rsidDel="00000000" w:rsidR="00000000" w:rsidRPr="00000000">
              <w:rPr>
                <w:rtl w:val="0"/>
              </w:rPr>
              <w:t xml:space="preserve">Jasper Joshua Ketibuah</w:t>
            </w:r>
            <w:r w:rsidDel="00000000" w:rsidR="00000000" w:rsidRPr="00000000">
              <w:rPr>
                <w:rtl w:val="0"/>
              </w:rPr>
            </w:r>
          </w:p>
        </w:tc>
        <w:tc>
          <w:tcPr>
            <w:shd w:fill="d9d9d9"/>
          </w:tcPr>
          <w:p w:rsidR="00000000" w:rsidDel="00000000" w:rsidP="00000000" w:rsidRDefault="00000000" w:rsidRPr="00000000">
            <w:pPr>
              <w:pBdr/>
              <w:contextualSpacing w:val="0"/>
              <w:rPr>
                <w:color w:val="000000"/>
              </w:rPr>
            </w:pPr>
            <w:r w:rsidDel="00000000" w:rsidR="00000000" w:rsidRPr="00000000">
              <w:rPr>
                <w:color w:val="000000"/>
                <w:rtl w:val="0"/>
              </w:rPr>
              <w:t xml:space="preserve">Date</w:t>
            </w:r>
          </w:p>
        </w:tc>
        <w:tc>
          <w:tcPr/>
          <w:p w:rsidR="00000000" w:rsidDel="00000000" w:rsidP="00000000" w:rsidRDefault="00000000" w:rsidRPr="00000000">
            <w:pPr>
              <w:pBdr/>
              <w:contextualSpacing w:val="0"/>
              <w:rPr>
                <w:color w:val="000000"/>
              </w:rPr>
            </w:pPr>
            <w:r w:rsidDel="00000000" w:rsidR="00000000" w:rsidRPr="00000000">
              <w:rPr>
                <w:rtl w:val="0"/>
              </w:rPr>
              <w:t xml:space="preserve">06/06/17</w:t>
            </w:r>
            <w:r w:rsidDel="00000000" w:rsidR="00000000" w:rsidRPr="00000000">
              <w:rPr>
                <w:rtl w:val="0"/>
              </w:rPr>
            </w:r>
          </w:p>
        </w:tc>
      </w:tr>
    </w:tbl>
    <w:p w:rsidR="00000000" w:rsidDel="00000000" w:rsidP="00000000" w:rsidRDefault="00000000" w:rsidRPr="00000000">
      <w:pPr>
        <w:pBdr/>
        <w:contextualSpacing w:val="0"/>
        <w:rPr>
          <w:color w:val="000000"/>
        </w:rPr>
      </w:pPr>
      <w:r w:rsidDel="00000000" w:rsidR="00000000" w:rsidRPr="00000000">
        <w:rPr>
          <w:rtl w:val="0"/>
        </w:rPr>
      </w:r>
    </w:p>
    <w:p w:rsidR="00000000" w:rsidDel="00000000" w:rsidP="00000000" w:rsidRDefault="00000000" w:rsidRPr="00000000">
      <w:pPr>
        <w:pBdr/>
        <w:contextualSpacing w:val="0"/>
        <w:rPr>
          <w:color w:val="000000"/>
        </w:rPr>
      </w:pPr>
      <w:r w:rsidDel="00000000" w:rsidR="00000000" w:rsidRPr="00000000">
        <w:rPr>
          <w:rtl w:val="0"/>
        </w:rPr>
      </w:r>
    </w:p>
    <w:p w:rsidR="00000000" w:rsidDel="00000000" w:rsidP="00000000" w:rsidRDefault="00000000" w:rsidRPr="00000000">
      <w:pPr>
        <w:pBdr/>
        <w:shd w:fill="d9d9d9" w:val="clear"/>
        <w:contextualSpacing w:val="0"/>
        <w:rPr>
          <w:b w:val="1"/>
          <w:sz w:val="32"/>
          <w:szCs w:val="32"/>
        </w:rPr>
      </w:pPr>
      <w:r w:rsidDel="00000000" w:rsidR="00000000" w:rsidRPr="00000000">
        <w:rPr>
          <w:b w:val="1"/>
          <w:color w:val="000000"/>
          <w:sz w:val="28"/>
          <w:szCs w:val="28"/>
          <w:rtl w:val="0"/>
        </w:rPr>
        <w:t xml:space="preserve">For Tutor / Assessor Use Only</w:t>
      </w:r>
      <w:r w:rsidDel="00000000" w:rsidR="00000000" w:rsidRPr="00000000">
        <w:rPr>
          <w:rtl w:val="0"/>
        </w:rPr>
      </w:r>
    </w:p>
    <w:tbl>
      <w:tblPr>
        <w:tblStyle w:val="Table4"/>
        <w:bidiVisual w:val="0"/>
        <w:tblW w:w="9242.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21"/>
        <w:gridCol w:w="4621"/>
        <w:tblGridChange w:id="0">
          <w:tblGrid>
            <w:gridCol w:w="4621"/>
            <w:gridCol w:w="4621"/>
          </w:tblGrid>
        </w:tblGridChange>
      </w:tblGrid>
      <w:tr>
        <w:trPr>
          <w:trHeight w:val="240" w:hRule="atLeast"/>
        </w:trPr>
        <w:tc>
          <w:tcPr>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Total Marks</w:t>
            </w:r>
          </w:p>
        </w:tc>
        <w:tc>
          <w:tcPr/>
          <w:p w:rsidR="00000000" w:rsidDel="00000000" w:rsidP="00000000" w:rsidRDefault="00000000" w:rsidRPr="00000000">
            <w:pPr>
              <w:pBdr/>
              <w:contextualSpacing w:val="0"/>
              <w:rPr/>
            </w:pPr>
            <w:r w:rsidDel="00000000" w:rsidR="00000000" w:rsidRPr="00000000">
              <w:rPr>
                <w:rtl w:val="0"/>
              </w:rPr>
            </w:r>
          </w:p>
        </w:tc>
      </w:tr>
      <w:tr>
        <w:tc>
          <w:tcPr>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Marks Obtained</w:t>
            </w:r>
          </w:p>
        </w:tc>
        <w:tc>
          <w:tcPr/>
          <w:p w:rsidR="00000000" w:rsidDel="00000000" w:rsidP="00000000" w:rsidRDefault="00000000" w:rsidRPr="00000000">
            <w:pPr>
              <w:pBdr/>
              <w:contextualSpacing w:val="0"/>
              <w:rPr/>
            </w:pPr>
            <w:r w:rsidDel="00000000" w:rsidR="00000000" w:rsidRPr="00000000">
              <w:rPr>
                <w:rtl w:val="0"/>
              </w:rPr>
            </w:r>
          </w:p>
        </w:tc>
      </w:tr>
      <w:tr>
        <w:tc>
          <w:tcPr>
            <w:shd w:fill="d9d9d9"/>
          </w:tcPr>
          <w:p w:rsidR="00000000" w:rsidDel="00000000" w:rsidP="00000000" w:rsidRDefault="00000000" w:rsidRPr="00000000">
            <w:pPr>
              <w:pBdr/>
              <w:contextualSpacing w:val="0"/>
              <w:rPr>
                <w:b w:val="1"/>
                <w:color w:val="002060"/>
              </w:rPr>
            </w:pPr>
            <w:r w:rsidDel="00000000" w:rsidR="00000000" w:rsidRPr="00000000">
              <w:rPr>
                <w:b w:val="1"/>
                <w:color w:val="002060"/>
                <w:rtl w:val="0"/>
              </w:rPr>
              <w:t xml:space="preserve">Percentage / Grade</w:t>
            </w:r>
          </w:p>
        </w:tc>
        <w:tc>
          <w:tcPr/>
          <w:p w:rsidR="00000000" w:rsidDel="00000000" w:rsidP="00000000" w:rsidRDefault="00000000" w:rsidRPr="00000000">
            <w:pPr>
              <w:pBdr/>
              <w:contextualSpacing w:val="0"/>
              <w:rPr/>
            </w:pPr>
            <w:r w:rsidDel="00000000" w:rsidR="00000000" w:rsidRPr="00000000">
              <w:rPr>
                <w:rtl w:val="0"/>
              </w:rPr>
            </w:r>
          </w:p>
        </w:tc>
      </w:tr>
    </w:tbl>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p w:rsidR="00000000" w:rsidDel="00000000" w:rsidP="00000000" w:rsidRDefault="00000000" w:rsidRPr="00000000">
      <w:pPr>
        <w:pBdr/>
        <w:contextualSpacing w:val="0"/>
        <w:rPr>
          <w:sz w:val="24"/>
          <w:szCs w:val="24"/>
        </w:rPr>
      </w:pPr>
      <w:r w:rsidDel="00000000" w:rsidR="00000000" w:rsidRPr="00000000">
        <w:rPr>
          <w:rtl w:val="0"/>
        </w:rPr>
      </w:r>
    </w:p>
    <w:sectPr>
      <w:pgSz w:h="16838" w:w="11906"/>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2">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abstractNum w:abstractNumId="3">
    <w:lvl w:ilvl="0">
      <w:start w:val="1"/>
      <w:numFmt w:val="lowerLetter"/>
      <w:lvlText w:val="%1."/>
      <w:lvlJc w:val="left"/>
      <w:pPr>
        <w:ind w:left="720" w:firstLine="360"/>
      </w:pPr>
      <w:rPr>
        <w:u w:val="none"/>
      </w:rPr>
    </w:lvl>
    <w:lvl w:ilvl="1">
      <w:start w:val="1"/>
      <w:numFmt w:val="lowerRoman"/>
      <w:lvlText w:val="%2."/>
      <w:lvlJc w:val="right"/>
      <w:pPr>
        <w:ind w:left="1440" w:firstLine="1080"/>
      </w:pPr>
      <w:rPr>
        <w:u w:val="none"/>
      </w:rPr>
    </w:lvl>
    <w:lvl w:ilvl="2">
      <w:start w:val="1"/>
      <w:numFmt w:val="decimal"/>
      <w:lvlText w:val="%3."/>
      <w:lvlJc w:val="left"/>
      <w:pPr>
        <w:ind w:left="2160" w:firstLine="1800"/>
      </w:pPr>
      <w:rPr>
        <w:u w:val="none"/>
      </w:rPr>
    </w:lvl>
    <w:lvl w:ilvl="3">
      <w:start w:val="1"/>
      <w:numFmt w:val="lowerLetter"/>
      <w:lvlText w:val="%4."/>
      <w:lvlJc w:val="left"/>
      <w:pPr>
        <w:ind w:left="2880" w:firstLine="2520"/>
      </w:pPr>
      <w:rPr>
        <w:u w:val="none"/>
      </w:rPr>
    </w:lvl>
    <w:lvl w:ilvl="4">
      <w:start w:val="1"/>
      <w:numFmt w:val="lowerRoman"/>
      <w:lvlText w:val="%5."/>
      <w:lvlJc w:val="right"/>
      <w:pPr>
        <w:ind w:left="3600" w:firstLine="3240"/>
      </w:pPr>
      <w:rPr>
        <w:u w:val="none"/>
      </w:rPr>
    </w:lvl>
    <w:lvl w:ilvl="5">
      <w:start w:val="1"/>
      <w:numFmt w:val="decimal"/>
      <w:lvlText w:val="%6."/>
      <w:lvlJc w:val="left"/>
      <w:pPr>
        <w:ind w:left="4320" w:firstLine="3960"/>
      </w:pPr>
      <w:rPr>
        <w:u w:val="none"/>
      </w:rPr>
    </w:lvl>
    <w:lvl w:ilvl="6">
      <w:start w:val="1"/>
      <w:numFmt w:val="lowerLetter"/>
      <w:lvlText w:val="%7."/>
      <w:lvlJc w:val="left"/>
      <w:pPr>
        <w:ind w:left="5040" w:firstLine="4680"/>
      </w:pPr>
      <w:rPr>
        <w:u w:val="none"/>
      </w:rPr>
    </w:lvl>
    <w:lvl w:ilvl="7">
      <w:start w:val="1"/>
      <w:numFmt w:val="lowerRoman"/>
      <w:lvlText w:val="%8."/>
      <w:lvlJc w:val="right"/>
      <w:pPr>
        <w:ind w:left="5760" w:firstLine="5400"/>
      </w:pPr>
      <w:rPr>
        <w:u w:val="none"/>
      </w:rPr>
    </w:lvl>
    <w:lvl w:ilvl="8">
      <w:start w:val="1"/>
      <w:numFmt w:val="decimal"/>
      <w:lvlText w:val="%9."/>
      <w:lvlJc w:val="left"/>
      <w:pPr>
        <w:ind w:left="6480" w:firstLine="612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vertAlign w:val="baseline"/>
      </w:rPr>
    </w:rPrDefault>
    <w:pPrDefault>
      <w:pPr>
        <w:keepNext w:val="0"/>
        <w:keepLines w:val="0"/>
        <w:widowControl w:val="0"/>
        <w:pBdr/>
        <w:spacing w:after="20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 w:type="table" w:styleId="Table1">
    <w:basedOn w:val="TableNormal"/>
    <w:pPr>
      <w:pBd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pPr>
      <w:pBd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3">
    <w:basedOn w:val="TableNormal"/>
    <w:pPr>
      <w:pBd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4">
    <w:basedOn w:val="TableNormal"/>
    <w:pPr>
      <w:pBdr/>
      <w:spacing w:after="0" w:line="240" w:lineRule="auto"/>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2.png"/><Relationship Id="rId6" Type="http://schemas.openxmlformats.org/officeDocument/2006/relationships/image" Target="media/image4.png"/></Relationships>
</file>