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F3BD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bookmarkStart w:id="0" w:name="_Hlk535826035"/>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65ED">
            <w:pPr>
              <w:pStyle w:val="Default"/>
              <w:rPr>
                <w:rFonts w:asciiTheme="minorHAnsi" w:hAnsiTheme="minorHAnsi"/>
              </w:rPr>
            </w:pPr>
            <w:r>
              <w:rPr>
                <w:rFonts w:asciiTheme="minorHAnsi" w:hAnsiTheme="minorHAnsi"/>
              </w:rPr>
              <w:t>William Pool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765ED">
            <w:pPr>
              <w:pStyle w:val="Default"/>
              <w:rPr>
                <w:rFonts w:asciiTheme="minorHAnsi" w:hAnsiTheme="minorHAnsi"/>
              </w:rPr>
            </w:pPr>
            <w:r>
              <w:rPr>
                <w:rFonts w:asciiTheme="minorHAnsi" w:hAnsiTheme="minorHAnsi"/>
              </w:rPr>
              <w:t>21982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65ED">
            <w:pPr>
              <w:pStyle w:val="Default"/>
              <w:rPr>
                <w:rFonts w:asciiTheme="minorHAnsi" w:hAnsiTheme="minorHAnsi"/>
              </w:rPr>
            </w:pPr>
            <w:r>
              <w:rPr>
                <w:rFonts w:asciiTheme="minorHAnsi" w:hAnsiTheme="minorHAnsi"/>
              </w:rPr>
              <w:t>Certificate in Environmental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23D3">
            <w:r>
              <w:t>Two</w:t>
            </w:r>
          </w:p>
        </w:tc>
      </w:tr>
      <w:bookmarkEnd w:id="0"/>
    </w:tbl>
    <w:p w:rsidR="00CC2FB3" w:rsidRDefault="00CC2FB3" w:rsidP="00230236">
      <w:pPr>
        <w:pStyle w:val="NoSpacing"/>
        <w:rPr>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54A6F" w:rsidRDefault="00254A6F" w:rsidP="00254A6F">
            <w:pPr>
              <w:pStyle w:val="Header"/>
              <w:jc w:val="right"/>
            </w:pPr>
            <w:r>
              <w:rPr>
                <w:rFonts w:ascii="Arial" w:hAnsi="Arial" w:cs="Arial"/>
                <w:sz w:val="24"/>
                <w:szCs w:val="24"/>
              </w:rPr>
              <w:t xml:space="preserve">William Pool, 21982, Assignment 2 </w:t>
            </w:r>
            <w:r>
              <w:t xml:space="preserve">Page </w:t>
            </w:r>
            <w:r>
              <w:rPr>
                <w:b/>
                <w:bCs/>
              </w:rPr>
              <w:t>1</w:t>
            </w:r>
          </w:p>
          <w:p w:rsidR="00254A6F" w:rsidRDefault="00254A6F" w:rsidP="00254A6F">
            <w:pPr>
              <w:pStyle w:val="NoSpacing"/>
              <w:jc w:val="both"/>
              <w:rPr>
                <w:rFonts w:ascii="Arial" w:hAnsi="Arial" w:cs="Arial"/>
                <w:sz w:val="24"/>
                <w:szCs w:val="24"/>
              </w:rPr>
            </w:pPr>
          </w:p>
          <w:p w:rsidR="00254A6F" w:rsidRDefault="00254A6F" w:rsidP="00254A6F">
            <w:pPr>
              <w:pStyle w:val="NoSpacing"/>
              <w:jc w:val="both"/>
              <w:rPr>
                <w:rFonts w:ascii="Arial" w:hAnsi="Arial" w:cs="Arial"/>
                <w:color w:val="4F81BD" w:themeColor="accent1"/>
                <w:sz w:val="24"/>
                <w:szCs w:val="24"/>
              </w:rPr>
            </w:pPr>
          </w:p>
          <w:p w:rsidR="00254A6F" w:rsidRDefault="00254A6F" w:rsidP="00254A6F">
            <w:pPr>
              <w:pStyle w:val="NoSpacing"/>
              <w:jc w:val="both"/>
              <w:rPr>
                <w:rFonts w:ascii="Arial" w:hAnsi="Arial" w:cs="Arial"/>
                <w:color w:val="4F81BD" w:themeColor="accent1"/>
                <w:sz w:val="24"/>
                <w:szCs w:val="24"/>
              </w:rPr>
            </w:pPr>
            <w:r>
              <w:rPr>
                <w:rFonts w:ascii="Arial" w:hAnsi="Arial" w:cs="Arial"/>
                <w:color w:val="4F81BD" w:themeColor="accent1"/>
                <w:sz w:val="24"/>
                <w:szCs w:val="24"/>
              </w:rPr>
              <w:t>1. What are the 17 requirements of the ISO 14001:2004 standard?</w:t>
            </w:r>
          </w:p>
          <w:p w:rsidR="00254A6F" w:rsidRDefault="00254A6F" w:rsidP="00254A6F">
            <w:pPr>
              <w:pStyle w:val="NoSpacing"/>
              <w:jc w:val="both"/>
              <w:rPr>
                <w:rFonts w:ascii="Arial" w:hAnsi="Arial" w:cs="Arial"/>
                <w:sz w:val="24"/>
                <w:szCs w:val="24"/>
              </w:rPr>
            </w:pPr>
          </w:p>
          <w:p w:rsidR="00254A6F" w:rsidRDefault="00254A6F" w:rsidP="00254A6F">
            <w:pPr>
              <w:pStyle w:val="NoSpacing"/>
              <w:jc w:val="both"/>
              <w:rPr>
                <w:rFonts w:ascii="Arial" w:hAnsi="Arial" w:cs="Arial"/>
                <w:sz w:val="24"/>
                <w:szCs w:val="24"/>
              </w:rPr>
            </w:pPr>
            <w:r>
              <w:rPr>
                <w:rFonts w:ascii="Arial" w:hAnsi="Arial" w:cs="Arial"/>
                <w:sz w:val="24"/>
                <w:szCs w:val="24"/>
              </w:rPr>
              <w:t>The 17 requirements of the ISO 14001:2004 standard are as follows:</w:t>
            </w:r>
          </w:p>
          <w:p w:rsidR="00254A6F" w:rsidRDefault="00254A6F" w:rsidP="00254A6F">
            <w:pPr>
              <w:pStyle w:val="NoSpacing"/>
              <w:jc w:val="both"/>
              <w:rPr>
                <w:rFonts w:ascii="Arial" w:hAnsi="Arial" w:cs="Arial"/>
                <w:sz w:val="24"/>
                <w:szCs w:val="24"/>
              </w:rPr>
            </w:pPr>
          </w:p>
          <w:p w:rsidR="00254A6F" w:rsidRDefault="00254A6F" w:rsidP="00254A6F">
            <w:pPr>
              <w:pStyle w:val="NoSpacing"/>
              <w:numPr>
                <w:ilvl w:val="0"/>
                <w:numId w:val="2"/>
              </w:numPr>
              <w:ind w:left="1440" w:hanging="1080"/>
              <w:jc w:val="both"/>
              <w:rPr>
                <w:rFonts w:ascii="Arial" w:hAnsi="Arial" w:cs="Arial"/>
                <w:sz w:val="24"/>
                <w:szCs w:val="24"/>
              </w:rPr>
            </w:pPr>
            <w:r>
              <w:rPr>
                <w:rFonts w:ascii="Arial" w:hAnsi="Arial" w:cs="Arial"/>
                <w:sz w:val="24"/>
                <w:szCs w:val="24"/>
                <w:u w:val="single"/>
              </w:rPr>
              <w:t>Environmental Policy</w:t>
            </w:r>
            <w:r>
              <w:rPr>
                <w:rFonts w:ascii="Arial" w:hAnsi="Arial" w:cs="Arial"/>
                <w:sz w:val="24"/>
                <w:szCs w:val="24"/>
              </w:rPr>
              <w:t>: A company will require to develop a policy statement which outlines its commitment to the environment and the management of the same.</w:t>
            </w:r>
          </w:p>
          <w:p w:rsidR="00254A6F" w:rsidRDefault="00254A6F" w:rsidP="00254A6F">
            <w:pPr>
              <w:pStyle w:val="NoSpacing"/>
              <w:numPr>
                <w:ilvl w:val="0"/>
                <w:numId w:val="2"/>
              </w:numPr>
              <w:ind w:left="1440" w:hanging="1080"/>
              <w:jc w:val="both"/>
              <w:rPr>
                <w:rFonts w:ascii="Arial" w:hAnsi="Arial" w:cs="Arial"/>
                <w:sz w:val="24"/>
                <w:szCs w:val="24"/>
              </w:rPr>
            </w:pPr>
            <w:r>
              <w:rPr>
                <w:rFonts w:ascii="Arial" w:hAnsi="Arial" w:cs="Arial"/>
                <w:sz w:val="24"/>
                <w:szCs w:val="24"/>
                <w:u w:val="single"/>
              </w:rPr>
              <w:t>Environmental Aspects &amp; Impacts</w:t>
            </w:r>
            <w:r>
              <w:rPr>
                <w:rFonts w:ascii="Arial" w:hAnsi="Arial" w:cs="Arial"/>
                <w:sz w:val="24"/>
                <w:szCs w:val="24"/>
              </w:rPr>
              <w:t>. An aspects and impact register will be formulated to identify the environmental impacts and aspects of their effects on the environment by their services, products and activities.</w:t>
            </w:r>
          </w:p>
          <w:p w:rsidR="00254A6F" w:rsidRDefault="00254A6F" w:rsidP="00254A6F">
            <w:pPr>
              <w:pStyle w:val="NoSpacing"/>
              <w:numPr>
                <w:ilvl w:val="0"/>
                <w:numId w:val="2"/>
              </w:numPr>
              <w:ind w:left="1440" w:hanging="1080"/>
              <w:jc w:val="both"/>
              <w:rPr>
                <w:rFonts w:ascii="Arial" w:hAnsi="Arial" w:cs="Arial"/>
                <w:sz w:val="24"/>
                <w:szCs w:val="24"/>
              </w:rPr>
            </w:pPr>
            <w:r>
              <w:rPr>
                <w:rFonts w:ascii="Arial" w:hAnsi="Arial" w:cs="Arial"/>
                <w:sz w:val="24"/>
                <w:szCs w:val="24"/>
                <w:u w:val="single"/>
              </w:rPr>
              <w:t>Legal &amp; other Requirements.</w:t>
            </w:r>
            <w:r>
              <w:rPr>
                <w:rFonts w:ascii="Arial" w:hAnsi="Arial" w:cs="Arial"/>
                <w:sz w:val="24"/>
                <w:szCs w:val="24"/>
              </w:rPr>
              <w:t xml:space="preserve"> Identify all law, legislation, regulations and other associated documents that they will require, a library is most commonly setup with the said documentation.</w:t>
            </w:r>
          </w:p>
          <w:p w:rsidR="00254A6F" w:rsidRDefault="00254A6F" w:rsidP="00254A6F">
            <w:pPr>
              <w:pStyle w:val="NoSpacing"/>
              <w:numPr>
                <w:ilvl w:val="0"/>
                <w:numId w:val="2"/>
              </w:numPr>
              <w:ind w:left="1440" w:hanging="1080"/>
              <w:jc w:val="both"/>
              <w:rPr>
                <w:rFonts w:ascii="Arial" w:hAnsi="Arial" w:cs="Arial"/>
                <w:sz w:val="24"/>
                <w:szCs w:val="24"/>
              </w:rPr>
            </w:pPr>
            <w:r>
              <w:rPr>
                <w:rFonts w:ascii="Arial" w:hAnsi="Arial" w:cs="Arial"/>
                <w:sz w:val="24"/>
                <w:szCs w:val="24"/>
                <w:u w:val="single"/>
              </w:rPr>
              <w:t>Objectives, targets and environmental management program.</w:t>
            </w:r>
            <w:r>
              <w:rPr>
                <w:rFonts w:ascii="Arial" w:hAnsi="Arial" w:cs="Arial"/>
                <w:sz w:val="24"/>
                <w:szCs w:val="24"/>
              </w:rPr>
              <w:t xml:space="preserve"> The organization will set out goals which will be accompanied by plans and objectives (usually SMART Objectives) to achieve the goals set.</w:t>
            </w:r>
          </w:p>
          <w:p w:rsidR="00254A6F" w:rsidRDefault="00254A6F" w:rsidP="00254A6F">
            <w:pPr>
              <w:pStyle w:val="NoSpacing"/>
              <w:numPr>
                <w:ilvl w:val="0"/>
                <w:numId w:val="2"/>
              </w:numPr>
              <w:ind w:left="1440" w:hanging="1080"/>
              <w:jc w:val="both"/>
              <w:rPr>
                <w:rFonts w:ascii="Arial" w:hAnsi="Arial" w:cs="Arial"/>
                <w:sz w:val="24"/>
                <w:szCs w:val="24"/>
              </w:rPr>
            </w:pPr>
            <w:r>
              <w:rPr>
                <w:rFonts w:ascii="Arial" w:hAnsi="Arial" w:cs="Arial"/>
                <w:sz w:val="24"/>
                <w:szCs w:val="24"/>
                <w:u w:val="single"/>
              </w:rPr>
              <w:t xml:space="preserve">Structure and responsibility. </w:t>
            </w:r>
            <w:r>
              <w:rPr>
                <w:rFonts w:ascii="Arial" w:hAnsi="Arial" w:cs="Arial"/>
                <w:sz w:val="24"/>
                <w:szCs w:val="24"/>
              </w:rPr>
              <w:t xml:space="preserve"> The organization will require to set out environmental roles and responsibilities for all the staff. This can be incorporated into personal contracts and the responsibilities will be laid out within a policy and an organogram showing who is responsible for what.</w:t>
            </w:r>
          </w:p>
          <w:p w:rsidR="00254A6F" w:rsidRDefault="00254A6F" w:rsidP="00254A6F">
            <w:pPr>
              <w:pStyle w:val="NoSpacing"/>
              <w:numPr>
                <w:ilvl w:val="0"/>
                <w:numId w:val="2"/>
              </w:numPr>
              <w:ind w:left="1440" w:hanging="1080"/>
              <w:jc w:val="both"/>
              <w:rPr>
                <w:rFonts w:ascii="Arial" w:hAnsi="Arial" w:cs="Arial"/>
                <w:sz w:val="24"/>
                <w:szCs w:val="24"/>
              </w:rPr>
            </w:pPr>
            <w:r>
              <w:rPr>
                <w:rFonts w:ascii="Arial" w:hAnsi="Arial" w:cs="Arial"/>
                <w:sz w:val="24"/>
                <w:szCs w:val="24"/>
                <w:u w:val="single"/>
              </w:rPr>
              <w:lastRenderedPageBreak/>
              <w:t>Training, awareness and competence.</w:t>
            </w:r>
            <w:r>
              <w:rPr>
                <w:rFonts w:ascii="Arial" w:hAnsi="Arial" w:cs="Arial"/>
                <w:sz w:val="24"/>
                <w:szCs w:val="24"/>
              </w:rPr>
              <w:t xml:space="preserve"> The company requires to ensure that all staff are competent and have the correct level of training to enable them to fulfill their responsibilities.</w:t>
            </w:r>
          </w:p>
          <w:p w:rsidR="00254A6F" w:rsidRDefault="00254A6F" w:rsidP="00254A6F">
            <w:pPr>
              <w:pStyle w:val="NoSpacing"/>
              <w:numPr>
                <w:ilvl w:val="0"/>
                <w:numId w:val="2"/>
              </w:numPr>
              <w:ind w:left="1440" w:hanging="1080"/>
              <w:jc w:val="both"/>
              <w:rPr>
                <w:rFonts w:ascii="Arial" w:hAnsi="Arial" w:cs="Arial"/>
                <w:sz w:val="24"/>
                <w:szCs w:val="24"/>
              </w:rPr>
            </w:pPr>
            <w:r>
              <w:rPr>
                <w:rFonts w:ascii="Arial" w:hAnsi="Arial" w:cs="Arial"/>
                <w:sz w:val="24"/>
                <w:szCs w:val="24"/>
                <w:u w:val="single"/>
              </w:rPr>
              <w:t>Communication.</w:t>
            </w:r>
            <w:r>
              <w:rPr>
                <w:rFonts w:ascii="Arial" w:hAnsi="Arial" w:cs="Arial"/>
                <w:sz w:val="24"/>
                <w:szCs w:val="24"/>
              </w:rPr>
              <w:t xml:space="preserve"> The company will develop a process/procedure for communication at all levels for internal and external environmental management issues. This maybe in the form of meetings, bulletins or a company intranet, or similar.</w:t>
            </w:r>
          </w:p>
          <w:p w:rsidR="00254A6F" w:rsidRDefault="00254A6F" w:rsidP="00254A6F">
            <w:pPr>
              <w:pStyle w:val="NoSpacing"/>
              <w:numPr>
                <w:ilvl w:val="0"/>
                <w:numId w:val="2"/>
              </w:numPr>
              <w:ind w:left="1440" w:hanging="1080"/>
              <w:jc w:val="both"/>
              <w:rPr>
                <w:rFonts w:ascii="Arial" w:hAnsi="Arial" w:cs="Arial"/>
                <w:sz w:val="24"/>
                <w:szCs w:val="24"/>
              </w:rPr>
            </w:pPr>
            <w:r>
              <w:rPr>
                <w:rFonts w:ascii="Arial" w:hAnsi="Arial" w:cs="Arial"/>
                <w:sz w:val="24"/>
                <w:szCs w:val="24"/>
                <w:u w:val="single"/>
              </w:rPr>
              <w:t>EMS Documentation.</w:t>
            </w:r>
            <w:r>
              <w:rPr>
                <w:rFonts w:ascii="Arial" w:hAnsi="Arial" w:cs="Arial"/>
                <w:sz w:val="24"/>
                <w:szCs w:val="24"/>
              </w:rPr>
              <w:t xml:space="preserve"> All relevant documentation that requires to in place to form the Environmental Management System, such as policy, records, aspect impact register, legislation library etc.</w:t>
            </w:r>
          </w:p>
          <w:p w:rsidR="00254A6F" w:rsidRDefault="00254A6F" w:rsidP="00254A6F">
            <w:pPr>
              <w:pStyle w:val="NoSpacing"/>
              <w:numPr>
                <w:ilvl w:val="0"/>
                <w:numId w:val="2"/>
              </w:numPr>
              <w:ind w:left="1440" w:hanging="1080"/>
              <w:jc w:val="both"/>
              <w:rPr>
                <w:rFonts w:ascii="Arial" w:hAnsi="Arial" w:cs="Arial"/>
                <w:sz w:val="24"/>
                <w:szCs w:val="24"/>
              </w:rPr>
            </w:pPr>
            <w:r>
              <w:rPr>
                <w:rFonts w:ascii="Arial" w:hAnsi="Arial" w:cs="Arial"/>
                <w:sz w:val="24"/>
                <w:szCs w:val="24"/>
                <w:u w:val="single"/>
              </w:rPr>
              <w:t>Document Control.</w:t>
            </w:r>
            <w:r>
              <w:rPr>
                <w:rFonts w:ascii="Arial" w:hAnsi="Arial" w:cs="Arial"/>
                <w:sz w:val="24"/>
                <w:szCs w:val="24"/>
              </w:rPr>
              <w:t xml:space="preserve"> Ensure effective management of the documents that are in place. That the documents are kept up to date with valid current versions in place.</w:t>
            </w:r>
          </w:p>
          <w:p w:rsidR="00254A6F" w:rsidRDefault="00254A6F" w:rsidP="00254A6F">
            <w:pPr>
              <w:pStyle w:val="NoSpacing"/>
              <w:numPr>
                <w:ilvl w:val="0"/>
                <w:numId w:val="2"/>
              </w:numPr>
              <w:ind w:left="1440" w:hanging="1080"/>
              <w:jc w:val="both"/>
              <w:rPr>
                <w:rFonts w:ascii="Arial" w:hAnsi="Arial" w:cs="Arial"/>
                <w:sz w:val="24"/>
                <w:szCs w:val="24"/>
              </w:rPr>
            </w:pPr>
            <w:r>
              <w:rPr>
                <w:rFonts w:ascii="Arial" w:hAnsi="Arial" w:cs="Arial"/>
                <w:sz w:val="24"/>
                <w:szCs w:val="24"/>
                <w:u w:val="single"/>
              </w:rPr>
              <w:t>Operational control.</w:t>
            </w:r>
            <w:r>
              <w:rPr>
                <w:rFonts w:ascii="Arial" w:hAnsi="Arial" w:cs="Arial"/>
                <w:sz w:val="24"/>
                <w:szCs w:val="24"/>
              </w:rPr>
              <w:t xml:space="preserve"> To identify, plan and co-ordinate the organizations activities and operations to ensure they are in line with the policies and procedures set out within the environmental management system.</w:t>
            </w:r>
          </w:p>
          <w:p w:rsidR="00254A6F" w:rsidRDefault="00254A6F" w:rsidP="00254A6F">
            <w:pPr>
              <w:pStyle w:val="NoSpacing"/>
              <w:numPr>
                <w:ilvl w:val="0"/>
                <w:numId w:val="2"/>
              </w:numPr>
              <w:ind w:left="1440" w:hanging="1080"/>
              <w:jc w:val="both"/>
              <w:rPr>
                <w:rFonts w:ascii="Arial" w:hAnsi="Arial" w:cs="Arial"/>
                <w:sz w:val="24"/>
                <w:szCs w:val="24"/>
              </w:rPr>
            </w:pPr>
            <w:r>
              <w:rPr>
                <w:rFonts w:ascii="Arial" w:hAnsi="Arial" w:cs="Arial"/>
                <w:sz w:val="24"/>
                <w:szCs w:val="24"/>
                <w:u w:val="single"/>
              </w:rPr>
              <w:t>Emergency preparedness and response.</w:t>
            </w:r>
            <w:r>
              <w:rPr>
                <w:rFonts w:ascii="Arial" w:hAnsi="Arial" w:cs="Arial"/>
                <w:sz w:val="24"/>
                <w:szCs w:val="24"/>
              </w:rPr>
              <w:t xml:space="preserve"> Policies and procedures that are formulated to deal with emergencies and prevention of the same.</w:t>
            </w:r>
          </w:p>
          <w:p w:rsidR="00254A6F" w:rsidRDefault="00254A6F" w:rsidP="00254A6F">
            <w:pPr>
              <w:pStyle w:val="NoSpacing"/>
              <w:numPr>
                <w:ilvl w:val="0"/>
                <w:numId w:val="2"/>
              </w:numPr>
              <w:ind w:left="1440" w:hanging="1080"/>
              <w:jc w:val="both"/>
              <w:rPr>
                <w:rFonts w:ascii="Arial" w:hAnsi="Arial" w:cs="Arial"/>
                <w:sz w:val="24"/>
                <w:szCs w:val="24"/>
              </w:rPr>
            </w:pPr>
            <w:r>
              <w:rPr>
                <w:rFonts w:ascii="Arial" w:hAnsi="Arial" w:cs="Arial"/>
                <w:sz w:val="24"/>
                <w:szCs w:val="24"/>
                <w:u w:val="single"/>
              </w:rPr>
              <w:t>Monitoring &amp; measuring.</w:t>
            </w:r>
            <w:r>
              <w:t xml:space="preserve"> </w:t>
            </w:r>
            <w:r>
              <w:rPr>
                <w:rFonts w:ascii="Arial" w:hAnsi="Arial" w:cs="Arial"/>
                <w:sz w:val="24"/>
                <w:szCs w:val="24"/>
              </w:rPr>
              <w:t>Ensure key activities are tracked and monitored to ensure the activity is still aligned with plans and objectives. Periodically the monitoring should ensure that the organization is legally compliant.</w:t>
            </w:r>
          </w:p>
          <w:p w:rsidR="00254A6F" w:rsidRDefault="00254A6F" w:rsidP="00254A6F">
            <w:pPr>
              <w:pStyle w:val="NoSpacing"/>
              <w:numPr>
                <w:ilvl w:val="0"/>
                <w:numId w:val="2"/>
              </w:numPr>
              <w:ind w:left="1440" w:hanging="1080"/>
              <w:jc w:val="both"/>
              <w:rPr>
                <w:rFonts w:ascii="Arial" w:hAnsi="Arial" w:cs="Arial"/>
                <w:sz w:val="24"/>
                <w:szCs w:val="24"/>
              </w:rPr>
            </w:pPr>
            <w:r>
              <w:rPr>
                <w:rFonts w:ascii="Arial" w:hAnsi="Arial" w:cs="Arial"/>
                <w:sz w:val="24"/>
                <w:szCs w:val="24"/>
                <w:u w:val="single"/>
              </w:rPr>
              <w:t>Evaluation of compliance.</w:t>
            </w:r>
            <w:r>
              <w:rPr>
                <w:rFonts w:ascii="Arial" w:hAnsi="Arial" w:cs="Arial"/>
                <w:sz w:val="24"/>
                <w:szCs w:val="24"/>
              </w:rPr>
              <w:t xml:space="preserve"> Development of policies and procedures to evaluate (audit) compliance with legislation, law and other requirements.</w:t>
            </w:r>
          </w:p>
          <w:p w:rsidR="00254A6F" w:rsidRDefault="00254A6F" w:rsidP="00254A6F">
            <w:pPr>
              <w:pStyle w:val="Header"/>
              <w:jc w:val="right"/>
            </w:pPr>
            <w:r>
              <w:rPr>
                <w:rFonts w:ascii="Arial" w:hAnsi="Arial" w:cs="Arial"/>
                <w:sz w:val="24"/>
                <w:szCs w:val="24"/>
              </w:rPr>
              <w:t xml:space="preserve">William Pool, 21982, Assignment 1 </w:t>
            </w:r>
            <w:r>
              <w:t xml:space="preserve">Page </w:t>
            </w:r>
            <w:r>
              <w:rPr>
                <w:b/>
                <w:bCs/>
              </w:rPr>
              <w:t>2</w:t>
            </w:r>
          </w:p>
          <w:p w:rsidR="00254A6F" w:rsidRDefault="00254A6F" w:rsidP="00254A6F">
            <w:pPr>
              <w:pStyle w:val="NoSpacing"/>
              <w:jc w:val="both"/>
              <w:rPr>
                <w:rFonts w:ascii="Arial" w:hAnsi="Arial" w:cs="Arial"/>
                <w:sz w:val="24"/>
                <w:szCs w:val="24"/>
              </w:rPr>
            </w:pPr>
          </w:p>
          <w:p w:rsidR="00254A6F" w:rsidRDefault="00254A6F" w:rsidP="00254A6F">
            <w:pPr>
              <w:pStyle w:val="NoSpacing"/>
              <w:numPr>
                <w:ilvl w:val="0"/>
                <w:numId w:val="2"/>
              </w:numPr>
              <w:ind w:left="1440" w:hanging="1080"/>
              <w:jc w:val="both"/>
              <w:rPr>
                <w:rFonts w:ascii="Arial" w:hAnsi="Arial" w:cs="Arial"/>
                <w:sz w:val="24"/>
                <w:szCs w:val="24"/>
              </w:rPr>
            </w:pPr>
            <w:r>
              <w:rPr>
                <w:rFonts w:ascii="Arial" w:hAnsi="Arial" w:cs="Arial"/>
                <w:sz w:val="24"/>
                <w:szCs w:val="24"/>
                <w:u w:val="single"/>
              </w:rPr>
              <w:t>Non-conformance and corrective and preventive actions.</w:t>
            </w:r>
            <w:r>
              <w:rPr>
                <w:rFonts w:ascii="Arial" w:hAnsi="Arial" w:cs="Arial"/>
                <w:sz w:val="24"/>
                <w:szCs w:val="24"/>
              </w:rPr>
              <w:t xml:space="preserve"> Identify and correct issues and prevent recurrences of the same issues. Logs will be kept of all non-conformances, corrective actions as well as lessons learned. These are all normally discussed at scheduled meetings as well as at the Management Review.</w:t>
            </w:r>
          </w:p>
          <w:p w:rsidR="00254A6F" w:rsidRDefault="00254A6F" w:rsidP="00254A6F">
            <w:pPr>
              <w:pStyle w:val="NoSpacing"/>
              <w:numPr>
                <w:ilvl w:val="0"/>
                <w:numId w:val="2"/>
              </w:numPr>
              <w:ind w:left="1440" w:hanging="1080"/>
              <w:jc w:val="both"/>
              <w:rPr>
                <w:rFonts w:ascii="Arial" w:hAnsi="Arial" w:cs="Arial"/>
                <w:sz w:val="24"/>
                <w:szCs w:val="24"/>
              </w:rPr>
            </w:pPr>
            <w:r>
              <w:rPr>
                <w:rFonts w:ascii="Arial" w:hAnsi="Arial" w:cs="Arial"/>
                <w:sz w:val="24"/>
                <w:szCs w:val="24"/>
                <w:u w:val="single"/>
              </w:rPr>
              <w:t>Records.</w:t>
            </w:r>
            <w:r>
              <w:rPr>
                <w:rFonts w:ascii="Arial" w:hAnsi="Arial" w:cs="Arial"/>
                <w:sz w:val="24"/>
                <w:szCs w:val="24"/>
              </w:rPr>
              <w:t xml:space="preserve"> A comprehensive collection of records associated with the EMS that are pertinent and controlled as per the EMS requirements.</w:t>
            </w:r>
          </w:p>
          <w:p w:rsidR="00254A6F" w:rsidRDefault="00254A6F" w:rsidP="00254A6F">
            <w:pPr>
              <w:pStyle w:val="NoSpacing"/>
              <w:numPr>
                <w:ilvl w:val="0"/>
                <w:numId w:val="2"/>
              </w:numPr>
              <w:ind w:left="1440" w:hanging="1080"/>
              <w:jc w:val="both"/>
              <w:rPr>
                <w:rFonts w:ascii="Arial" w:hAnsi="Arial" w:cs="Arial"/>
                <w:sz w:val="24"/>
                <w:szCs w:val="24"/>
              </w:rPr>
            </w:pPr>
            <w:r>
              <w:rPr>
                <w:rFonts w:ascii="Arial" w:hAnsi="Arial" w:cs="Arial"/>
                <w:sz w:val="24"/>
                <w:szCs w:val="24"/>
                <w:u w:val="single"/>
              </w:rPr>
              <w:t>EMS Audit.</w:t>
            </w:r>
            <w:r>
              <w:rPr>
                <w:rFonts w:ascii="Arial" w:hAnsi="Arial" w:cs="Arial"/>
                <w:sz w:val="24"/>
                <w:szCs w:val="24"/>
              </w:rPr>
              <w:t xml:space="preserve"> The EMS will be audited internally by the organization to ensure it is still compliant. It is also audited externally for certification purposes (ISO standards etc). Other audits such as supplier audits may also be conducted.</w:t>
            </w:r>
          </w:p>
          <w:p w:rsidR="00254A6F" w:rsidRDefault="00254A6F" w:rsidP="00254A6F">
            <w:pPr>
              <w:pStyle w:val="NoSpacing"/>
              <w:numPr>
                <w:ilvl w:val="0"/>
                <w:numId w:val="2"/>
              </w:numPr>
              <w:ind w:left="1440" w:hanging="1080"/>
              <w:jc w:val="both"/>
              <w:rPr>
                <w:rFonts w:ascii="Arial" w:hAnsi="Arial" w:cs="Arial"/>
                <w:sz w:val="24"/>
                <w:szCs w:val="24"/>
              </w:rPr>
            </w:pPr>
            <w:r>
              <w:rPr>
                <w:rFonts w:ascii="Arial" w:hAnsi="Arial" w:cs="Arial"/>
                <w:sz w:val="24"/>
                <w:szCs w:val="24"/>
                <w:u w:val="single"/>
              </w:rPr>
              <w:t>Management Review.</w:t>
            </w:r>
            <w:r>
              <w:rPr>
                <w:rFonts w:ascii="Arial" w:hAnsi="Arial" w:cs="Arial"/>
                <w:sz w:val="24"/>
                <w:szCs w:val="24"/>
              </w:rPr>
              <w:t xml:space="preserve"> A review (Usually annually) of the EMS by senior management to ensure the EMS is still functional and goals and objectives are being met as well as reviewing all non-conformances and corrective actions.</w:t>
            </w:r>
          </w:p>
          <w:p w:rsidR="00254A6F" w:rsidRDefault="00254A6F" w:rsidP="00254A6F">
            <w:pPr>
              <w:pStyle w:val="NoSpacing"/>
              <w:jc w:val="both"/>
              <w:rPr>
                <w:rFonts w:ascii="Arial" w:hAnsi="Arial" w:cs="Arial"/>
                <w:sz w:val="24"/>
                <w:szCs w:val="24"/>
              </w:rPr>
            </w:pPr>
          </w:p>
          <w:p w:rsidR="00254A6F" w:rsidRDefault="00254A6F" w:rsidP="00254A6F">
            <w:pPr>
              <w:pStyle w:val="NoSpacing"/>
              <w:jc w:val="both"/>
              <w:rPr>
                <w:rFonts w:ascii="Arial" w:hAnsi="Arial" w:cs="Arial"/>
                <w:color w:val="4F81BD" w:themeColor="accent1"/>
                <w:sz w:val="24"/>
                <w:szCs w:val="24"/>
              </w:rPr>
            </w:pPr>
            <w:r>
              <w:rPr>
                <w:rFonts w:ascii="Arial" w:hAnsi="Arial" w:cs="Arial"/>
                <w:color w:val="4F81BD" w:themeColor="accent1"/>
                <w:sz w:val="24"/>
                <w:szCs w:val="24"/>
              </w:rPr>
              <w:t>2. Briefly explain the PDCA (PLAN-DO-CHECK-ACT) model.</w:t>
            </w:r>
          </w:p>
          <w:p w:rsidR="00254A6F" w:rsidRDefault="00254A6F" w:rsidP="00254A6F">
            <w:pPr>
              <w:pStyle w:val="NoSpacing"/>
              <w:jc w:val="both"/>
              <w:rPr>
                <w:rFonts w:ascii="Arial" w:hAnsi="Arial" w:cs="Arial"/>
                <w:color w:val="4F81BD" w:themeColor="accent1"/>
                <w:sz w:val="24"/>
                <w:szCs w:val="24"/>
              </w:rPr>
            </w:pPr>
          </w:p>
          <w:p w:rsidR="00254A6F" w:rsidRDefault="00254A6F" w:rsidP="00254A6F">
            <w:pPr>
              <w:pStyle w:val="NoSpacing"/>
              <w:jc w:val="both"/>
              <w:rPr>
                <w:rFonts w:ascii="Arial" w:hAnsi="Arial" w:cs="Arial"/>
                <w:sz w:val="24"/>
                <w:szCs w:val="24"/>
              </w:rPr>
            </w:pPr>
            <w:r>
              <w:rPr>
                <w:rFonts w:ascii="Arial" w:hAnsi="Arial" w:cs="Arial"/>
                <w:sz w:val="24"/>
                <w:szCs w:val="24"/>
              </w:rPr>
              <w:t>The Plan, Do Check Act model is outlined below in the diagram below:</w:t>
            </w:r>
          </w:p>
          <w:p w:rsidR="00254A6F" w:rsidRDefault="00254A6F" w:rsidP="00254A6F">
            <w:pPr>
              <w:pStyle w:val="NoSpacing"/>
              <w:jc w:val="both"/>
              <w:rPr>
                <w:rFonts w:ascii="Arial" w:hAnsi="Arial" w:cs="Arial"/>
                <w:sz w:val="24"/>
                <w:szCs w:val="24"/>
              </w:rPr>
            </w:pPr>
          </w:p>
          <w:p w:rsidR="00254A6F" w:rsidRDefault="00254A6F" w:rsidP="00254A6F">
            <w:pPr>
              <w:pStyle w:val="NoSpacing"/>
              <w:jc w:val="both"/>
              <w:rPr>
                <w:rFonts w:ascii="Arial" w:hAnsi="Arial" w:cs="Arial"/>
                <w:sz w:val="24"/>
                <w:szCs w:val="24"/>
              </w:rPr>
            </w:pPr>
          </w:p>
          <w:p w:rsidR="00254A6F" w:rsidRDefault="00254A6F" w:rsidP="00254A6F">
            <w:pPr>
              <w:pStyle w:val="NoSpacing"/>
              <w:ind w:left="720" w:firstLine="720"/>
              <w:jc w:val="both"/>
              <w:rPr>
                <w:rFonts w:ascii="Arial" w:hAnsi="Arial" w:cs="Arial"/>
                <w:sz w:val="24"/>
                <w:szCs w:val="24"/>
              </w:rPr>
            </w:pPr>
            <w:r>
              <w:rPr>
                <w:rFonts w:ascii="Arial" w:hAnsi="Arial" w:cs="Arial"/>
                <w:noProof/>
                <w:sz w:val="24"/>
                <w:szCs w:val="24"/>
              </w:rPr>
              <w:lastRenderedPageBreak/>
              <w:drawing>
                <wp:inline distT="0" distB="0" distL="0" distR="0">
                  <wp:extent cx="4597400" cy="2870200"/>
                  <wp:effectExtent l="0" t="0" r="0" b="6350"/>
                  <wp:docPr id="4" name="Diagram 4">
                    <a:extLst xmlns:a="http://schemas.openxmlformats.org/drawingml/2006/main">
                      <a:ext uri="{FF2B5EF4-FFF2-40B4-BE49-F238E27FC236}">
                        <a16:creationId xmlns:a16="http://schemas.microsoft.com/office/drawing/2014/main" id="{2734AC42-4B53-4A32-BBA6-BB92519C8139}"/>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254A6F" w:rsidRDefault="00254A6F" w:rsidP="00254A6F">
            <w:pPr>
              <w:pStyle w:val="NoSpacing"/>
              <w:jc w:val="both"/>
              <w:rPr>
                <w:rFonts w:ascii="Arial" w:hAnsi="Arial" w:cs="Arial"/>
                <w:sz w:val="24"/>
                <w:szCs w:val="24"/>
              </w:rPr>
            </w:pPr>
          </w:p>
          <w:p w:rsidR="00254A6F" w:rsidRDefault="00254A6F" w:rsidP="00254A6F">
            <w:pPr>
              <w:pStyle w:val="NoSpacing"/>
              <w:jc w:val="both"/>
              <w:rPr>
                <w:rFonts w:ascii="Arial" w:hAnsi="Arial" w:cs="Arial"/>
                <w:sz w:val="24"/>
                <w:szCs w:val="24"/>
              </w:rPr>
            </w:pPr>
            <w:r>
              <w:rPr>
                <w:rFonts w:ascii="Arial" w:hAnsi="Arial" w:cs="Arial"/>
                <w:sz w:val="24"/>
                <w:szCs w:val="24"/>
              </w:rPr>
              <w:t>The model along with the 17 requirements make the basis for a sound EMS.</w:t>
            </w:r>
          </w:p>
          <w:p w:rsidR="00254A6F" w:rsidRDefault="00254A6F" w:rsidP="00254A6F">
            <w:pPr>
              <w:pStyle w:val="NoSpacing"/>
              <w:jc w:val="both"/>
              <w:rPr>
                <w:rFonts w:ascii="Arial" w:hAnsi="Arial" w:cs="Arial"/>
                <w:sz w:val="24"/>
                <w:szCs w:val="24"/>
              </w:rPr>
            </w:pPr>
          </w:p>
          <w:p w:rsidR="00254A6F" w:rsidRDefault="00254A6F" w:rsidP="00254A6F">
            <w:pPr>
              <w:pStyle w:val="NoSpacing"/>
              <w:jc w:val="both"/>
              <w:rPr>
                <w:rFonts w:ascii="Arial" w:hAnsi="Arial" w:cs="Arial"/>
                <w:sz w:val="24"/>
                <w:szCs w:val="24"/>
              </w:rPr>
            </w:pPr>
            <w:r>
              <w:rPr>
                <w:rFonts w:ascii="Arial" w:hAnsi="Arial" w:cs="Arial"/>
                <w:sz w:val="24"/>
                <w:szCs w:val="24"/>
              </w:rPr>
              <w:t>A brief explanation of the 4 elements are found below:</w:t>
            </w:r>
          </w:p>
          <w:p w:rsidR="00254A6F" w:rsidRDefault="00254A6F" w:rsidP="00254A6F">
            <w:pPr>
              <w:pStyle w:val="NoSpacing"/>
              <w:jc w:val="both"/>
              <w:rPr>
                <w:rFonts w:ascii="Arial" w:hAnsi="Arial" w:cs="Arial"/>
                <w:sz w:val="24"/>
                <w:szCs w:val="24"/>
              </w:rPr>
            </w:pPr>
          </w:p>
          <w:p w:rsidR="00254A6F" w:rsidRDefault="00254A6F" w:rsidP="00254A6F">
            <w:pPr>
              <w:pStyle w:val="NoSpacing"/>
              <w:jc w:val="both"/>
              <w:rPr>
                <w:rFonts w:ascii="Arial" w:hAnsi="Arial" w:cs="Arial"/>
                <w:sz w:val="24"/>
                <w:szCs w:val="24"/>
              </w:rPr>
            </w:pPr>
            <w:r>
              <w:rPr>
                <w:rFonts w:ascii="Arial" w:hAnsi="Arial" w:cs="Arial"/>
                <w:sz w:val="24"/>
                <w:szCs w:val="24"/>
                <w:u w:val="single"/>
              </w:rPr>
              <w:t>Plan</w:t>
            </w:r>
            <w:r>
              <w:rPr>
                <w:rFonts w:ascii="Arial" w:hAnsi="Arial" w:cs="Arial"/>
                <w:sz w:val="24"/>
                <w:szCs w:val="24"/>
              </w:rPr>
              <w:t xml:space="preserve"> As the diagram above shows this is a period of planning where the organization gathers information about their activities, makes plans to setup the EMS as well as identifying goals and objectives as well as setting out a plan of appropriate action for </w:t>
            </w:r>
          </w:p>
          <w:p w:rsidR="00254A6F" w:rsidRDefault="00254A6F" w:rsidP="00254A6F">
            <w:pPr>
              <w:pStyle w:val="Header"/>
              <w:jc w:val="right"/>
            </w:pPr>
            <w:r>
              <w:rPr>
                <w:rFonts w:ascii="Arial" w:hAnsi="Arial" w:cs="Arial"/>
                <w:sz w:val="24"/>
                <w:szCs w:val="24"/>
              </w:rPr>
              <w:t xml:space="preserve">William Pool, 21982, Assignment 1 </w:t>
            </w:r>
            <w:r>
              <w:t xml:space="preserve">Page </w:t>
            </w:r>
            <w:r>
              <w:rPr>
                <w:b/>
                <w:bCs/>
              </w:rPr>
              <w:t>3</w:t>
            </w:r>
          </w:p>
          <w:p w:rsidR="00254A6F" w:rsidRDefault="00254A6F" w:rsidP="00254A6F">
            <w:pPr>
              <w:pStyle w:val="NoSpacing"/>
              <w:jc w:val="both"/>
              <w:rPr>
                <w:rFonts w:ascii="Arial" w:hAnsi="Arial" w:cs="Arial"/>
                <w:sz w:val="24"/>
                <w:szCs w:val="24"/>
              </w:rPr>
            </w:pPr>
          </w:p>
          <w:p w:rsidR="00254A6F" w:rsidRDefault="00254A6F" w:rsidP="00254A6F">
            <w:pPr>
              <w:pStyle w:val="NoSpacing"/>
              <w:jc w:val="both"/>
              <w:rPr>
                <w:rFonts w:ascii="Arial" w:hAnsi="Arial" w:cs="Arial"/>
                <w:sz w:val="24"/>
                <w:szCs w:val="24"/>
              </w:rPr>
            </w:pPr>
            <w:r>
              <w:rPr>
                <w:rFonts w:ascii="Arial" w:hAnsi="Arial" w:cs="Arial"/>
                <w:sz w:val="24"/>
                <w:szCs w:val="24"/>
              </w:rPr>
              <w:t xml:space="preserve">implementation of the same. Other activities during this stage will also to ensure the competency of organization members. </w:t>
            </w:r>
          </w:p>
          <w:p w:rsidR="00254A6F" w:rsidRDefault="00254A6F" w:rsidP="00254A6F">
            <w:pPr>
              <w:pStyle w:val="NoSpacing"/>
              <w:jc w:val="both"/>
              <w:rPr>
                <w:rFonts w:ascii="Arial" w:hAnsi="Arial" w:cs="Arial"/>
                <w:sz w:val="24"/>
                <w:szCs w:val="24"/>
              </w:rPr>
            </w:pPr>
          </w:p>
          <w:p w:rsidR="00254A6F" w:rsidRDefault="00254A6F" w:rsidP="00254A6F">
            <w:pPr>
              <w:pStyle w:val="NoSpacing"/>
              <w:jc w:val="both"/>
              <w:rPr>
                <w:rFonts w:ascii="Arial" w:hAnsi="Arial" w:cs="Arial"/>
                <w:sz w:val="24"/>
                <w:szCs w:val="24"/>
              </w:rPr>
            </w:pPr>
            <w:r>
              <w:rPr>
                <w:rFonts w:ascii="Arial" w:hAnsi="Arial" w:cs="Arial"/>
                <w:sz w:val="24"/>
                <w:szCs w:val="24"/>
                <w:u w:val="single"/>
              </w:rPr>
              <w:t>Do</w:t>
            </w:r>
            <w:r>
              <w:rPr>
                <w:rFonts w:ascii="Arial" w:hAnsi="Arial" w:cs="Arial"/>
                <w:sz w:val="24"/>
                <w:szCs w:val="24"/>
              </w:rPr>
              <w:t xml:space="preserve"> – This is the period where the organization implements the EMS, ensuring that policies, procedures etc are all in place, communicated to staff for the roll out of the EMS.</w:t>
            </w:r>
          </w:p>
          <w:p w:rsidR="00254A6F" w:rsidRDefault="00254A6F" w:rsidP="00254A6F">
            <w:pPr>
              <w:pStyle w:val="NoSpacing"/>
              <w:jc w:val="both"/>
              <w:rPr>
                <w:rFonts w:ascii="Arial" w:hAnsi="Arial" w:cs="Arial"/>
                <w:sz w:val="24"/>
                <w:szCs w:val="24"/>
              </w:rPr>
            </w:pPr>
          </w:p>
          <w:p w:rsidR="00254A6F" w:rsidRDefault="00254A6F" w:rsidP="00254A6F">
            <w:pPr>
              <w:pStyle w:val="NoSpacing"/>
              <w:jc w:val="both"/>
              <w:rPr>
                <w:rFonts w:ascii="Arial" w:hAnsi="Arial" w:cs="Arial"/>
                <w:sz w:val="24"/>
                <w:szCs w:val="24"/>
              </w:rPr>
            </w:pPr>
            <w:r>
              <w:rPr>
                <w:rFonts w:ascii="Arial" w:hAnsi="Arial" w:cs="Arial"/>
                <w:sz w:val="24"/>
                <w:szCs w:val="24"/>
                <w:u w:val="single"/>
              </w:rPr>
              <w:t>Check</w:t>
            </w:r>
            <w:r>
              <w:rPr>
                <w:rFonts w:ascii="Arial" w:hAnsi="Arial" w:cs="Arial"/>
                <w:sz w:val="24"/>
                <w:szCs w:val="24"/>
              </w:rPr>
              <w:t xml:space="preserve"> – The process of ensuring compliance usually with internal/external audits. This will ensure development and maturity of the EMS. At this stage non-conformances would be identified and corrected.</w:t>
            </w:r>
          </w:p>
          <w:p w:rsidR="00254A6F" w:rsidRDefault="00254A6F" w:rsidP="00254A6F">
            <w:pPr>
              <w:pStyle w:val="NoSpacing"/>
              <w:jc w:val="both"/>
              <w:rPr>
                <w:rFonts w:ascii="Arial" w:hAnsi="Arial" w:cs="Arial"/>
                <w:sz w:val="24"/>
                <w:szCs w:val="24"/>
              </w:rPr>
            </w:pPr>
          </w:p>
          <w:p w:rsidR="00254A6F" w:rsidRDefault="00254A6F" w:rsidP="00254A6F">
            <w:pPr>
              <w:pStyle w:val="NoSpacing"/>
              <w:jc w:val="both"/>
              <w:rPr>
                <w:rFonts w:ascii="Arial" w:hAnsi="Arial" w:cs="Arial"/>
                <w:sz w:val="24"/>
                <w:szCs w:val="24"/>
              </w:rPr>
            </w:pPr>
            <w:r>
              <w:rPr>
                <w:rFonts w:ascii="Arial" w:hAnsi="Arial" w:cs="Arial"/>
                <w:sz w:val="24"/>
                <w:szCs w:val="24"/>
                <w:u w:val="single"/>
              </w:rPr>
              <w:t>Act</w:t>
            </w:r>
            <w:r>
              <w:rPr>
                <w:rFonts w:ascii="Arial" w:hAnsi="Arial" w:cs="Arial"/>
                <w:sz w:val="24"/>
                <w:szCs w:val="24"/>
              </w:rPr>
              <w:t xml:space="preserve"> – The process of acting on the findings from the ‘check stage’. Ensuring the non-conformances and corrective actions are closed out, that lessons learned are communicated to employees. All of this would be discussed at management review with findings being recorded and communicated to staff.</w:t>
            </w:r>
          </w:p>
          <w:p w:rsidR="00254A6F" w:rsidRDefault="00254A6F" w:rsidP="00254A6F">
            <w:pPr>
              <w:pStyle w:val="NoSpacing"/>
              <w:jc w:val="both"/>
              <w:rPr>
                <w:rFonts w:ascii="Arial" w:hAnsi="Arial" w:cs="Arial"/>
                <w:color w:val="4F81BD" w:themeColor="accent1"/>
                <w:sz w:val="24"/>
                <w:szCs w:val="24"/>
              </w:rPr>
            </w:pPr>
          </w:p>
          <w:p w:rsidR="00254A6F" w:rsidRDefault="00254A6F" w:rsidP="00254A6F">
            <w:pPr>
              <w:pStyle w:val="NoSpacing"/>
              <w:jc w:val="both"/>
              <w:rPr>
                <w:rFonts w:ascii="Arial" w:hAnsi="Arial" w:cs="Arial"/>
                <w:color w:val="4F81BD" w:themeColor="accent1"/>
                <w:sz w:val="24"/>
                <w:szCs w:val="24"/>
              </w:rPr>
            </w:pPr>
            <w:r>
              <w:rPr>
                <w:rFonts w:ascii="Arial" w:hAnsi="Arial" w:cs="Arial"/>
                <w:color w:val="4F81BD" w:themeColor="accent1"/>
                <w:sz w:val="24"/>
                <w:szCs w:val="24"/>
              </w:rPr>
              <w:t>3. What are the various forms of environmental accounting?</w:t>
            </w:r>
          </w:p>
          <w:p w:rsidR="00254A6F" w:rsidRDefault="00254A6F" w:rsidP="00254A6F">
            <w:pPr>
              <w:pStyle w:val="NoSpacing"/>
              <w:jc w:val="both"/>
              <w:rPr>
                <w:rFonts w:ascii="Arial" w:hAnsi="Arial" w:cs="Arial"/>
                <w:sz w:val="24"/>
                <w:szCs w:val="24"/>
              </w:rPr>
            </w:pPr>
          </w:p>
          <w:p w:rsidR="00254A6F" w:rsidRDefault="00254A6F" w:rsidP="00254A6F">
            <w:pPr>
              <w:pStyle w:val="NoSpacing"/>
              <w:jc w:val="both"/>
              <w:rPr>
                <w:rFonts w:ascii="Arial" w:hAnsi="Arial" w:cs="Arial"/>
                <w:sz w:val="24"/>
                <w:szCs w:val="24"/>
              </w:rPr>
            </w:pPr>
            <w:r>
              <w:rPr>
                <w:rFonts w:ascii="Arial" w:hAnsi="Arial" w:cs="Arial"/>
                <w:sz w:val="24"/>
                <w:szCs w:val="24"/>
              </w:rPr>
              <w:t>There are three main forms of environmental accounting, these are shown in the diagram below:</w:t>
            </w:r>
          </w:p>
          <w:p w:rsidR="00254A6F" w:rsidRDefault="00254A6F" w:rsidP="00254A6F">
            <w:pPr>
              <w:pStyle w:val="NoSpacing"/>
              <w:jc w:val="both"/>
              <w:rPr>
                <w:rFonts w:ascii="Arial" w:hAnsi="Arial" w:cs="Arial"/>
                <w:sz w:val="24"/>
                <w:szCs w:val="24"/>
              </w:rPr>
            </w:pPr>
          </w:p>
          <w:p w:rsidR="00254A6F" w:rsidRDefault="00254A6F" w:rsidP="00254A6F">
            <w:pPr>
              <w:pStyle w:val="NoSpacing"/>
              <w:jc w:val="both"/>
              <w:rPr>
                <w:rFonts w:ascii="Arial" w:hAnsi="Arial" w:cs="Arial"/>
                <w:sz w:val="24"/>
                <w:szCs w:val="24"/>
              </w:rPr>
            </w:pPr>
            <w:r>
              <w:rPr>
                <w:rFonts w:ascii="Arial" w:hAnsi="Arial" w:cs="Arial"/>
                <w:noProof/>
                <w:sz w:val="24"/>
                <w:szCs w:val="24"/>
              </w:rPr>
              <w:lastRenderedPageBreak/>
              <w:drawing>
                <wp:inline distT="0" distB="0" distL="0" distR="0">
                  <wp:extent cx="5118100" cy="3289300"/>
                  <wp:effectExtent l="0" t="0" r="0" b="6350"/>
                  <wp:docPr id="2" name="Diagram 2">
                    <a:extLst xmlns:a="http://schemas.openxmlformats.org/drawingml/2006/main">
                      <a:ext uri="{FF2B5EF4-FFF2-40B4-BE49-F238E27FC236}">
                        <a16:creationId xmlns:a16="http://schemas.microsoft.com/office/drawing/2014/main" id="{DB259956-E3AA-4764-A83C-C87E5B9CCE12}"/>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254A6F" w:rsidRDefault="00254A6F" w:rsidP="00254A6F">
            <w:pPr>
              <w:pStyle w:val="NoSpacing"/>
              <w:jc w:val="both"/>
              <w:rPr>
                <w:rFonts w:ascii="Arial" w:hAnsi="Arial" w:cs="Arial"/>
                <w:sz w:val="24"/>
                <w:szCs w:val="24"/>
              </w:rPr>
            </w:pPr>
          </w:p>
          <w:p w:rsidR="00254A6F" w:rsidRDefault="00254A6F" w:rsidP="00254A6F">
            <w:pPr>
              <w:pStyle w:val="NoSpacing"/>
              <w:jc w:val="both"/>
              <w:rPr>
                <w:rFonts w:ascii="Arial" w:hAnsi="Arial" w:cs="Arial"/>
                <w:sz w:val="24"/>
                <w:szCs w:val="24"/>
              </w:rPr>
            </w:pPr>
          </w:p>
          <w:p w:rsidR="00254A6F" w:rsidRDefault="00254A6F" w:rsidP="00254A6F">
            <w:pPr>
              <w:pStyle w:val="NoSpacing"/>
              <w:jc w:val="both"/>
              <w:rPr>
                <w:rFonts w:ascii="Arial" w:hAnsi="Arial" w:cs="Arial"/>
                <w:sz w:val="24"/>
                <w:szCs w:val="24"/>
              </w:rPr>
            </w:pPr>
          </w:p>
          <w:p w:rsidR="00254A6F" w:rsidRDefault="00254A6F" w:rsidP="00254A6F">
            <w:pPr>
              <w:pStyle w:val="NoSpacing"/>
              <w:jc w:val="both"/>
              <w:rPr>
                <w:rFonts w:ascii="Arial" w:hAnsi="Arial" w:cs="Arial"/>
                <w:sz w:val="24"/>
                <w:szCs w:val="24"/>
              </w:rPr>
            </w:pPr>
          </w:p>
          <w:p w:rsidR="00254A6F" w:rsidRDefault="00254A6F" w:rsidP="00254A6F">
            <w:pPr>
              <w:pStyle w:val="NoSpacing"/>
              <w:jc w:val="both"/>
              <w:rPr>
                <w:rFonts w:ascii="Arial" w:hAnsi="Arial" w:cs="Arial"/>
                <w:sz w:val="24"/>
                <w:szCs w:val="24"/>
              </w:rPr>
            </w:pPr>
          </w:p>
          <w:p w:rsidR="00254A6F" w:rsidRDefault="00254A6F" w:rsidP="00254A6F">
            <w:pPr>
              <w:pStyle w:val="NoSpacing"/>
              <w:jc w:val="both"/>
              <w:rPr>
                <w:rFonts w:ascii="Arial" w:hAnsi="Arial" w:cs="Arial"/>
                <w:sz w:val="24"/>
                <w:szCs w:val="24"/>
              </w:rPr>
            </w:pPr>
          </w:p>
          <w:p w:rsidR="00254A6F" w:rsidRDefault="00254A6F" w:rsidP="00254A6F">
            <w:pPr>
              <w:pStyle w:val="Header"/>
              <w:jc w:val="right"/>
            </w:pPr>
            <w:r>
              <w:rPr>
                <w:rFonts w:ascii="Arial" w:hAnsi="Arial" w:cs="Arial"/>
                <w:sz w:val="24"/>
                <w:szCs w:val="24"/>
              </w:rPr>
              <w:t xml:space="preserve">William Pool, 21982, Assignment 1 </w:t>
            </w:r>
            <w:r>
              <w:t xml:space="preserve">Page </w:t>
            </w:r>
            <w:r>
              <w:rPr>
                <w:b/>
                <w:bCs/>
              </w:rPr>
              <w:t>4</w:t>
            </w:r>
          </w:p>
          <w:p w:rsidR="00254A6F" w:rsidRDefault="00254A6F" w:rsidP="00254A6F">
            <w:pPr>
              <w:pStyle w:val="NoSpacing"/>
              <w:jc w:val="both"/>
              <w:rPr>
                <w:rFonts w:ascii="Arial" w:hAnsi="Arial" w:cs="Arial"/>
                <w:sz w:val="24"/>
                <w:szCs w:val="24"/>
              </w:rPr>
            </w:pPr>
          </w:p>
          <w:p w:rsidR="00254A6F" w:rsidRDefault="00254A6F" w:rsidP="00254A6F">
            <w:pPr>
              <w:pStyle w:val="NoSpacing"/>
              <w:jc w:val="both"/>
              <w:rPr>
                <w:rFonts w:ascii="Arial" w:hAnsi="Arial" w:cs="Arial"/>
                <w:sz w:val="24"/>
                <w:szCs w:val="24"/>
              </w:rPr>
            </w:pPr>
            <w:r>
              <w:rPr>
                <w:rFonts w:ascii="Arial" w:hAnsi="Arial" w:cs="Arial"/>
                <w:sz w:val="24"/>
                <w:szCs w:val="24"/>
              </w:rPr>
              <w:t>A brief review of each of the types of accounting is given below:</w:t>
            </w:r>
          </w:p>
          <w:p w:rsidR="00254A6F" w:rsidRDefault="00254A6F" w:rsidP="00254A6F">
            <w:pPr>
              <w:pStyle w:val="NoSpacing"/>
              <w:jc w:val="both"/>
              <w:rPr>
                <w:rFonts w:ascii="Arial" w:hAnsi="Arial" w:cs="Arial"/>
                <w:sz w:val="24"/>
                <w:szCs w:val="24"/>
              </w:rPr>
            </w:pPr>
          </w:p>
          <w:p w:rsidR="00254A6F" w:rsidRDefault="00254A6F" w:rsidP="00254A6F">
            <w:pPr>
              <w:pStyle w:val="NoSpacing"/>
              <w:jc w:val="both"/>
              <w:rPr>
                <w:rFonts w:ascii="Arial" w:hAnsi="Arial" w:cs="Arial"/>
                <w:sz w:val="24"/>
                <w:szCs w:val="24"/>
              </w:rPr>
            </w:pPr>
            <w:r>
              <w:rPr>
                <w:rFonts w:ascii="Arial" w:hAnsi="Arial" w:cs="Arial"/>
                <w:sz w:val="24"/>
                <w:szCs w:val="24"/>
                <w:u w:val="single"/>
              </w:rPr>
              <w:t>Environmental Management Accounting (EMA)</w:t>
            </w:r>
            <w:r>
              <w:rPr>
                <w:rFonts w:ascii="Arial" w:hAnsi="Arial" w:cs="Arial"/>
                <w:sz w:val="24"/>
                <w:szCs w:val="24"/>
              </w:rPr>
              <w:t>. This refers to an accounting process which has a focus on material and energy flow as well as the environmental cost to an organization. This can further be broken down into the following subsystems:</w:t>
            </w:r>
          </w:p>
          <w:p w:rsidR="00254A6F" w:rsidRDefault="00254A6F" w:rsidP="00254A6F">
            <w:pPr>
              <w:pStyle w:val="NoSpacing"/>
              <w:jc w:val="both"/>
              <w:rPr>
                <w:rFonts w:ascii="Arial" w:hAnsi="Arial" w:cs="Arial"/>
                <w:sz w:val="24"/>
                <w:szCs w:val="24"/>
              </w:rPr>
            </w:pPr>
          </w:p>
          <w:p w:rsidR="00254A6F" w:rsidRDefault="00254A6F" w:rsidP="00254A6F">
            <w:pPr>
              <w:pStyle w:val="NoSpacing"/>
              <w:numPr>
                <w:ilvl w:val="0"/>
                <w:numId w:val="3"/>
              </w:numPr>
              <w:jc w:val="both"/>
              <w:rPr>
                <w:rFonts w:ascii="Arial" w:hAnsi="Arial" w:cs="Arial"/>
                <w:sz w:val="24"/>
                <w:szCs w:val="24"/>
              </w:rPr>
            </w:pPr>
            <w:r>
              <w:rPr>
                <w:rFonts w:ascii="Arial" w:hAnsi="Arial" w:cs="Arial"/>
                <w:sz w:val="24"/>
                <w:szCs w:val="24"/>
              </w:rPr>
              <w:t>Segment environmental accounting – an internal accounting tool to look at a project (or similar) to show the environmental conservation separately from the main organizations activities. This can also look at certain periods as opposed to just a project.</w:t>
            </w:r>
          </w:p>
          <w:p w:rsidR="00254A6F" w:rsidRDefault="00254A6F" w:rsidP="00254A6F">
            <w:pPr>
              <w:pStyle w:val="NoSpacing"/>
              <w:numPr>
                <w:ilvl w:val="0"/>
                <w:numId w:val="3"/>
              </w:numPr>
              <w:jc w:val="both"/>
              <w:rPr>
                <w:rFonts w:ascii="Arial" w:hAnsi="Arial" w:cs="Arial"/>
                <w:sz w:val="24"/>
                <w:szCs w:val="24"/>
              </w:rPr>
            </w:pPr>
            <w:r>
              <w:rPr>
                <w:rFonts w:ascii="Arial" w:hAnsi="Arial" w:cs="Arial"/>
                <w:sz w:val="24"/>
                <w:szCs w:val="24"/>
              </w:rPr>
              <w:t>Eco balance accounting – another internal accounting tool to support the plan, do, check, act period to ensure sustainable environmental management activities.</w:t>
            </w:r>
          </w:p>
          <w:p w:rsidR="00254A6F" w:rsidRDefault="00254A6F" w:rsidP="00254A6F">
            <w:pPr>
              <w:pStyle w:val="NoSpacing"/>
              <w:numPr>
                <w:ilvl w:val="0"/>
                <w:numId w:val="3"/>
              </w:numPr>
              <w:jc w:val="both"/>
              <w:rPr>
                <w:rFonts w:ascii="Arial" w:hAnsi="Arial" w:cs="Arial"/>
                <w:sz w:val="24"/>
                <w:szCs w:val="24"/>
              </w:rPr>
            </w:pPr>
            <w:r>
              <w:rPr>
                <w:rFonts w:ascii="Arial" w:hAnsi="Arial" w:cs="Arial"/>
                <w:sz w:val="24"/>
                <w:szCs w:val="24"/>
              </w:rPr>
              <w:t>Corporate environmental accounting – a tool to inform the public about specific information about the organization compiled from the environmental accounting. Usually called Corporate Environmental Reporting it focusses more on the quantity and monetary value of resources and the environmental conservation activities conducted by the organization.</w:t>
            </w:r>
          </w:p>
          <w:p w:rsidR="00254A6F" w:rsidRDefault="00254A6F" w:rsidP="00254A6F">
            <w:pPr>
              <w:pStyle w:val="NoSpacing"/>
              <w:jc w:val="both"/>
              <w:rPr>
                <w:rFonts w:ascii="Arial" w:hAnsi="Arial" w:cs="Arial"/>
                <w:sz w:val="24"/>
                <w:szCs w:val="24"/>
              </w:rPr>
            </w:pPr>
          </w:p>
          <w:p w:rsidR="00254A6F" w:rsidRDefault="00254A6F" w:rsidP="00254A6F">
            <w:pPr>
              <w:pStyle w:val="NoSpacing"/>
              <w:jc w:val="both"/>
              <w:rPr>
                <w:rFonts w:ascii="Arial" w:hAnsi="Arial" w:cs="Arial"/>
                <w:sz w:val="24"/>
                <w:szCs w:val="24"/>
              </w:rPr>
            </w:pPr>
            <w:r>
              <w:rPr>
                <w:rFonts w:ascii="Arial" w:hAnsi="Arial" w:cs="Arial"/>
                <w:sz w:val="24"/>
                <w:szCs w:val="24"/>
                <w:u w:val="single"/>
              </w:rPr>
              <w:t>Environmental Financial Accounting (EFA)</w:t>
            </w:r>
            <w:r>
              <w:rPr>
                <w:rFonts w:ascii="Arial" w:hAnsi="Arial" w:cs="Arial"/>
                <w:sz w:val="24"/>
                <w:szCs w:val="24"/>
              </w:rPr>
              <w:t xml:space="preserve">. This type of accounting focusses on specific reporting on environmental liability costs as well as other significant environmental costs. </w:t>
            </w:r>
          </w:p>
          <w:p w:rsidR="00254A6F" w:rsidRDefault="00254A6F" w:rsidP="00254A6F">
            <w:pPr>
              <w:pStyle w:val="NoSpacing"/>
              <w:jc w:val="both"/>
              <w:rPr>
                <w:rFonts w:ascii="Arial" w:hAnsi="Arial" w:cs="Arial"/>
                <w:sz w:val="24"/>
                <w:szCs w:val="24"/>
              </w:rPr>
            </w:pPr>
          </w:p>
          <w:p w:rsidR="00254A6F" w:rsidRDefault="00254A6F" w:rsidP="00254A6F">
            <w:pPr>
              <w:pStyle w:val="NoSpacing"/>
              <w:jc w:val="both"/>
              <w:rPr>
                <w:rFonts w:ascii="Arial" w:hAnsi="Arial" w:cs="Arial"/>
                <w:sz w:val="24"/>
                <w:szCs w:val="24"/>
              </w:rPr>
            </w:pPr>
            <w:r>
              <w:rPr>
                <w:rFonts w:ascii="Arial" w:hAnsi="Arial" w:cs="Arial"/>
                <w:sz w:val="24"/>
                <w:szCs w:val="24"/>
                <w:u w:val="single"/>
              </w:rPr>
              <w:t>Environmental National Accounting (ENA)</w:t>
            </w:r>
            <w:r>
              <w:rPr>
                <w:rFonts w:ascii="Arial" w:hAnsi="Arial" w:cs="Arial"/>
                <w:sz w:val="24"/>
                <w:szCs w:val="24"/>
              </w:rPr>
              <w:t>. This refers to a national level focus on accounting looking particularly at natural resources, stock, environmental costs. By accounting in this manner it shows whether an organization has discharged its responsibilities towards the environment successfully. Where this has been achieved the organization would expect to fulfill the following:</w:t>
            </w:r>
          </w:p>
          <w:p w:rsidR="00254A6F" w:rsidRDefault="00254A6F" w:rsidP="00254A6F">
            <w:pPr>
              <w:pStyle w:val="NoSpacing"/>
              <w:jc w:val="both"/>
              <w:rPr>
                <w:rFonts w:ascii="Arial" w:hAnsi="Arial" w:cs="Arial"/>
                <w:sz w:val="24"/>
                <w:szCs w:val="24"/>
              </w:rPr>
            </w:pPr>
          </w:p>
          <w:p w:rsidR="00254A6F" w:rsidRDefault="00254A6F" w:rsidP="00254A6F">
            <w:pPr>
              <w:pStyle w:val="NoSpacing"/>
              <w:numPr>
                <w:ilvl w:val="0"/>
                <w:numId w:val="4"/>
              </w:numPr>
              <w:jc w:val="both"/>
              <w:rPr>
                <w:rFonts w:ascii="Arial" w:hAnsi="Arial" w:cs="Arial"/>
                <w:sz w:val="24"/>
                <w:szCs w:val="24"/>
              </w:rPr>
            </w:pPr>
            <w:r>
              <w:rPr>
                <w:rFonts w:ascii="Arial" w:hAnsi="Arial" w:cs="Arial"/>
                <w:sz w:val="24"/>
                <w:szCs w:val="24"/>
              </w:rPr>
              <w:t>Meeting regulatory requirements as a minimum standard or going further than the minimum standards (industry best practice).</w:t>
            </w:r>
          </w:p>
          <w:p w:rsidR="00254A6F" w:rsidRDefault="00254A6F" w:rsidP="00254A6F">
            <w:pPr>
              <w:pStyle w:val="NoSpacing"/>
              <w:numPr>
                <w:ilvl w:val="0"/>
                <w:numId w:val="4"/>
              </w:numPr>
              <w:jc w:val="both"/>
              <w:rPr>
                <w:rFonts w:ascii="Arial" w:hAnsi="Arial" w:cs="Arial"/>
                <w:sz w:val="24"/>
                <w:szCs w:val="24"/>
              </w:rPr>
            </w:pPr>
            <w:r>
              <w:rPr>
                <w:rFonts w:ascii="Arial" w:hAnsi="Arial" w:cs="Arial"/>
                <w:sz w:val="24"/>
                <w:szCs w:val="24"/>
              </w:rPr>
              <w:t>Cleaning existing pollution and properly disposing of the materials, disclosing the amount and nature of the measures taken by the organization.</w:t>
            </w:r>
          </w:p>
          <w:p w:rsidR="00254A6F" w:rsidRDefault="00254A6F" w:rsidP="00254A6F">
            <w:pPr>
              <w:pStyle w:val="NoSpacing"/>
              <w:numPr>
                <w:ilvl w:val="0"/>
                <w:numId w:val="4"/>
              </w:numPr>
              <w:jc w:val="both"/>
              <w:rPr>
                <w:rFonts w:ascii="Arial" w:hAnsi="Arial" w:cs="Arial"/>
                <w:sz w:val="24"/>
                <w:szCs w:val="24"/>
              </w:rPr>
            </w:pPr>
            <w:r>
              <w:rPr>
                <w:rFonts w:ascii="Arial" w:hAnsi="Arial" w:cs="Arial"/>
                <w:sz w:val="24"/>
                <w:szCs w:val="24"/>
              </w:rPr>
              <w:t>Operating and functioning in a manner that ensures environmental damage does not happen.</w:t>
            </w:r>
          </w:p>
          <w:p w:rsidR="00254A6F" w:rsidRDefault="00254A6F" w:rsidP="00254A6F">
            <w:pPr>
              <w:pStyle w:val="NoSpacing"/>
              <w:numPr>
                <w:ilvl w:val="0"/>
                <w:numId w:val="4"/>
              </w:numPr>
              <w:jc w:val="both"/>
              <w:rPr>
                <w:rFonts w:ascii="Arial" w:hAnsi="Arial" w:cs="Arial"/>
                <w:sz w:val="24"/>
                <w:szCs w:val="24"/>
              </w:rPr>
            </w:pPr>
            <w:r>
              <w:rPr>
                <w:rFonts w:ascii="Arial" w:hAnsi="Arial" w:cs="Arial"/>
                <w:sz w:val="24"/>
                <w:szCs w:val="24"/>
              </w:rPr>
              <w:t>Promoting the organization in a positive manner with regard to its environmental responsibilities.</w:t>
            </w:r>
          </w:p>
          <w:p w:rsidR="00254A6F" w:rsidRDefault="00254A6F" w:rsidP="00254A6F">
            <w:pPr>
              <w:pStyle w:val="NoSpacing"/>
              <w:numPr>
                <w:ilvl w:val="0"/>
                <w:numId w:val="4"/>
              </w:numPr>
              <w:jc w:val="both"/>
              <w:rPr>
                <w:rFonts w:ascii="Arial" w:hAnsi="Arial" w:cs="Arial"/>
                <w:sz w:val="24"/>
                <w:szCs w:val="24"/>
              </w:rPr>
            </w:pPr>
            <w:r>
              <w:rPr>
                <w:rFonts w:ascii="Arial" w:hAnsi="Arial" w:cs="Arial"/>
                <w:sz w:val="24"/>
                <w:szCs w:val="24"/>
              </w:rPr>
              <w:t>Manages its aspects and impacts by ensuring efficiency.</w:t>
            </w:r>
          </w:p>
          <w:p w:rsidR="00254A6F" w:rsidRDefault="00254A6F" w:rsidP="00254A6F">
            <w:pPr>
              <w:pStyle w:val="NoSpacing"/>
              <w:numPr>
                <w:ilvl w:val="0"/>
                <w:numId w:val="4"/>
              </w:numPr>
              <w:jc w:val="both"/>
              <w:rPr>
                <w:rFonts w:ascii="Arial" w:hAnsi="Arial" w:cs="Arial"/>
                <w:sz w:val="24"/>
                <w:szCs w:val="24"/>
              </w:rPr>
            </w:pPr>
            <w:r>
              <w:rPr>
                <w:rFonts w:ascii="Arial" w:hAnsi="Arial" w:cs="Arial"/>
                <w:sz w:val="24"/>
                <w:szCs w:val="24"/>
              </w:rPr>
              <w:t>Controlling their increases in costs for materials, waste management and any potential liability of political environment.</w:t>
            </w:r>
          </w:p>
          <w:p w:rsidR="008A783A" w:rsidRPr="00381561" w:rsidRDefault="008A783A" w:rsidP="008A783A">
            <w:pPr>
              <w:pStyle w:val="NoSpacing"/>
              <w:jc w:val="right"/>
              <w:rPr>
                <w:rFonts w:ascii="Arial" w:hAnsi="Arial" w:cs="Arial"/>
                <w:sz w:val="24"/>
                <w:szCs w:val="24"/>
              </w:rPr>
            </w:pPr>
          </w:p>
          <w:p w:rsidR="008A783A" w:rsidRDefault="008A783A" w:rsidP="008A783A">
            <w:pPr>
              <w:pStyle w:val="NoSpacing"/>
              <w:rPr>
                <w:rFonts w:ascii="Arial" w:hAnsi="Arial" w:cs="Arial"/>
                <w:color w:val="4F81BD" w:themeColor="accent1"/>
                <w:sz w:val="24"/>
                <w:szCs w:val="24"/>
              </w:rPr>
            </w:pPr>
          </w:p>
          <w:p w:rsidR="00CC2FB3" w:rsidRPr="008A783A" w:rsidRDefault="00CC2FB3" w:rsidP="004E23D3">
            <w:pPr>
              <w:pStyle w:val="NoSpacing"/>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6"/>
        <w:gridCol w:w="3916"/>
        <w:gridCol w:w="1253"/>
        <w:gridCol w:w="1581"/>
      </w:tblGrid>
      <w:tr w:rsidR="00405895" w:rsidRPr="00B0415E" w:rsidTr="008A783A">
        <w:tc>
          <w:tcPr>
            <w:tcW w:w="226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916" w:type="dxa"/>
          </w:tcPr>
          <w:p w:rsidR="00405895" w:rsidRPr="00B0415E" w:rsidRDefault="008A783A" w:rsidP="00A851DA">
            <w:pPr>
              <w:rPr>
                <w:rFonts w:cs="Bliss-Regular"/>
                <w:color w:val="000000"/>
              </w:rPr>
            </w:pPr>
            <w:r>
              <w:rPr>
                <w:rFonts w:cs="Bliss-Regular"/>
                <w:color w:val="000000"/>
              </w:rPr>
              <w:t>W POOL</w:t>
            </w:r>
          </w:p>
        </w:tc>
        <w:tc>
          <w:tcPr>
            <w:tcW w:w="1253"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581" w:type="dxa"/>
          </w:tcPr>
          <w:p w:rsidR="00405895" w:rsidRPr="00B0415E" w:rsidRDefault="00254A6F" w:rsidP="00A851DA">
            <w:pPr>
              <w:rPr>
                <w:rFonts w:cs="Bliss-Regular"/>
                <w:color w:val="000000"/>
              </w:rPr>
            </w:pPr>
            <w:r>
              <w:rPr>
                <w:rFonts w:cs="Bliss-Regular"/>
                <w:color w:val="000000"/>
              </w:rPr>
              <w:t>27 Jan 2019</w:t>
            </w:r>
            <w:bookmarkStart w:id="1" w:name="_GoBack"/>
            <w:bookmarkEnd w:id="1"/>
          </w:p>
        </w:tc>
      </w:tr>
    </w:tbl>
    <w:p w:rsidR="00A851DA" w:rsidRPr="00B0415E" w:rsidRDefault="008A783A" w:rsidP="008A783A">
      <w:pPr>
        <w:rPr>
          <w:b/>
          <w:sz w:val="32"/>
          <w:lang w:val="en-US"/>
        </w:rPr>
      </w:pPr>
      <w:r>
        <w:rPr>
          <w:rFonts w:cs="Bliss-Regular"/>
          <w:color w:val="000000"/>
          <w:lang w:val="en-US"/>
        </w:rPr>
        <w:t xml:space="preserve"> </w:t>
      </w:r>
      <w:r w:rsidR="00503D7E"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14AC" w:rsidRDefault="00E514AC" w:rsidP="00CB4D0A">
      <w:pPr>
        <w:spacing w:after="0" w:line="240" w:lineRule="auto"/>
      </w:pPr>
      <w:r>
        <w:separator/>
      </w:r>
    </w:p>
  </w:endnote>
  <w:endnote w:type="continuationSeparator" w:id="0">
    <w:p w:rsidR="00E514AC" w:rsidRDefault="00E514A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14AC" w:rsidRDefault="00E514AC" w:rsidP="00CB4D0A">
      <w:pPr>
        <w:spacing w:after="0" w:line="240" w:lineRule="auto"/>
      </w:pPr>
      <w:r>
        <w:separator/>
      </w:r>
    </w:p>
  </w:footnote>
  <w:footnote w:type="continuationSeparator" w:id="0">
    <w:p w:rsidR="00E514AC" w:rsidRDefault="00E514AC"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783A" w:rsidRDefault="008A78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F6DBC"/>
    <w:multiLevelType w:val="hybridMultilevel"/>
    <w:tmpl w:val="4E6AA8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F7C3948"/>
    <w:multiLevelType w:val="hybridMultilevel"/>
    <w:tmpl w:val="93DAB0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306772"/>
    <w:multiLevelType w:val="hybridMultilevel"/>
    <w:tmpl w:val="890AE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1"/>
    <w:lvlOverride w:ilvl="0"/>
    <w:lvlOverride w:ilvl="1"/>
    <w:lvlOverride w:ilvl="2"/>
    <w:lvlOverride w:ilvl="3"/>
    <w:lvlOverride w:ilvl="4"/>
    <w:lvlOverride w:ilvl="5"/>
    <w:lvlOverride w:ilvl="6"/>
    <w:lvlOverride w:ilvl="7"/>
    <w:lvlOverride w:ilvl="8"/>
  </w:num>
  <w:num w:numId="3">
    <w:abstractNumId w:val="3"/>
    <w:lvlOverride w:ilvl="0"/>
    <w:lvlOverride w:ilvl="1"/>
    <w:lvlOverride w:ilvl="2"/>
    <w:lvlOverride w:ilvl="3"/>
    <w:lvlOverride w:ilvl="4"/>
    <w:lvlOverride w:ilvl="5"/>
    <w:lvlOverride w:ilvl="6"/>
    <w:lvlOverride w:ilvl="7"/>
    <w:lvlOverride w:ilvl="8"/>
  </w:num>
  <w:num w:numId="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0236"/>
    <w:rsid w:val="0023259C"/>
    <w:rsid w:val="00254A6F"/>
    <w:rsid w:val="002B0BD7"/>
    <w:rsid w:val="002B573D"/>
    <w:rsid w:val="002C5CB2"/>
    <w:rsid w:val="002F779F"/>
    <w:rsid w:val="00371885"/>
    <w:rsid w:val="003E2B87"/>
    <w:rsid w:val="003F5D55"/>
    <w:rsid w:val="00402786"/>
    <w:rsid w:val="00405895"/>
    <w:rsid w:val="004058DF"/>
    <w:rsid w:val="00443E6F"/>
    <w:rsid w:val="00486F1A"/>
    <w:rsid w:val="00490CB9"/>
    <w:rsid w:val="004A2CE2"/>
    <w:rsid w:val="004E23D3"/>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65ED"/>
    <w:rsid w:val="007F3BD0"/>
    <w:rsid w:val="00831C11"/>
    <w:rsid w:val="008A60B4"/>
    <w:rsid w:val="008A783A"/>
    <w:rsid w:val="008B3C31"/>
    <w:rsid w:val="008B64FE"/>
    <w:rsid w:val="00935BF7"/>
    <w:rsid w:val="0095442C"/>
    <w:rsid w:val="009747DD"/>
    <w:rsid w:val="00983942"/>
    <w:rsid w:val="009C37E0"/>
    <w:rsid w:val="009E41F4"/>
    <w:rsid w:val="00A01744"/>
    <w:rsid w:val="00A14B66"/>
    <w:rsid w:val="00A65CF7"/>
    <w:rsid w:val="00A81AB4"/>
    <w:rsid w:val="00A851DA"/>
    <w:rsid w:val="00AC7D5B"/>
    <w:rsid w:val="00AE1481"/>
    <w:rsid w:val="00B0415E"/>
    <w:rsid w:val="00B04678"/>
    <w:rsid w:val="00B04AC8"/>
    <w:rsid w:val="00BC46DF"/>
    <w:rsid w:val="00C03577"/>
    <w:rsid w:val="00C42B9D"/>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14AC"/>
    <w:rsid w:val="00E54832"/>
    <w:rsid w:val="00E56A90"/>
    <w:rsid w:val="00E641CC"/>
    <w:rsid w:val="00EA30AB"/>
    <w:rsid w:val="00EB3925"/>
    <w:rsid w:val="00F96EB3"/>
    <w:rsid w:val="00FE210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B58CC6"/>
  <w15:docId w15:val="{3A9DBD0D-7903-4C31-8EFA-99F7F25C2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3023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544734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microsoft.com/office/2007/relationships/diagramDrawing" Target="diagrams/drawing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diagramLayout" Target="diagrams/layout2.xml"/><Relationship Id="rId10" Type="http://schemas.openxmlformats.org/officeDocument/2006/relationships/diagramLayout" Target="diagrams/layout1.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42FA342-F566-4866-9DD8-425C8B25DFA3}" type="doc">
      <dgm:prSet loTypeId="urn:microsoft.com/office/officeart/2005/8/layout/cycle4" loCatId="cycle" qsTypeId="urn:microsoft.com/office/officeart/2005/8/quickstyle/simple1" qsCatId="simple" csTypeId="urn:microsoft.com/office/officeart/2005/8/colors/accent1_2" csCatId="accent1" phldr="1"/>
      <dgm:spPr/>
      <dgm:t>
        <a:bodyPr/>
        <a:lstStyle/>
        <a:p>
          <a:endParaRPr lang="en-US"/>
        </a:p>
      </dgm:t>
    </dgm:pt>
    <dgm:pt modelId="{7B86A013-BA51-45B5-84E4-05E6F6BFEDDD}">
      <dgm:prSet phldrT="[Text]"/>
      <dgm:spPr/>
      <dgm:t>
        <a:bodyPr/>
        <a:lstStyle/>
        <a:p>
          <a:pPr algn="ctr"/>
          <a:r>
            <a:rPr lang="en-US" dirty="0"/>
            <a:t>Plan</a:t>
          </a:r>
        </a:p>
      </dgm:t>
    </dgm:pt>
    <dgm:pt modelId="{95808C53-8AD9-4D74-867F-50CA0A86F466}" type="parTrans" cxnId="{868FC184-8599-4290-97C0-837A4D48DC29}">
      <dgm:prSet/>
      <dgm:spPr/>
      <dgm:t>
        <a:bodyPr/>
        <a:lstStyle/>
        <a:p>
          <a:endParaRPr lang="en-US"/>
        </a:p>
      </dgm:t>
    </dgm:pt>
    <dgm:pt modelId="{4341F054-328E-437D-ABAF-A55FDD29043E}" type="sibTrans" cxnId="{868FC184-8599-4290-97C0-837A4D48DC29}">
      <dgm:prSet/>
      <dgm:spPr/>
      <dgm:t>
        <a:bodyPr/>
        <a:lstStyle/>
        <a:p>
          <a:endParaRPr lang="en-US"/>
        </a:p>
      </dgm:t>
    </dgm:pt>
    <dgm:pt modelId="{7049E30E-82C7-4599-9AB2-175C0357144D}">
      <dgm:prSet phldrT="[Text]"/>
      <dgm:spPr/>
      <dgm:t>
        <a:bodyPr/>
        <a:lstStyle/>
        <a:p>
          <a:r>
            <a:rPr lang="en-US" dirty="0"/>
            <a:t>Identify needs/goals</a:t>
          </a:r>
        </a:p>
      </dgm:t>
    </dgm:pt>
    <dgm:pt modelId="{406ED33D-FAB3-4DAE-ABD8-8ABA4E35AC8C}" type="parTrans" cxnId="{74FBE6A6-B870-49C3-8DC3-3150AE3DB051}">
      <dgm:prSet/>
      <dgm:spPr/>
      <dgm:t>
        <a:bodyPr/>
        <a:lstStyle/>
        <a:p>
          <a:endParaRPr lang="en-US"/>
        </a:p>
      </dgm:t>
    </dgm:pt>
    <dgm:pt modelId="{CCC06900-D714-4E64-B73D-70D91590E7DF}" type="sibTrans" cxnId="{74FBE6A6-B870-49C3-8DC3-3150AE3DB051}">
      <dgm:prSet/>
      <dgm:spPr/>
      <dgm:t>
        <a:bodyPr/>
        <a:lstStyle/>
        <a:p>
          <a:endParaRPr lang="en-US"/>
        </a:p>
      </dgm:t>
    </dgm:pt>
    <dgm:pt modelId="{4EFCA68B-CF27-4442-9134-BCD7E781C7E1}">
      <dgm:prSet phldrT="[Text]"/>
      <dgm:spPr/>
      <dgm:t>
        <a:bodyPr/>
        <a:lstStyle/>
        <a:p>
          <a:r>
            <a:rPr lang="en-US" dirty="0"/>
            <a:t>Do</a:t>
          </a:r>
        </a:p>
      </dgm:t>
    </dgm:pt>
    <dgm:pt modelId="{CAC58635-1532-40FF-ACAD-05CB4484C9D6}" type="parTrans" cxnId="{81D0ACB4-D5CE-4E86-80D9-69E8D4091A8C}">
      <dgm:prSet/>
      <dgm:spPr/>
      <dgm:t>
        <a:bodyPr/>
        <a:lstStyle/>
        <a:p>
          <a:endParaRPr lang="en-US"/>
        </a:p>
      </dgm:t>
    </dgm:pt>
    <dgm:pt modelId="{7BE68E2E-0C92-4F0B-BA18-4CAAF751587B}" type="sibTrans" cxnId="{81D0ACB4-D5CE-4E86-80D9-69E8D4091A8C}">
      <dgm:prSet/>
      <dgm:spPr/>
      <dgm:t>
        <a:bodyPr/>
        <a:lstStyle/>
        <a:p>
          <a:endParaRPr lang="en-US"/>
        </a:p>
      </dgm:t>
    </dgm:pt>
    <dgm:pt modelId="{FBF69818-DF73-4B7A-9358-DB6D628AA344}">
      <dgm:prSet phldrT="[Text]"/>
      <dgm:spPr/>
      <dgm:t>
        <a:bodyPr/>
        <a:lstStyle/>
        <a:p>
          <a:r>
            <a:rPr lang="en-US" dirty="0"/>
            <a:t>Implementation</a:t>
          </a:r>
        </a:p>
      </dgm:t>
    </dgm:pt>
    <dgm:pt modelId="{86557CE9-D07C-47E9-9645-1E0DADCDDF2A}" type="parTrans" cxnId="{65D1DFDB-2B2A-4A2A-89E1-BA59491B4C8D}">
      <dgm:prSet/>
      <dgm:spPr/>
      <dgm:t>
        <a:bodyPr/>
        <a:lstStyle/>
        <a:p>
          <a:endParaRPr lang="en-US"/>
        </a:p>
      </dgm:t>
    </dgm:pt>
    <dgm:pt modelId="{9BEFEB69-EF5B-4D08-A3E7-1C56567168D3}" type="sibTrans" cxnId="{65D1DFDB-2B2A-4A2A-89E1-BA59491B4C8D}">
      <dgm:prSet/>
      <dgm:spPr/>
      <dgm:t>
        <a:bodyPr/>
        <a:lstStyle/>
        <a:p>
          <a:endParaRPr lang="en-US"/>
        </a:p>
      </dgm:t>
    </dgm:pt>
    <dgm:pt modelId="{CB82B254-47A2-4530-98B9-9CDFBC5686FA}">
      <dgm:prSet phldrT="[Text]"/>
      <dgm:spPr/>
      <dgm:t>
        <a:bodyPr/>
        <a:lstStyle/>
        <a:p>
          <a:r>
            <a:rPr lang="en-US" dirty="0"/>
            <a:t>Check</a:t>
          </a:r>
        </a:p>
      </dgm:t>
    </dgm:pt>
    <dgm:pt modelId="{FEAB7793-5D9C-4B1F-9F74-2221A2D626A7}" type="parTrans" cxnId="{3E49EF28-BFDA-4237-861D-16E662AC5AE2}">
      <dgm:prSet/>
      <dgm:spPr/>
      <dgm:t>
        <a:bodyPr/>
        <a:lstStyle/>
        <a:p>
          <a:endParaRPr lang="en-US"/>
        </a:p>
      </dgm:t>
    </dgm:pt>
    <dgm:pt modelId="{463258D0-A87A-4F1A-811E-CEB010DA0315}" type="sibTrans" cxnId="{3E49EF28-BFDA-4237-861D-16E662AC5AE2}">
      <dgm:prSet/>
      <dgm:spPr/>
      <dgm:t>
        <a:bodyPr/>
        <a:lstStyle/>
        <a:p>
          <a:endParaRPr lang="en-US"/>
        </a:p>
      </dgm:t>
    </dgm:pt>
    <dgm:pt modelId="{855556B2-3A5C-4F41-9155-2BB7B0422E93}">
      <dgm:prSet phldrT="[Text]"/>
      <dgm:spPr/>
      <dgm:t>
        <a:bodyPr/>
        <a:lstStyle/>
        <a:p>
          <a:r>
            <a:rPr lang="en-US" dirty="0"/>
            <a:t>Develop Ongoing management</a:t>
          </a:r>
        </a:p>
      </dgm:t>
    </dgm:pt>
    <dgm:pt modelId="{207907A0-132D-4D2D-9C13-C1A9F7F9CF5B}" type="parTrans" cxnId="{8707FC86-7D2E-4525-84B1-2C13A4C6DF1A}">
      <dgm:prSet/>
      <dgm:spPr/>
      <dgm:t>
        <a:bodyPr/>
        <a:lstStyle/>
        <a:p>
          <a:endParaRPr lang="en-US"/>
        </a:p>
      </dgm:t>
    </dgm:pt>
    <dgm:pt modelId="{046E3592-75F6-4292-B777-BF9A7139B899}" type="sibTrans" cxnId="{8707FC86-7D2E-4525-84B1-2C13A4C6DF1A}">
      <dgm:prSet/>
      <dgm:spPr/>
      <dgm:t>
        <a:bodyPr/>
        <a:lstStyle/>
        <a:p>
          <a:endParaRPr lang="en-US"/>
        </a:p>
      </dgm:t>
    </dgm:pt>
    <dgm:pt modelId="{543D5988-CE6D-4BA4-9433-E193D6C63586}">
      <dgm:prSet phldrT="[Text]"/>
      <dgm:spPr/>
      <dgm:t>
        <a:bodyPr/>
        <a:lstStyle/>
        <a:p>
          <a:r>
            <a:rPr lang="en-US" dirty="0"/>
            <a:t>Act</a:t>
          </a:r>
        </a:p>
      </dgm:t>
    </dgm:pt>
    <dgm:pt modelId="{7A701E38-52AD-4CE4-93BD-8D9478DC5AB4}" type="parTrans" cxnId="{11266F2E-E499-4116-9CD7-9EF0907BE1DF}">
      <dgm:prSet/>
      <dgm:spPr/>
      <dgm:t>
        <a:bodyPr/>
        <a:lstStyle/>
        <a:p>
          <a:endParaRPr lang="en-US"/>
        </a:p>
      </dgm:t>
    </dgm:pt>
    <dgm:pt modelId="{70E45333-F8A5-43F1-A736-D7E6B7FF29B0}" type="sibTrans" cxnId="{11266F2E-E499-4116-9CD7-9EF0907BE1DF}">
      <dgm:prSet/>
      <dgm:spPr/>
      <dgm:t>
        <a:bodyPr/>
        <a:lstStyle/>
        <a:p>
          <a:endParaRPr lang="en-US"/>
        </a:p>
      </dgm:t>
    </dgm:pt>
    <dgm:pt modelId="{961AED85-F317-476A-9AB1-B3D5AF024476}">
      <dgm:prSet phldrT="[Text]"/>
      <dgm:spPr/>
      <dgm:t>
        <a:bodyPr/>
        <a:lstStyle/>
        <a:p>
          <a:r>
            <a:rPr lang="en-US" dirty="0"/>
            <a:t>Evaluate &amp; Adjust EMS</a:t>
          </a:r>
        </a:p>
      </dgm:t>
    </dgm:pt>
    <dgm:pt modelId="{FB018564-D79C-4F87-A48A-A13DEA464D45}" type="parTrans" cxnId="{96180F71-F3DC-43FD-A1D1-4FA2128CF390}">
      <dgm:prSet/>
      <dgm:spPr/>
      <dgm:t>
        <a:bodyPr/>
        <a:lstStyle/>
        <a:p>
          <a:endParaRPr lang="en-US"/>
        </a:p>
      </dgm:t>
    </dgm:pt>
    <dgm:pt modelId="{DFE31BCC-BFCB-457B-9A0E-1FB35ADB7717}" type="sibTrans" cxnId="{96180F71-F3DC-43FD-A1D1-4FA2128CF390}">
      <dgm:prSet/>
      <dgm:spPr/>
      <dgm:t>
        <a:bodyPr/>
        <a:lstStyle/>
        <a:p>
          <a:endParaRPr lang="en-US"/>
        </a:p>
      </dgm:t>
    </dgm:pt>
    <dgm:pt modelId="{5E792EA3-BCDD-4AE8-80C5-306AD878F7AA}">
      <dgm:prSet phldrT="[Text]"/>
      <dgm:spPr/>
      <dgm:t>
        <a:bodyPr/>
        <a:lstStyle/>
        <a:p>
          <a:r>
            <a:rPr lang="en-US" dirty="0"/>
            <a:t>Determine Appropriate Action</a:t>
          </a:r>
        </a:p>
      </dgm:t>
    </dgm:pt>
    <dgm:pt modelId="{EE3D1289-73D0-4D29-B09C-1F752A3A3414}" type="parTrans" cxnId="{2C54D6D4-F818-4DB6-9C24-4EFE110B4821}">
      <dgm:prSet/>
      <dgm:spPr/>
      <dgm:t>
        <a:bodyPr/>
        <a:lstStyle/>
        <a:p>
          <a:endParaRPr lang="en-US"/>
        </a:p>
      </dgm:t>
    </dgm:pt>
    <dgm:pt modelId="{C147A5B6-8AF9-4FAD-9179-26A131D55521}" type="sibTrans" cxnId="{2C54D6D4-F818-4DB6-9C24-4EFE110B4821}">
      <dgm:prSet/>
      <dgm:spPr/>
      <dgm:t>
        <a:bodyPr/>
        <a:lstStyle/>
        <a:p>
          <a:endParaRPr lang="en-US"/>
        </a:p>
      </dgm:t>
    </dgm:pt>
    <dgm:pt modelId="{B73E550F-8C1B-45FC-8A60-ABA8469141FA}">
      <dgm:prSet phldrT="[Text]"/>
      <dgm:spPr/>
      <dgm:t>
        <a:bodyPr/>
        <a:lstStyle/>
        <a:p>
          <a:endParaRPr lang="en-US" dirty="0"/>
        </a:p>
      </dgm:t>
    </dgm:pt>
    <dgm:pt modelId="{6DA3F931-5FD3-4F2F-9A8E-35A563AC83C4}" type="parTrans" cxnId="{64ADD2D6-9709-42C4-8336-4CF89EA554EB}">
      <dgm:prSet/>
      <dgm:spPr/>
      <dgm:t>
        <a:bodyPr/>
        <a:lstStyle/>
        <a:p>
          <a:endParaRPr lang="en-US"/>
        </a:p>
      </dgm:t>
    </dgm:pt>
    <dgm:pt modelId="{50448077-0306-42CF-9635-811282CF0280}" type="sibTrans" cxnId="{64ADD2D6-9709-42C4-8336-4CF89EA554EB}">
      <dgm:prSet/>
      <dgm:spPr/>
      <dgm:t>
        <a:bodyPr/>
        <a:lstStyle/>
        <a:p>
          <a:endParaRPr lang="en-US"/>
        </a:p>
      </dgm:t>
    </dgm:pt>
    <dgm:pt modelId="{AD6E0B61-0988-4B5F-9D06-586C49E5997A}">
      <dgm:prSet phldrT="[Text]"/>
      <dgm:spPr/>
      <dgm:t>
        <a:bodyPr/>
        <a:lstStyle/>
        <a:p>
          <a:r>
            <a:rPr lang="en-US" dirty="0"/>
            <a:t>Audit</a:t>
          </a:r>
        </a:p>
      </dgm:t>
    </dgm:pt>
    <dgm:pt modelId="{5E38EF08-651E-4DB9-A627-BD3A9050DD16}" type="parTrans" cxnId="{F73B4F29-A76C-4C54-9A93-DCDF15E6E191}">
      <dgm:prSet/>
      <dgm:spPr/>
      <dgm:t>
        <a:bodyPr/>
        <a:lstStyle/>
        <a:p>
          <a:endParaRPr lang="en-US"/>
        </a:p>
      </dgm:t>
    </dgm:pt>
    <dgm:pt modelId="{2E00D9C1-577F-47A8-B6CF-BD6D9B085FAD}" type="sibTrans" cxnId="{F73B4F29-A76C-4C54-9A93-DCDF15E6E191}">
      <dgm:prSet/>
      <dgm:spPr/>
      <dgm:t>
        <a:bodyPr/>
        <a:lstStyle/>
        <a:p>
          <a:endParaRPr lang="en-US"/>
        </a:p>
      </dgm:t>
    </dgm:pt>
    <dgm:pt modelId="{DAE9F6B3-7582-4793-A6E2-9293FEB7ECAE}">
      <dgm:prSet phldrT="[Text]"/>
      <dgm:spPr/>
      <dgm:t>
        <a:bodyPr/>
        <a:lstStyle/>
        <a:p>
          <a:r>
            <a:rPr lang="en-US" dirty="0"/>
            <a:t>Management Review </a:t>
          </a:r>
        </a:p>
      </dgm:t>
    </dgm:pt>
    <dgm:pt modelId="{CD9B2C31-CEE0-42D7-B7BA-9E62363ACCB4}" type="parTrans" cxnId="{1C356D3B-3B9F-4875-9817-D2F76874FB97}">
      <dgm:prSet/>
      <dgm:spPr/>
      <dgm:t>
        <a:bodyPr/>
        <a:lstStyle/>
        <a:p>
          <a:endParaRPr lang="en-US"/>
        </a:p>
      </dgm:t>
    </dgm:pt>
    <dgm:pt modelId="{5099A08D-55AF-4157-A329-8BFF2C28DD52}" type="sibTrans" cxnId="{1C356D3B-3B9F-4875-9817-D2F76874FB97}">
      <dgm:prSet/>
      <dgm:spPr/>
      <dgm:t>
        <a:bodyPr/>
        <a:lstStyle/>
        <a:p>
          <a:endParaRPr lang="en-US"/>
        </a:p>
      </dgm:t>
    </dgm:pt>
    <dgm:pt modelId="{EBB21017-5E06-429E-BD7C-548E5207C66E}" type="pres">
      <dgm:prSet presAssocID="{342FA342-F566-4866-9DD8-425C8B25DFA3}" presName="cycleMatrixDiagram" presStyleCnt="0">
        <dgm:presLayoutVars>
          <dgm:chMax val="1"/>
          <dgm:dir/>
          <dgm:animLvl val="lvl"/>
          <dgm:resizeHandles val="exact"/>
        </dgm:presLayoutVars>
      </dgm:prSet>
      <dgm:spPr/>
    </dgm:pt>
    <dgm:pt modelId="{556AAA2F-1C28-487B-9915-72A814FC4F64}" type="pres">
      <dgm:prSet presAssocID="{342FA342-F566-4866-9DD8-425C8B25DFA3}" presName="children" presStyleCnt="0"/>
      <dgm:spPr/>
    </dgm:pt>
    <dgm:pt modelId="{8741049F-1E05-454F-8359-5312F9258A32}" type="pres">
      <dgm:prSet presAssocID="{342FA342-F566-4866-9DD8-425C8B25DFA3}" presName="child1group" presStyleCnt="0"/>
      <dgm:spPr/>
    </dgm:pt>
    <dgm:pt modelId="{B9785E39-8E2C-4EF3-B565-40E7FEA40276}" type="pres">
      <dgm:prSet presAssocID="{342FA342-F566-4866-9DD8-425C8B25DFA3}" presName="child1" presStyleLbl="bgAcc1" presStyleIdx="0" presStyleCnt="4"/>
      <dgm:spPr/>
    </dgm:pt>
    <dgm:pt modelId="{9152E5E9-D6BD-4475-AC0A-FE6D758FE869}" type="pres">
      <dgm:prSet presAssocID="{342FA342-F566-4866-9DD8-425C8B25DFA3}" presName="child1Text" presStyleLbl="bgAcc1" presStyleIdx="0" presStyleCnt="4">
        <dgm:presLayoutVars>
          <dgm:bulletEnabled val="1"/>
        </dgm:presLayoutVars>
      </dgm:prSet>
      <dgm:spPr/>
    </dgm:pt>
    <dgm:pt modelId="{821FD336-6CC4-4901-905D-9D115985D3EF}" type="pres">
      <dgm:prSet presAssocID="{342FA342-F566-4866-9DD8-425C8B25DFA3}" presName="child2group" presStyleCnt="0"/>
      <dgm:spPr/>
    </dgm:pt>
    <dgm:pt modelId="{B8D3A9CD-18AF-409B-8440-87B9088C0B63}" type="pres">
      <dgm:prSet presAssocID="{342FA342-F566-4866-9DD8-425C8B25DFA3}" presName="child2" presStyleLbl="bgAcc1" presStyleIdx="1" presStyleCnt="4"/>
      <dgm:spPr/>
    </dgm:pt>
    <dgm:pt modelId="{83512C29-8507-4210-8F93-DF0BBBB7BA43}" type="pres">
      <dgm:prSet presAssocID="{342FA342-F566-4866-9DD8-425C8B25DFA3}" presName="child2Text" presStyleLbl="bgAcc1" presStyleIdx="1" presStyleCnt="4">
        <dgm:presLayoutVars>
          <dgm:bulletEnabled val="1"/>
        </dgm:presLayoutVars>
      </dgm:prSet>
      <dgm:spPr/>
    </dgm:pt>
    <dgm:pt modelId="{DF2A974F-1D09-4920-96B1-691AF25683C4}" type="pres">
      <dgm:prSet presAssocID="{342FA342-F566-4866-9DD8-425C8B25DFA3}" presName="child3group" presStyleCnt="0"/>
      <dgm:spPr/>
    </dgm:pt>
    <dgm:pt modelId="{794D5108-A297-4EF0-A768-F5A56A8AC452}" type="pres">
      <dgm:prSet presAssocID="{342FA342-F566-4866-9DD8-425C8B25DFA3}" presName="child3" presStyleLbl="bgAcc1" presStyleIdx="2" presStyleCnt="4"/>
      <dgm:spPr/>
    </dgm:pt>
    <dgm:pt modelId="{60D017FC-6431-44DB-9D40-0F0CE8CD98C0}" type="pres">
      <dgm:prSet presAssocID="{342FA342-F566-4866-9DD8-425C8B25DFA3}" presName="child3Text" presStyleLbl="bgAcc1" presStyleIdx="2" presStyleCnt="4">
        <dgm:presLayoutVars>
          <dgm:bulletEnabled val="1"/>
        </dgm:presLayoutVars>
      </dgm:prSet>
      <dgm:spPr/>
    </dgm:pt>
    <dgm:pt modelId="{B8D0D20F-ABF6-4AED-8858-49013113F72A}" type="pres">
      <dgm:prSet presAssocID="{342FA342-F566-4866-9DD8-425C8B25DFA3}" presName="child4group" presStyleCnt="0"/>
      <dgm:spPr/>
    </dgm:pt>
    <dgm:pt modelId="{B010AD24-CD59-403E-B183-38F592695608}" type="pres">
      <dgm:prSet presAssocID="{342FA342-F566-4866-9DD8-425C8B25DFA3}" presName="child4" presStyleLbl="bgAcc1" presStyleIdx="3" presStyleCnt="4"/>
      <dgm:spPr/>
    </dgm:pt>
    <dgm:pt modelId="{6D04BF62-3F53-4F1C-8896-54B31140E9E3}" type="pres">
      <dgm:prSet presAssocID="{342FA342-F566-4866-9DD8-425C8B25DFA3}" presName="child4Text" presStyleLbl="bgAcc1" presStyleIdx="3" presStyleCnt="4">
        <dgm:presLayoutVars>
          <dgm:bulletEnabled val="1"/>
        </dgm:presLayoutVars>
      </dgm:prSet>
      <dgm:spPr/>
    </dgm:pt>
    <dgm:pt modelId="{E621BDD3-7B54-4F50-9C27-55ABC2371A0A}" type="pres">
      <dgm:prSet presAssocID="{342FA342-F566-4866-9DD8-425C8B25DFA3}" presName="childPlaceholder" presStyleCnt="0"/>
      <dgm:spPr/>
    </dgm:pt>
    <dgm:pt modelId="{5384616D-57C6-456D-8437-D877125E85C3}" type="pres">
      <dgm:prSet presAssocID="{342FA342-F566-4866-9DD8-425C8B25DFA3}" presName="circle" presStyleCnt="0"/>
      <dgm:spPr/>
    </dgm:pt>
    <dgm:pt modelId="{985E2737-CE10-47DB-B1EE-D9C1E11A39B8}" type="pres">
      <dgm:prSet presAssocID="{342FA342-F566-4866-9DD8-425C8B25DFA3}" presName="quadrant1" presStyleLbl="node1" presStyleIdx="0" presStyleCnt="4">
        <dgm:presLayoutVars>
          <dgm:chMax val="1"/>
          <dgm:bulletEnabled val="1"/>
        </dgm:presLayoutVars>
      </dgm:prSet>
      <dgm:spPr/>
    </dgm:pt>
    <dgm:pt modelId="{F25795BE-952B-4F1F-8035-A4DCEAE9597D}" type="pres">
      <dgm:prSet presAssocID="{342FA342-F566-4866-9DD8-425C8B25DFA3}" presName="quadrant2" presStyleLbl="node1" presStyleIdx="1" presStyleCnt="4">
        <dgm:presLayoutVars>
          <dgm:chMax val="1"/>
          <dgm:bulletEnabled val="1"/>
        </dgm:presLayoutVars>
      </dgm:prSet>
      <dgm:spPr/>
    </dgm:pt>
    <dgm:pt modelId="{0AD09135-7B04-449E-8A45-0FA95029C295}" type="pres">
      <dgm:prSet presAssocID="{342FA342-F566-4866-9DD8-425C8B25DFA3}" presName="quadrant3" presStyleLbl="node1" presStyleIdx="2" presStyleCnt="4">
        <dgm:presLayoutVars>
          <dgm:chMax val="1"/>
          <dgm:bulletEnabled val="1"/>
        </dgm:presLayoutVars>
      </dgm:prSet>
      <dgm:spPr/>
    </dgm:pt>
    <dgm:pt modelId="{9860F119-93FC-46EB-947A-078EED5DE1B9}" type="pres">
      <dgm:prSet presAssocID="{342FA342-F566-4866-9DD8-425C8B25DFA3}" presName="quadrant4" presStyleLbl="node1" presStyleIdx="3" presStyleCnt="4">
        <dgm:presLayoutVars>
          <dgm:chMax val="1"/>
          <dgm:bulletEnabled val="1"/>
        </dgm:presLayoutVars>
      </dgm:prSet>
      <dgm:spPr/>
    </dgm:pt>
    <dgm:pt modelId="{F93CF749-1D20-4483-8B5B-EE600CEB96D2}" type="pres">
      <dgm:prSet presAssocID="{342FA342-F566-4866-9DD8-425C8B25DFA3}" presName="quadrantPlaceholder" presStyleCnt="0"/>
      <dgm:spPr/>
    </dgm:pt>
    <dgm:pt modelId="{C6DBC25C-EFA8-4E8B-AF39-3051CD928CD1}" type="pres">
      <dgm:prSet presAssocID="{342FA342-F566-4866-9DD8-425C8B25DFA3}" presName="center1" presStyleLbl="fgShp" presStyleIdx="0" presStyleCnt="2"/>
      <dgm:spPr/>
    </dgm:pt>
    <dgm:pt modelId="{CCD4C035-7D61-4B46-99EB-9DD46B146FE8}" type="pres">
      <dgm:prSet presAssocID="{342FA342-F566-4866-9DD8-425C8B25DFA3}" presName="center2" presStyleLbl="fgShp" presStyleIdx="1" presStyleCnt="2"/>
      <dgm:spPr/>
    </dgm:pt>
  </dgm:ptLst>
  <dgm:cxnLst>
    <dgm:cxn modelId="{8A2EE702-F8CA-4EE2-91BB-E4D8AA121161}" type="presOf" srcId="{5E792EA3-BCDD-4AE8-80C5-306AD878F7AA}" destId="{9152E5E9-D6BD-4475-AC0A-FE6D758FE869}" srcOrd="1" destOrd="1" presId="urn:microsoft.com/office/officeart/2005/8/layout/cycle4"/>
    <dgm:cxn modelId="{0F737608-2364-4550-9B94-0AB1C7E5E126}" type="presOf" srcId="{543D5988-CE6D-4BA4-9433-E193D6C63586}" destId="{9860F119-93FC-46EB-947A-078EED5DE1B9}" srcOrd="0" destOrd="0" presId="urn:microsoft.com/office/officeart/2005/8/layout/cycle4"/>
    <dgm:cxn modelId="{31ABAF1E-EFEC-4FB6-92FB-FF8077DC28B0}" type="presOf" srcId="{961AED85-F317-476A-9AB1-B3D5AF024476}" destId="{6D04BF62-3F53-4F1C-8896-54B31140E9E3}" srcOrd="1" destOrd="0" presId="urn:microsoft.com/office/officeart/2005/8/layout/cycle4"/>
    <dgm:cxn modelId="{8D734527-BCB3-4453-9C92-9CDBAFCDDD5D}" type="presOf" srcId="{FBF69818-DF73-4B7A-9358-DB6D628AA344}" destId="{83512C29-8507-4210-8F93-DF0BBBB7BA43}" srcOrd="1" destOrd="0" presId="urn:microsoft.com/office/officeart/2005/8/layout/cycle4"/>
    <dgm:cxn modelId="{3E49EF28-BFDA-4237-861D-16E662AC5AE2}" srcId="{342FA342-F566-4866-9DD8-425C8B25DFA3}" destId="{CB82B254-47A2-4530-98B9-9CDFBC5686FA}" srcOrd="2" destOrd="0" parTransId="{FEAB7793-5D9C-4B1F-9F74-2221A2D626A7}" sibTransId="{463258D0-A87A-4F1A-811E-CEB010DA0315}"/>
    <dgm:cxn modelId="{F73B4F29-A76C-4C54-9A93-DCDF15E6E191}" srcId="{CB82B254-47A2-4530-98B9-9CDFBC5686FA}" destId="{AD6E0B61-0988-4B5F-9D06-586C49E5997A}" srcOrd="1" destOrd="0" parTransId="{5E38EF08-651E-4DB9-A627-BD3A9050DD16}" sibTransId="{2E00D9C1-577F-47A8-B6CF-BD6D9B085FAD}"/>
    <dgm:cxn modelId="{5BA6592A-B278-4045-A570-234E3F4D293F}" type="presOf" srcId="{7049E30E-82C7-4599-9AB2-175C0357144D}" destId="{9152E5E9-D6BD-4475-AC0A-FE6D758FE869}" srcOrd="1" destOrd="0" presId="urn:microsoft.com/office/officeart/2005/8/layout/cycle4"/>
    <dgm:cxn modelId="{11266F2E-E499-4116-9CD7-9EF0907BE1DF}" srcId="{342FA342-F566-4866-9DD8-425C8B25DFA3}" destId="{543D5988-CE6D-4BA4-9433-E193D6C63586}" srcOrd="3" destOrd="0" parTransId="{7A701E38-52AD-4CE4-93BD-8D9478DC5AB4}" sibTransId="{70E45333-F8A5-43F1-A736-D7E6B7FF29B0}"/>
    <dgm:cxn modelId="{2876C133-26AB-4818-8C26-02405BE1F450}" type="presOf" srcId="{5E792EA3-BCDD-4AE8-80C5-306AD878F7AA}" destId="{B9785E39-8E2C-4EF3-B565-40E7FEA40276}" srcOrd="0" destOrd="1" presId="urn:microsoft.com/office/officeart/2005/8/layout/cycle4"/>
    <dgm:cxn modelId="{1C356D3B-3B9F-4875-9817-D2F76874FB97}" srcId="{543D5988-CE6D-4BA4-9433-E193D6C63586}" destId="{DAE9F6B3-7582-4793-A6E2-9293FEB7ECAE}" srcOrd="1" destOrd="0" parTransId="{CD9B2C31-CEE0-42D7-B7BA-9E62363ACCB4}" sibTransId="{5099A08D-55AF-4157-A329-8BFF2C28DD52}"/>
    <dgm:cxn modelId="{C5472F5E-8AE0-4A5A-8DFF-B5B95A2F5C47}" type="presOf" srcId="{961AED85-F317-476A-9AB1-B3D5AF024476}" destId="{B010AD24-CD59-403E-B183-38F592695608}" srcOrd="0" destOrd="0" presId="urn:microsoft.com/office/officeart/2005/8/layout/cycle4"/>
    <dgm:cxn modelId="{3CED0641-8782-4B5A-84DF-EB9CFB640F53}" type="presOf" srcId="{342FA342-F566-4866-9DD8-425C8B25DFA3}" destId="{EBB21017-5E06-429E-BD7C-548E5207C66E}" srcOrd="0" destOrd="0" presId="urn:microsoft.com/office/officeart/2005/8/layout/cycle4"/>
    <dgm:cxn modelId="{D8812746-3B90-4482-B87C-DEBD232DF9F0}" type="presOf" srcId="{AD6E0B61-0988-4B5F-9D06-586C49E5997A}" destId="{60D017FC-6431-44DB-9D40-0F0CE8CD98C0}" srcOrd="1" destOrd="1" presId="urn:microsoft.com/office/officeart/2005/8/layout/cycle4"/>
    <dgm:cxn modelId="{71A0E06A-50FC-4DF1-988A-C8E50093CD43}" type="presOf" srcId="{DAE9F6B3-7582-4793-A6E2-9293FEB7ECAE}" destId="{6D04BF62-3F53-4F1C-8896-54B31140E9E3}" srcOrd="1" destOrd="1" presId="urn:microsoft.com/office/officeart/2005/8/layout/cycle4"/>
    <dgm:cxn modelId="{F9CBCC4B-6BAD-4A8A-9CDF-F2DD4A7C8336}" type="presOf" srcId="{B73E550F-8C1B-45FC-8A60-ABA8469141FA}" destId="{B8D3A9CD-18AF-409B-8440-87B9088C0B63}" srcOrd="0" destOrd="1" presId="urn:microsoft.com/office/officeart/2005/8/layout/cycle4"/>
    <dgm:cxn modelId="{8894DE6E-282D-4877-8D4C-C4CE4929CB82}" type="presOf" srcId="{7049E30E-82C7-4599-9AB2-175C0357144D}" destId="{B9785E39-8E2C-4EF3-B565-40E7FEA40276}" srcOrd="0" destOrd="0" presId="urn:microsoft.com/office/officeart/2005/8/layout/cycle4"/>
    <dgm:cxn modelId="{6375AC6F-BD58-4CE3-92EF-F8BB55B9CECC}" type="presOf" srcId="{855556B2-3A5C-4F41-9155-2BB7B0422E93}" destId="{60D017FC-6431-44DB-9D40-0F0CE8CD98C0}" srcOrd="1" destOrd="0" presId="urn:microsoft.com/office/officeart/2005/8/layout/cycle4"/>
    <dgm:cxn modelId="{96180F71-F3DC-43FD-A1D1-4FA2128CF390}" srcId="{543D5988-CE6D-4BA4-9433-E193D6C63586}" destId="{961AED85-F317-476A-9AB1-B3D5AF024476}" srcOrd="0" destOrd="0" parTransId="{FB018564-D79C-4F87-A48A-A13DEA464D45}" sibTransId="{DFE31BCC-BFCB-457B-9A0E-1FB35ADB7717}"/>
    <dgm:cxn modelId="{F41A7F78-A4AA-44EA-8606-289513739D55}" type="presOf" srcId="{7B86A013-BA51-45B5-84E4-05E6F6BFEDDD}" destId="{985E2737-CE10-47DB-B1EE-D9C1E11A39B8}" srcOrd="0" destOrd="0" presId="urn:microsoft.com/office/officeart/2005/8/layout/cycle4"/>
    <dgm:cxn modelId="{868FC184-8599-4290-97C0-837A4D48DC29}" srcId="{342FA342-F566-4866-9DD8-425C8B25DFA3}" destId="{7B86A013-BA51-45B5-84E4-05E6F6BFEDDD}" srcOrd="0" destOrd="0" parTransId="{95808C53-8AD9-4D74-867F-50CA0A86F466}" sibTransId="{4341F054-328E-437D-ABAF-A55FDD29043E}"/>
    <dgm:cxn modelId="{62399D85-0774-4DA5-B28F-5F0A6C02FD10}" type="presOf" srcId="{CB82B254-47A2-4530-98B9-9CDFBC5686FA}" destId="{0AD09135-7B04-449E-8A45-0FA95029C295}" srcOrd="0" destOrd="0" presId="urn:microsoft.com/office/officeart/2005/8/layout/cycle4"/>
    <dgm:cxn modelId="{8707FC86-7D2E-4525-84B1-2C13A4C6DF1A}" srcId="{CB82B254-47A2-4530-98B9-9CDFBC5686FA}" destId="{855556B2-3A5C-4F41-9155-2BB7B0422E93}" srcOrd="0" destOrd="0" parTransId="{207907A0-132D-4D2D-9C13-C1A9F7F9CF5B}" sibTransId="{046E3592-75F6-4292-B777-BF9A7139B899}"/>
    <dgm:cxn modelId="{B0E5A19B-119A-4389-825A-A7635D722B64}" type="presOf" srcId="{AD6E0B61-0988-4B5F-9D06-586C49E5997A}" destId="{794D5108-A297-4EF0-A768-F5A56A8AC452}" srcOrd="0" destOrd="1" presId="urn:microsoft.com/office/officeart/2005/8/layout/cycle4"/>
    <dgm:cxn modelId="{74FBE6A6-B870-49C3-8DC3-3150AE3DB051}" srcId="{7B86A013-BA51-45B5-84E4-05E6F6BFEDDD}" destId="{7049E30E-82C7-4599-9AB2-175C0357144D}" srcOrd="0" destOrd="0" parTransId="{406ED33D-FAB3-4DAE-ABD8-8ABA4E35AC8C}" sibTransId="{CCC06900-D714-4E64-B73D-70D91590E7DF}"/>
    <dgm:cxn modelId="{81D0ACB4-D5CE-4E86-80D9-69E8D4091A8C}" srcId="{342FA342-F566-4866-9DD8-425C8B25DFA3}" destId="{4EFCA68B-CF27-4442-9134-BCD7E781C7E1}" srcOrd="1" destOrd="0" parTransId="{CAC58635-1532-40FF-ACAD-05CB4484C9D6}" sibTransId="{7BE68E2E-0C92-4F0B-BA18-4CAAF751587B}"/>
    <dgm:cxn modelId="{A89374B7-3E04-45C5-8B1C-230EE8B19A0C}" type="presOf" srcId="{DAE9F6B3-7582-4793-A6E2-9293FEB7ECAE}" destId="{B010AD24-CD59-403E-B183-38F592695608}" srcOrd="0" destOrd="1" presId="urn:microsoft.com/office/officeart/2005/8/layout/cycle4"/>
    <dgm:cxn modelId="{C8F421B9-286D-41F4-9EA3-C86923CD7F39}" type="presOf" srcId="{FBF69818-DF73-4B7A-9358-DB6D628AA344}" destId="{B8D3A9CD-18AF-409B-8440-87B9088C0B63}" srcOrd="0" destOrd="0" presId="urn:microsoft.com/office/officeart/2005/8/layout/cycle4"/>
    <dgm:cxn modelId="{683462BE-6048-477F-932D-349CCA78252D}" type="presOf" srcId="{B73E550F-8C1B-45FC-8A60-ABA8469141FA}" destId="{83512C29-8507-4210-8F93-DF0BBBB7BA43}" srcOrd="1" destOrd="1" presId="urn:microsoft.com/office/officeart/2005/8/layout/cycle4"/>
    <dgm:cxn modelId="{08A790C9-7551-4182-988D-907629021731}" type="presOf" srcId="{855556B2-3A5C-4F41-9155-2BB7B0422E93}" destId="{794D5108-A297-4EF0-A768-F5A56A8AC452}" srcOrd="0" destOrd="0" presId="urn:microsoft.com/office/officeart/2005/8/layout/cycle4"/>
    <dgm:cxn modelId="{2C54D6D4-F818-4DB6-9C24-4EFE110B4821}" srcId="{7B86A013-BA51-45B5-84E4-05E6F6BFEDDD}" destId="{5E792EA3-BCDD-4AE8-80C5-306AD878F7AA}" srcOrd="1" destOrd="0" parTransId="{EE3D1289-73D0-4D29-B09C-1F752A3A3414}" sibTransId="{C147A5B6-8AF9-4FAD-9179-26A131D55521}"/>
    <dgm:cxn modelId="{64ADD2D6-9709-42C4-8336-4CF89EA554EB}" srcId="{4EFCA68B-CF27-4442-9134-BCD7E781C7E1}" destId="{B73E550F-8C1B-45FC-8A60-ABA8469141FA}" srcOrd="1" destOrd="0" parTransId="{6DA3F931-5FD3-4F2F-9A8E-35A563AC83C4}" sibTransId="{50448077-0306-42CF-9635-811282CF0280}"/>
    <dgm:cxn modelId="{65D1DFDB-2B2A-4A2A-89E1-BA59491B4C8D}" srcId="{4EFCA68B-CF27-4442-9134-BCD7E781C7E1}" destId="{FBF69818-DF73-4B7A-9358-DB6D628AA344}" srcOrd="0" destOrd="0" parTransId="{86557CE9-D07C-47E9-9645-1E0DADCDDF2A}" sibTransId="{9BEFEB69-EF5B-4D08-A3E7-1C56567168D3}"/>
    <dgm:cxn modelId="{9F404CEE-1A0D-45CD-8213-439B4F3D0378}" type="presOf" srcId="{4EFCA68B-CF27-4442-9134-BCD7E781C7E1}" destId="{F25795BE-952B-4F1F-8035-A4DCEAE9597D}" srcOrd="0" destOrd="0" presId="urn:microsoft.com/office/officeart/2005/8/layout/cycle4"/>
    <dgm:cxn modelId="{B38841BB-E0A5-42DD-86AD-78D89D2CDDBC}" type="presParOf" srcId="{EBB21017-5E06-429E-BD7C-548E5207C66E}" destId="{556AAA2F-1C28-487B-9915-72A814FC4F64}" srcOrd="0" destOrd="0" presId="urn:microsoft.com/office/officeart/2005/8/layout/cycle4"/>
    <dgm:cxn modelId="{B1F394F2-D7AA-4924-B1C2-AA076E2BF4DB}" type="presParOf" srcId="{556AAA2F-1C28-487B-9915-72A814FC4F64}" destId="{8741049F-1E05-454F-8359-5312F9258A32}" srcOrd="0" destOrd="0" presId="urn:microsoft.com/office/officeart/2005/8/layout/cycle4"/>
    <dgm:cxn modelId="{D7DD780A-BBCE-473E-8C6E-586795926D99}" type="presParOf" srcId="{8741049F-1E05-454F-8359-5312F9258A32}" destId="{B9785E39-8E2C-4EF3-B565-40E7FEA40276}" srcOrd="0" destOrd="0" presId="urn:microsoft.com/office/officeart/2005/8/layout/cycle4"/>
    <dgm:cxn modelId="{D696F1E9-C7F7-4410-9C71-F6F2DBD8512A}" type="presParOf" srcId="{8741049F-1E05-454F-8359-5312F9258A32}" destId="{9152E5E9-D6BD-4475-AC0A-FE6D758FE869}" srcOrd="1" destOrd="0" presId="urn:microsoft.com/office/officeart/2005/8/layout/cycle4"/>
    <dgm:cxn modelId="{DFB7C2B5-4CD0-4EB9-84BB-99CBB3AB454D}" type="presParOf" srcId="{556AAA2F-1C28-487B-9915-72A814FC4F64}" destId="{821FD336-6CC4-4901-905D-9D115985D3EF}" srcOrd="1" destOrd="0" presId="urn:microsoft.com/office/officeart/2005/8/layout/cycle4"/>
    <dgm:cxn modelId="{F7F76546-F8C7-400E-B598-5CA900609BF1}" type="presParOf" srcId="{821FD336-6CC4-4901-905D-9D115985D3EF}" destId="{B8D3A9CD-18AF-409B-8440-87B9088C0B63}" srcOrd="0" destOrd="0" presId="urn:microsoft.com/office/officeart/2005/8/layout/cycle4"/>
    <dgm:cxn modelId="{492F479C-8A1F-427F-AC65-FEE937FAED4D}" type="presParOf" srcId="{821FD336-6CC4-4901-905D-9D115985D3EF}" destId="{83512C29-8507-4210-8F93-DF0BBBB7BA43}" srcOrd="1" destOrd="0" presId="urn:microsoft.com/office/officeart/2005/8/layout/cycle4"/>
    <dgm:cxn modelId="{701BE3EC-B48C-41CF-A84C-6136A57B7E5D}" type="presParOf" srcId="{556AAA2F-1C28-487B-9915-72A814FC4F64}" destId="{DF2A974F-1D09-4920-96B1-691AF25683C4}" srcOrd="2" destOrd="0" presId="urn:microsoft.com/office/officeart/2005/8/layout/cycle4"/>
    <dgm:cxn modelId="{6C4409DB-9B7D-43DA-8B37-AAAE7818ADA4}" type="presParOf" srcId="{DF2A974F-1D09-4920-96B1-691AF25683C4}" destId="{794D5108-A297-4EF0-A768-F5A56A8AC452}" srcOrd="0" destOrd="0" presId="urn:microsoft.com/office/officeart/2005/8/layout/cycle4"/>
    <dgm:cxn modelId="{DF6E98C2-7372-492F-8D95-8A6FA29CCBCF}" type="presParOf" srcId="{DF2A974F-1D09-4920-96B1-691AF25683C4}" destId="{60D017FC-6431-44DB-9D40-0F0CE8CD98C0}" srcOrd="1" destOrd="0" presId="urn:microsoft.com/office/officeart/2005/8/layout/cycle4"/>
    <dgm:cxn modelId="{F7BCF51D-D1C9-4C2B-BE94-ADA9ADD6DF36}" type="presParOf" srcId="{556AAA2F-1C28-487B-9915-72A814FC4F64}" destId="{B8D0D20F-ABF6-4AED-8858-49013113F72A}" srcOrd="3" destOrd="0" presId="urn:microsoft.com/office/officeart/2005/8/layout/cycle4"/>
    <dgm:cxn modelId="{DB605978-AD28-4160-A883-E650ED2904E6}" type="presParOf" srcId="{B8D0D20F-ABF6-4AED-8858-49013113F72A}" destId="{B010AD24-CD59-403E-B183-38F592695608}" srcOrd="0" destOrd="0" presId="urn:microsoft.com/office/officeart/2005/8/layout/cycle4"/>
    <dgm:cxn modelId="{0A08B2E2-F108-4B20-A04C-262DFCB60769}" type="presParOf" srcId="{B8D0D20F-ABF6-4AED-8858-49013113F72A}" destId="{6D04BF62-3F53-4F1C-8896-54B31140E9E3}" srcOrd="1" destOrd="0" presId="urn:microsoft.com/office/officeart/2005/8/layout/cycle4"/>
    <dgm:cxn modelId="{38D80E77-12D2-48FA-83F3-94412B3B4227}" type="presParOf" srcId="{556AAA2F-1C28-487B-9915-72A814FC4F64}" destId="{E621BDD3-7B54-4F50-9C27-55ABC2371A0A}" srcOrd="4" destOrd="0" presId="urn:microsoft.com/office/officeart/2005/8/layout/cycle4"/>
    <dgm:cxn modelId="{4B38CE41-53E1-4838-9413-0222B16317C9}" type="presParOf" srcId="{EBB21017-5E06-429E-BD7C-548E5207C66E}" destId="{5384616D-57C6-456D-8437-D877125E85C3}" srcOrd="1" destOrd="0" presId="urn:microsoft.com/office/officeart/2005/8/layout/cycle4"/>
    <dgm:cxn modelId="{452DFABD-91CE-4AAE-8AB0-4ADEB6575AC3}" type="presParOf" srcId="{5384616D-57C6-456D-8437-D877125E85C3}" destId="{985E2737-CE10-47DB-B1EE-D9C1E11A39B8}" srcOrd="0" destOrd="0" presId="urn:microsoft.com/office/officeart/2005/8/layout/cycle4"/>
    <dgm:cxn modelId="{E7009C62-9DDF-4D8E-AA8D-6C8E5D2F204F}" type="presParOf" srcId="{5384616D-57C6-456D-8437-D877125E85C3}" destId="{F25795BE-952B-4F1F-8035-A4DCEAE9597D}" srcOrd="1" destOrd="0" presId="urn:microsoft.com/office/officeart/2005/8/layout/cycle4"/>
    <dgm:cxn modelId="{01E39B68-E473-4E26-8A5D-C96F72F33142}" type="presParOf" srcId="{5384616D-57C6-456D-8437-D877125E85C3}" destId="{0AD09135-7B04-449E-8A45-0FA95029C295}" srcOrd="2" destOrd="0" presId="urn:microsoft.com/office/officeart/2005/8/layout/cycle4"/>
    <dgm:cxn modelId="{5048A7BD-BB8A-4391-A7CB-E5B68237572B}" type="presParOf" srcId="{5384616D-57C6-456D-8437-D877125E85C3}" destId="{9860F119-93FC-46EB-947A-078EED5DE1B9}" srcOrd="3" destOrd="0" presId="urn:microsoft.com/office/officeart/2005/8/layout/cycle4"/>
    <dgm:cxn modelId="{03BAC0D5-9959-48FA-B285-BC08C132CC2C}" type="presParOf" srcId="{5384616D-57C6-456D-8437-D877125E85C3}" destId="{F93CF749-1D20-4483-8B5B-EE600CEB96D2}" srcOrd="4" destOrd="0" presId="urn:microsoft.com/office/officeart/2005/8/layout/cycle4"/>
    <dgm:cxn modelId="{0E1E09D7-6515-482D-B150-E65D48146865}" type="presParOf" srcId="{EBB21017-5E06-429E-BD7C-548E5207C66E}" destId="{C6DBC25C-EFA8-4E8B-AF39-3051CD928CD1}" srcOrd="2" destOrd="0" presId="urn:microsoft.com/office/officeart/2005/8/layout/cycle4"/>
    <dgm:cxn modelId="{EA802A04-A4F0-482F-9ACC-E492C49801C8}" type="presParOf" srcId="{EBB21017-5E06-429E-BD7C-548E5207C66E}" destId="{CCD4C035-7D61-4B46-99EB-9DD46B146FE8}" srcOrd="3" destOrd="0" presId="urn:microsoft.com/office/officeart/2005/8/layout/cycle4"/>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CABBFCA-C8BF-46A9-B1D9-CDFCA6C3F909}"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n-US"/>
        </a:p>
      </dgm:t>
    </dgm:pt>
    <dgm:pt modelId="{4C7C223C-BC4A-49F4-AF1C-FBE19E26722A}">
      <dgm:prSet phldrT="[Text]"/>
      <dgm:spPr/>
      <dgm:t>
        <a:bodyPr/>
        <a:lstStyle/>
        <a:p>
          <a:r>
            <a:rPr lang="en-US" dirty="0"/>
            <a:t>Forms of Environmental Accounting</a:t>
          </a:r>
        </a:p>
      </dgm:t>
    </dgm:pt>
    <dgm:pt modelId="{7C385E48-A0BF-4E3F-95F0-B645B1F0B289}" type="parTrans" cxnId="{4BAE2E4F-FA67-42AD-BF22-6C249E525A2B}">
      <dgm:prSet/>
      <dgm:spPr/>
      <dgm:t>
        <a:bodyPr/>
        <a:lstStyle/>
        <a:p>
          <a:endParaRPr lang="en-US"/>
        </a:p>
      </dgm:t>
    </dgm:pt>
    <dgm:pt modelId="{0F383487-F73D-47E1-ABF6-D446738F57A6}" type="sibTrans" cxnId="{4BAE2E4F-FA67-42AD-BF22-6C249E525A2B}">
      <dgm:prSet/>
      <dgm:spPr/>
      <dgm:t>
        <a:bodyPr/>
        <a:lstStyle/>
        <a:p>
          <a:endParaRPr lang="en-US"/>
        </a:p>
      </dgm:t>
    </dgm:pt>
    <dgm:pt modelId="{B245481B-D0C2-4752-B3B5-317078468D05}">
      <dgm:prSet phldrT="[Text]"/>
      <dgm:spPr/>
      <dgm:t>
        <a:bodyPr/>
        <a:lstStyle/>
        <a:p>
          <a:r>
            <a:rPr lang="en-US" dirty="0"/>
            <a:t>Environmental Management Accounting (EMA)</a:t>
          </a:r>
        </a:p>
      </dgm:t>
    </dgm:pt>
    <dgm:pt modelId="{A3F5F771-9B88-48D9-8D4C-1BF108B65AA7}" type="parTrans" cxnId="{1782B1D1-DC65-43DA-B33A-704CCB664191}">
      <dgm:prSet/>
      <dgm:spPr/>
      <dgm:t>
        <a:bodyPr/>
        <a:lstStyle/>
        <a:p>
          <a:endParaRPr lang="en-US"/>
        </a:p>
      </dgm:t>
    </dgm:pt>
    <dgm:pt modelId="{8F885CDB-7398-4642-891A-6E199E2BF5D1}" type="sibTrans" cxnId="{1782B1D1-DC65-43DA-B33A-704CCB664191}">
      <dgm:prSet/>
      <dgm:spPr/>
      <dgm:t>
        <a:bodyPr/>
        <a:lstStyle/>
        <a:p>
          <a:endParaRPr lang="en-US"/>
        </a:p>
      </dgm:t>
    </dgm:pt>
    <dgm:pt modelId="{1D3F725F-6BC2-4577-BC09-752B8F5C6691}">
      <dgm:prSet phldrT="[Text]"/>
      <dgm:spPr/>
      <dgm:t>
        <a:bodyPr/>
        <a:lstStyle/>
        <a:p>
          <a:r>
            <a:rPr lang="en-US" dirty="0"/>
            <a:t>Environmental Financial Accounting (EFA)</a:t>
          </a:r>
        </a:p>
      </dgm:t>
    </dgm:pt>
    <dgm:pt modelId="{9002755E-8958-4133-A7F0-FD5561C2EBED}" type="parTrans" cxnId="{8FA8840C-8ED2-427D-ABE8-6338F5C8823B}">
      <dgm:prSet/>
      <dgm:spPr/>
      <dgm:t>
        <a:bodyPr/>
        <a:lstStyle/>
        <a:p>
          <a:endParaRPr lang="en-US"/>
        </a:p>
      </dgm:t>
    </dgm:pt>
    <dgm:pt modelId="{CBA57777-CC15-48AE-855E-9FB0C3647431}" type="sibTrans" cxnId="{8FA8840C-8ED2-427D-ABE8-6338F5C8823B}">
      <dgm:prSet/>
      <dgm:spPr/>
      <dgm:t>
        <a:bodyPr/>
        <a:lstStyle/>
        <a:p>
          <a:endParaRPr lang="en-US"/>
        </a:p>
      </dgm:t>
    </dgm:pt>
    <dgm:pt modelId="{9F1BCCAE-EB67-44A3-81ED-8A0102960453}">
      <dgm:prSet phldrT="[Text]"/>
      <dgm:spPr/>
      <dgm:t>
        <a:bodyPr/>
        <a:lstStyle/>
        <a:p>
          <a:r>
            <a:rPr lang="en-US" dirty="0"/>
            <a:t>Environmental </a:t>
          </a:r>
          <a:r>
            <a:rPr lang="en-US"/>
            <a:t>National Accounting (ENA)</a:t>
          </a:r>
        </a:p>
      </dgm:t>
    </dgm:pt>
    <dgm:pt modelId="{A3683696-AA3C-41AA-80C3-F63622968D5B}" type="parTrans" cxnId="{8E6E9C5C-212D-4E50-A202-A4C7B65D3893}">
      <dgm:prSet/>
      <dgm:spPr/>
      <dgm:t>
        <a:bodyPr/>
        <a:lstStyle/>
        <a:p>
          <a:endParaRPr lang="en-US"/>
        </a:p>
      </dgm:t>
    </dgm:pt>
    <dgm:pt modelId="{076404A6-E6E4-476F-A5A8-FADF115A8109}" type="sibTrans" cxnId="{8E6E9C5C-212D-4E50-A202-A4C7B65D3893}">
      <dgm:prSet/>
      <dgm:spPr/>
      <dgm:t>
        <a:bodyPr/>
        <a:lstStyle/>
        <a:p>
          <a:endParaRPr lang="en-US"/>
        </a:p>
      </dgm:t>
    </dgm:pt>
    <dgm:pt modelId="{5834FC00-AE3B-45D2-AC78-DED18C02DB74}" type="pres">
      <dgm:prSet presAssocID="{6CABBFCA-C8BF-46A9-B1D9-CDFCA6C3F909}" presName="Name0" presStyleCnt="0">
        <dgm:presLayoutVars>
          <dgm:chPref val="1"/>
          <dgm:dir/>
          <dgm:animOne val="branch"/>
          <dgm:animLvl val="lvl"/>
          <dgm:resizeHandles val="exact"/>
        </dgm:presLayoutVars>
      </dgm:prSet>
      <dgm:spPr/>
    </dgm:pt>
    <dgm:pt modelId="{7E784C16-0F8F-4CFB-A4AF-092464262C4F}" type="pres">
      <dgm:prSet presAssocID="{4C7C223C-BC4A-49F4-AF1C-FBE19E26722A}" presName="root1" presStyleCnt="0"/>
      <dgm:spPr/>
    </dgm:pt>
    <dgm:pt modelId="{E4924A7F-7E75-42CA-AC9F-247998158CC6}" type="pres">
      <dgm:prSet presAssocID="{4C7C223C-BC4A-49F4-AF1C-FBE19E26722A}" presName="LevelOneTextNode" presStyleLbl="node0" presStyleIdx="0" presStyleCnt="1">
        <dgm:presLayoutVars>
          <dgm:chPref val="3"/>
        </dgm:presLayoutVars>
      </dgm:prSet>
      <dgm:spPr/>
    </dgm:pt>
    <dgm:pt modelId="{0FF59A88-341A-4914-8076-B3BC928F577E}" type="pres">
      <dgm:prSet presAssocID="{4C7C223C-BC4A-49F4-AF1C-FBE19E26722A}" presName="level2hierChild" presStyleCnt="0"/>
      <dgm:spPr/>
    </dgm:pt>
    <dgm:pt modelId="{0E5FA1E5-BEBC-4AF0-BD75-8835A1DF0C06}" type="pres">
      <dgm:prSet presAssocID="{A3F5F771-9B88-48D9-8D4C-1BF108B65AA7}" presName="conn2-1" presStyleLbl="parChTrans1D2" presStyleIdx="0" presStyleCnt="3"/>
      <dgm:spPr/>
    </dgm:pt>
    <dgm:pt modelId="{326F2625-2212-4009-AF01-913F959FC017}" type="pres">
      <dgm:prSet presAssocID="{A3F5F771-9B88-48D9-8D4C-1BF108B65AA7}" presName="connTx" presStyleLbl="parChTrans1D2" presStyleIdx="0" presStyleCnt="3"/>
      <dgm:spPr/>
    </dgm:pt>
    <dgm:pt modelId="{B24BF2CC-32F1-433C-86F3-4C16605A54D5}" type="pres">
      <dgm:prSet presAssocID="{B245481B-D0C2-4752-B3B5-317078468D05}" presName="root2" presStyleCnt="0"/>
      <dgm:spPr/>
    </dgm:pt>
    <dgm:pt modelId="{82B5C15A-86BB-48D7-BEAA-A5FA26716C18}" type="pres">
      <dgm:prSet presAssocID="{B245481B-D0C2-4752-B3B5-317078468D05}" presName="LevelTwoTextNode" presStyleLbl="node2" presStyleIdx="0" presStyleCnt="3">
        <dgm:presLayoutVars>
          <dgm:chPref val="3"/>
        </dgm:presLayoutVars>
      </dgm:prSet>
      <dgm:spPr/>
    </dgm:pt>
    <dgm:pt modelId="{3F552B62-351F-439C-B3FA-E9B4D1ABDAB8}" type="pres">
      <dgm:prSet presAssocID="{B245481B-D0C2-4752-B3B5-317078468D05}" presName="level3hierChild" presStyleCnt="0"/>
      <dgm:spPr/>
    </dgm:pt>
    <dgm:pt modelId="{59463BA7-B89A-4C35-95AC-DECE4626D17A}" type="pres">
      <dgm:prSet presAssocID="{9002755E-8958-4133-A7F0-FD5561C2EBED}" presName="conn2-1" presStyleLbl="parChTrans1D2" presStyleIdx="1" presStyleCnt="3"/>
      <dgm:spPr/>
    </dgm:pt>
    <dgm:pt modelId="{12494383-0E0C-4396-864E-065CA0097B75}" type="pres">
      <dgm:prSet presAssocID="{9002755E-8958-4133-A7F0-FD5561C2EBED}" presName="connTx" presStyleLbl="parChTrans1D2" presStyleIdx="1" presStyleCnt="3"/>
      <dgm:spPr/>
    </dgm:pt>
    <dgm:pt modelId="{D59F6C7C-CB33-464B-BF1B-A05A78B1B528}" type="pres">
      <dgm:prSet presAssocID="{1D3F725F-6BC2-4577-BC09-752B8F5C6691}" presName="root2" presStyleCnt="0"/>
      <dgm:spPr/>
    </dgm:pt>
    <dgm:pt modelId="{A0479258-1A47-4A12-92FD-B556C461E108}" type="pres">
      <dgm:prSet presAssocID="{1D3F725F-6BC2-4577-BC09-752B8F5C6691}" presName="LevelTwoTextNode" presStyleLbl="node2" presStyleIdx="1" presStyleCnt="3">
        <dgm:presLayoutVars>
          <dgm:chPref val="3"/>
        </dgm:presLayoutVars>
      </dgm:prSet>
      <dgm:spPr/>
    </dgm:pt>
    <dgm:pt modelId="{138717E4-145E-41E2-A29F-B7C0E135E678}" type="pres">
      <dgm:prSet presAssocID="{1D3F725F-6BC2-4577-BC09-752B8F5C6691}" presName="level3hierChild" presStyleCnt="0"/>
      <dgm:spPr/>
    </dgm:pt>
    <dgm:pt modelId="{E247270E-9426-45AF-A762-3CB945E6ABF8}" type="pres">
      <dgm:prSet presAssocID="{A3683696-AA3C-41AA-80C3-F63622968D5B}" presName="conn2-1" presStyleLbl="parChTrans1D2" presStyleIdx="2" presStyleCnt="3"/>
      <dgm:spPr/>
    </dgm:pt>
    <dgm:pt modelId="{1CE1D294-D9EC-44FA-B6E8-73080DAD3FC4}" type="pres">
      <dgm:prSet presAssocID="{A3683696-AA3C-41AA-80C3-F63622968D5B}" presName="connTx" presStyleLbl="parChTrans1D2" presStyleIdx="2" presStyleCnt="3"/>
      <dgm:spPr/>
    </dgm:pt>
    <dgm:pt modelId="{2DC9CC2C-3A8A-41C0-BEE9-1F044029A822}" type="pres">
      <dgm:prSet presAssocID="{9F1BCCAE-EB67-44A3-81ED-8A0102960453}" presName="root2" presStyleCnt="0"/>
      <dgm:spPr/>
    </dgm:pt>
    <dgm:pt modelId="{7A742397-4BA0-4E4A-BEBC-78DB01E42792}" type="pres">
      <dgm:prSet presAssocID="{9F1BCCAE-EB67-44A3-81ED-8A0102960453}" presName="LevelTwoTextNode" presStyleLbl="node2" presStyleIdx="2" presStyleCnt="3">
        <dgm:presLayoutVars>
          <dgm:chPref val="3"/>
        </dgm:presLayoutVars>
      </dgm:prSet>
      <dgm:spPr/>
    </dgm:pt>
    <dgm:pt modelId="{912B164F-38A7-4F3F-A536-9BB83258EACF}" type="pres">
      <dgm:prSet presAssocID="{9F1BCCAE-EB67-44A3-81ED-8A0102960453}" presName="level3hierChild" presStyleCnt="0"/>
      <dgm:spPr/>
    </dgm:pt>
  </dgm:ptLst>
  <dgm:cxnLst>
    <dgm:cxn modelId="{95460907-1580-4464-A563-511C9D6181B4}" type="presOf" srcId="{9002755E-8958-4133-A7F0-FD5561C2EBED}" destId="{59463BA7-B89A-4C35-95AC-DECE4626D17A}" srcOrd="0" destOrd="0" presId="urn:microsoft.com/office/officeart/2008/layout/HorizontalMultiLevelHierarchy"/>
    <dgm:cxn modelId="{E92C1D09-7C76-4CCB-B12D-2A4674D1C587}" type="presOf" srcId="{9002755E-8958-4133-A7F0-FD5561C2EBED}" destId="{12494383-0E0C-4396-864E-065CA0097B75}" srcOrd="1" destOrd="0" presId="urn:microsoft.com/office/officeart/2008/layout/HorizontalMultiLevelHierarchy"/>
    <dgm:cxn modelId="{F0C8C909-A709-4BED-83F3-2DE257C47AA5}" type="presOf" srcId="{9F1BCCAE-EB67-44A3-81ED-8A0102960453}" destId="{7A742397-4BA0-4E4A-BEBC-78DB01E42792}" srcOrd="0" destOrd="0" presId="urn:microsoft.com/office/officeart/2008/layout/HorizontalMultiLevelHierarchy"/>
    <dgm:cxn modelId="{8FA8840C-8ED2-427D-ABE8-6338F5C8823B}" srcId="{4C7C223C-BC4A-49F4-AF1C-FBE19E26722A}" destId="{1D3F725F-6BC2-4577-BC09-752B8F5C6691}" srcOrd="1" destOrd="0" parTransId="{9002755E-8958-4133-A7F0-FD5561C2EBED}" sibTransId="{CBA57777-CC15-48AE-855E-9FB0C3647431}"/>
    <dgm:cxn modelId="{67F1C70D-068F-4C04-B9F0-F8ACC63BAF0F}" type="presOf" srcId="{A3F5F771-9B88-48D9-8D4C-1BF108B65AA7}" destId="{326F2625-2212-4009-AF01-913F959FC017}" srcOrd="1" destOrd="0" presId="urn:microsoft.com/office/officeart/2008/layout/HorizontalMultiLevelHierarchy"/>
    <dgm:cxn modelId="{C1B1861C-5A01-4727-9FA9-1157DBCC668B}" type="presOf" srcId="{A3683696-AA3C-41AA-80C3-F63622968D5B}" destId="{1CE1D294-D9EC-44FA-B6E8-73080DAD3FC4}" srcOrd="1" destOrd="0" presId="urn:microsoft.com/office/officeart/2008/layout/HorizontalMultiLevelHierarchy"/>
    <dgm:cxn modelId="{350CA837-BF60-4B71-9815-97C21C3B0525}" type="presOf" srcId="{A3F5F771-9B88-48D9-8D4C-1BF108B65AA7}" destId="{0E5FA1E5-BEBC-4AF0-BD75-8835A1DF0C06}" srcOrd="0" destOrd="0" presId="urn:microsoft.com/office/officeart/2008/layout/HorizontalMultiLevelHierarchy"/>
    <dgm:cxn modelId="{8E6E9C5C-212D-4E50-A202-A4C7B65D3893}" srcId="{4C7C223C-BC4A-49F4-AF1C-FBE19E26722A}" destId="{9F1BCCAE-EB67-44A3-81ED-8A0102960453}" srcOrd="2" destOrd="0" parTransId="{A3683696-AA3C-41AA-80C3-F63622968D5B}" sibTransId="{076404A6-E6E4-476F-A5A8-FADF115A8109}"/>
    <dgm:cxn modelId="{B0475541-39D4-4634-B280-97708766D56A}" type="presOf" srcId="{1D3F725F-6BC2-4577-BC09-752B8F5C6691}" destId="{A0479258-1A47-4A12-92FD-B556C461E108}" srcOrd="0" destOrd="0" presId="urn:microsoft.com/office/officeart/2008/layout/HorizontalMultiLevelHierarchy"/>
    <dgm:cxn modelId="{8F70B368-2424-4F24-BBF2-9AB83672960A}" type="presOf" srcId="{A3683696-AA3C-41AA-80C3-F63622968D5B}" destId="{E247270E-9426-45AF-A762-3CB945E6ABF8}" srcOrd="0" destOrd="0" presId="urn:microsoft.com/office/officeart/2008/layout/HorizontalMultiLevelHierarchy"/>
    <dgm:cxn modelId="{4BAE2E4F-FA67-42AD-BF22-6C249E525A2B}" srcId="{6CABBFCA-C8BF-46A9-B1D9-CDFCA6C3F909}" destId="{4C7C223C-BC4A-49F4-AF1C-FBE19E26722A}" srcOrd="0" destOrd="0" parTransId="{7C385E48-A0BF-4E3F-95F0-B645B1F0B289}" sibTransId="{0F383487-F73D-47E1-ABF6-D446738F57A6}"/>
    <dgm:cxn modelId="{AE784FC6-8FD9-4C58-8102-FB89912D841F}" type="presOf" srcId="{6CABBFCA-C8BF-46A9-B1D9-CDFCA6C3F909}" destId="{5834FC00-AE3B-45D2-AC78-DED18C02DB74}" srcOrd="0" destOrd="0" presId="urn:microsoft.com/office/officeart/2008/layout/HorizontalMultiLevelHierarchy"/>
    <dgm:cxn modelId="{1CB10FCC-1DC2-4521-A9A1-88CB2C44F913}" type="presOf" srcId="{4C7C223C-BC4A-49F4-AF1C-FBE19E26722A}" destId="{E4924A7F-7E75-42CA-AC9F-247998158CC6}" srcOrd="0" destOrd="0" presId="urn:microsoft.com/office/officeart/2008/layout/HorizontalMultiLevelHierarchy"/>
    <dgm:cxn modelId="{1782B1D1-DC65-43DA-B33A-704CCB664191}" srcId="{4C7C223C-BC4A-49F4-AF1C-FBE19E26722A}" destId="{B245481B-D0C2-4752-B3B5-317078468D05}" srcOrd="0" destOrd="0" parTransId="{A3F5F771-9B88-48D9-8D4C-1BF108B65AA7}" sibTransId="{8F885CDB-7398-4642-891A-6E199E2BF5D1}"/>
    <dgm:cxn modelId="{920151E1-5C87-4828-A8D9-36FECD805276}" type="presOf" srcId="{B245481B-D0C2-4752-B3B5-317078468D05}" destId="{82B5C15A-86BB-48D7-BEAA-A5FA26716C18}" srcOrd="0" destOrd="0" presId="urn:microsoft.com/office/officeart/2008/layout/HorizontalMultiLevelHierarchy"/>
    <dgm:cxn modelId="{927386B1-FDF5-4729-903A-0A854497D737}" type="presParOf" srcId="{5834FC00-AE3B-45D2-AC78-DED18C02DB74}" destId="{7E784C16-0F8F-4CFB-A4AF-092464262C4F}" srcOrd="0" destOrd="0" presId="urn:microsoft.com/office/officeart/2008/layout/HorizontalMultiLevelHierarchy"/>
    <dgm:cxn modelId="{B5EABC7E-4A25-4541-8F0B-086BF6962D9F}" type="presParOf" srcId="{7E784C16-0F8F-4CFB-A4AF-092464262C4F}" destId="{E4924A7F-7E75-42CA-AC9F-247998158CC6}" srcOrd="0" destOrd="0" presId="urn:microsoft.com/office/officeart/2008/layout/HorizontalMultiLevelHierarchy"/>
    <dgm:cxn modelId="{5A350F1D-E4BD-4572-BCE3-9FD98EB81903}" type="presParOf" srcId="{7E784C16-0F8F-4CFB-A4AF-092464262C4F}" destId="{0FF59A88-341A-4914-8076-B3BC928F577E}" srcOrd="1" destOrd="0" presId="urn:microsoft.com/office/officeart/2008/layout/HorizontalMultiLevelHierarchy"/>
    <dgm:cxn modelId="{B4F65E91-2256-4496-A46A-FE91627D19D7}" type="presParOf" srcId="{0FF59A88-341A-4914-8076-B3BC928F577E}" destId="{0E5FA1E5-BEBC-4AF0-BD75-8835A1DF0C06}" srcOrd="0" destOrd="0" presId="urn:microsoft.com/office/officeart/2008/layout/HorizontalMultiLevelHierarchy"/>
    <dgm:cxn modelId="{12BEBDEA-3D3F-4EF6-9AAA-59E4E2BF19A6}" type="presParOf" srcId="{0E5FA1E5-BEBC-4AF0-BD75-8835A1DF0C06}" destId="{326F2625-2212-4009-AF01-913F959FC017}" srcOrd="0" destOrd="0" presId="urn:microsoft.com/office/officeart/2008/layout/HorizontalMultiLevelHierarchy"/>
    <dgm:cxn modelId="{4BA6049E-B39F-48C8-A5B7-240D97F55E9C}" type="presParOf" srcId="{0FF59A88-341A-4914-8076-B3BC928F577E}" destId="{B24BF2CC-32F1-433C-86F3-4C16605A54D5}" srcOrd="1" destOrd="0" presId="urn:microsoft.com/office/officeart/2008/layout/HorizontalMultiLevelHierarchy"/>
    <dgm:cxn modelId="{E6FE4FD7-48C4-47DD-97DD-577518EB5FF2}" type="presParOf" srcId="{B24BF2CC-32F1-433C-86F3-4C16605A54D5}" destId="{82B5C15A-86BB-48D7-BEAA-A5FA26716C18}" srcOrd="0" destOrd="0" presId="urn:microsoft.com/office/officeart/2008/layout/HorizontalMultiLevelHierarchy"/>
    <dgm:cxn modelId="{AD8448AE-FB40-4044-B591-4E516E6BD7A8}" type="presParOf" srcId="{B24BF2CC-32F1-433C-86F3-4C16605A54D5}" destId="{3F552B62-351F-439C-B3FA-E9B4D1ABDAB8}" srcOrd="1" destOrd="0" presId="urn:microsoft.com/office/officeart/2008/layout/HorizontalMultiLevelHierarchy"/>
    <dgm:cxn modelId="{DCE086AF-B3DD-408B-93FE-EE950BC7C0CC}" type="presParOf" srcId="{0FF59A88-341A-4914-8076-B3BC928F577E}" destId="{59463BA7-B89A-4C35-95AC-DECE4626D17A}" srcOrd="2" destOrd="0" presId="urn:microsoft.com/office/officeart/2008/layout/HorizontalMultiLevelHierarchy"/>
    <dgm:cxn modelId="{D97B202C-7F74-472A-8BCD-00DAFAC96569}" type="presParOf" srcId="{59463BA7-B89A-4C35-95AC-DECE4626D17A}" destId="{12494383-0E0C-4396-864E-065CA0097B75}" srcOrd="0" destOrd="0" presId="urn:microsoft.com/office/officeart/2008/layout/HorizontalMultiLevelHierarchy"/>
    <dgm:cxn modelId="{0B066986-012A-479C-AB89-8E685A1E710A}" type="presParOf" srcId="{0FF59A88-341A-4914-8076-B3BC928F577E}" destId="{D59F6C7C-CB33-464B-BF1B-A05A78B1B528}" srcOrd="3" destOrd="0" presId="urn:microsoft.com/office/officeart/2008/layout/HorizontalMultiLevelHierarchy"/>
    <dgm:cxn modelId="{B79C28ED-E4F6-4C92-B01D-B6E7E3ED838E}" type="presParOf" srcId="{D59F6C7C-CB33-464B-BF1B-A05A78B1B528}" destId="{A0479258-1A47-4A12-92FD-B556C461E108}" srcOrd="0" destOrd="0" presId="urn:microsoft.com/office/officeart/2008/layout/HorizontalMultiLevelHierarchy"/>
    <dgm:cxn modelId="{4C27EB29-06CA-4DB8-8143-A553B3B86C91}" type="presParOf" srcId="{D59F6C7C-CB33-464B-BF1B-A05A78B1B528}" destId="{138717E4-145E-41E2-A29F-B7C0E135E678}" srcOrd="1" destOrd="0" presId="urn:microsoft.com/office/officeart/2008/layout/HorizontalMultiLevelHierarchy"/>
    <dgm:cxn modelId="{9E70EBEF-EC07-46F6-8676-E69860674B9F}" type="presParOf" srcId="{0FF59A88-341A-4914-8076-B3BC928F577E}" destId="{E247270E-9426-45AF-A762-3CB945E6ABF8}" srcOrd="4" destOrd="0" presId="urn:microsoft.com/office/officeart/2008/layout/HorizontalMultiLevelHierarchy"/>
    <dgm:cxn modelId="{EBB8D283-3E80-4CA8-8BA0-F6A4AFC480B1}" type="presParOf" srcId="{E247270E-9426-45AF-A762-3CB945E6ABF8}" destId="{1CE1D294-D9EC-44FA-B6E8-73080DAD3FC4}" srcOrd="0" destOrd="0" presId="urn:microsoft.com/office/officeart/2008/layout/HorizontalMultiLevelHierarchy"/>
    <dgm:cxn modelId="{26EAD928-8996-4936-9258-930A9A24879A}" type="presParOf" srcId="{0FF59A88-341A-4914-8076-B3BC928F577E}" destId="{2DC9CC2C-3A8A-41C0-BEE9-1F044029A822}" srcOrd="5" destOrd="0" presId="urn:microsoft.com/office/officeart/2008/layout/HorizontalMultiLevelHierarchy"/>
    <dgm:cxn modelId="{BE686D18-755D-4136-9AF5-3DABBBFD2178}" type="presParOf" srcId="{2DC9CC2C-3A8A-41C0-BEE9-1F044029A822}" destId="{7A742397-4BA0-4E4A-BEBC-78DB01E42792}" srcOrd="0" destOrd="0" presId="urn:microsoft.com/office/officeart/2008/layout/HorizontalMultiLevelHierarchy"/>
    <dgm:cxn modelId="{171EA31D-B0A1-4A2C-9E29-353BDF901BF4}" type="presParOf" srcId="{2DC9CC2C-3A8A-41C0-BEE9-1F044029A822}" destId="{912B164F-38A7-4F3F-A536-9BB83258EACF}" srcOrd="1" destOrd="0" presId="urn:microsoft.com/office/officeart/2008/layout/HorizontalMultiLevelHierarchy"/>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4D5108-A297-4EF0-A768-F5A56A8AC452}">
      <dsp:nvSpPr>
        <dsp:cNvPr id="0" name=""/>
        <dsp:cNvSpPr/>
      </dsp:nvSpPr>
      <dsp:spPr>
        <a:xfrm>
          <a:off x="2744469" y="1943099"/>
          <a:ext cx="1411605" cy="91440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l" defTabSz="355600">
            <a:lnSpc>
              <a:spcPct val="90000"/>
            </a:lnSpc>
            <a:spcBef>
              <a:spcPct val="0"/>
            </a:spcBef>
            <a:spcAft>
              <a:spcPct val="15000"/>
            </a:spcAft>
            <a:buChar char="•"/>
          </a:pPr>
          <a:r>
            <a:rPr lang="en-US" sz="800" kern="1200" dirty="0"/>
            <a:t>Develop Ongoing management</a:t>
          </a:r>
        </a:p>
        <a:p>
          <a:pPr marL="57150" lvl="1" indent="-57150" algn="l" defTabSz="355600">
            <a:lnSpc>
              <a:spcPct val="90000"/>
            </a:lnSpc>
            <a:spcBef>
              <a:spcPct val="0"/>
            </a:spcBef>
            <a:spcAft>
              <a:spcPct val="15000"/>
            </a:spcAft>
            <a:buChar char="•"/>
          </a:pPr>
          <a:r>
            <a:rPr lang="en-US" sz="800" kern="1200" dirty="0"/>
            <a:t>Audit</a:t>
          </a:r>
        </a:p>
      </dsp:txBody>
      <dsp:txXfrm>
        <a:off x="3188037" y="2191785"/>
        <a:ext cx="947951" cy="645628"/>
      </dsp:txXfrm>
    </dsp:sp>
    <dsp:sp modelId="{B010AD24-CD59-403E-B183-38F592695608}">
      <dsp:nvSpPr>
        <dsp:cNvPr id="0" name=""/>
        <dsp:cNvSpPr/>
      </dsp:nvSpPr>
      <dsp:spPr>
        <a:xfrm>
          <a:off x="441324" y="1943099"/>
          <a:ext cx="1411605" cy="91440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l" defTabSz="355600">
            <a:lnSpc>
              <a:spcPct val="90000"/>
            </a:lnSpc>
            <a:spcBef>
              <a:spcPct val="0"/>
            </a:spcBef>
            <a:spcAft>
              <a:spcPct val="15000"/>
            </a:spcAft>
            <a:buChar char="•"/>
          </a:pPr>
          <a:r>
            <a:rPr lang="en-US" sz="800" kern="1200" dirty="0"/>
            <a:t>Evaluate &amp; Adjust EMS</a:t>
          </a:r>
        </a:p>
        <a:p>
          <a:pPr marL="57150" lvl="1" indent="-57150" algn="l" defTabSz="355600">
            <a:lnSpc>
              <a:spcPct val="90000"/>
            </a:lnSpc>
            <a:spcBef>
              <a:spcPct val="0"/>
            </a:spcBef>
            <a:spcAft>
              <a:spcPct val="15000"/>
            </a:spcAft>
            <a:buChar char="•"/>
          </a:pPr>
          <a:r>
            <a:rPr lang="en-US" sz="800" kern="1200" dirty="0"/>
            <a:t>Management Review </a:t>
          </a:r>
        </a:p>
      </dsp:txBody>
      <dsp:txXfrm>
        <a:off x="461410" y="2191785"/>
        <a:ext cx="947951" cy="645628"/>
      </dsp:txXfrm>
    </dsp:sp>
    <dsp:sp modelId="{B8D3A9CD-18AF-409B-8440-87B9088C0B63}">
      <dsp:nvSpPr>
        <dsp:cNvPr id="0" name=""/>
        <dsp:cNvSpPr/>
      </dsp:nvSpPr>
      <dsp:spPr>
        <a:xfrm>
          <a:off x="2744469" y="0"/>
          <a:ext cx="1411605" cy="91440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l" defTabSz="355600">
            <a:lnSpc>
              <a:spcPct val="90000"/>
            </a:lnSpc>
            <a:spcBef>
              <a:spcPct val="0"/>
            </a:spcBef>
            <a:spcAft>
              <a:spcPct val="15000"/>
            </a:spcAft>
            <a:buChar char="•"/>
          </a:pPr>
          <a:r>
            <a:rPr lang="en-US" sz="800" kern="1200" dirty="0"/>
            <a:t>Implementation</a:t>
          </a:r>
        </a:p>
        <a:p>
          <a:pPr marL="57150" lvl="1" indent="-57150" algn="l" defTabSz="355600">
            <a:lnSpc>
              <a:spcPct val="90000"/>
            </a:lnSpc>
            <a:spcBef>
              <a:spcPct val="0"/>
            </a:spcBef>
            <a:spcAft>
              <a:spcPct val="15000"/>
            </a:spcAft>
            <a:buChar char="•"/>
          </a:pPr>
          <a:endParaRPr lang="en-US" sz="800" kern="1200" dirty="0"/>
        </a:p>
      </dsp:txBody>
      <dsp:txXfrm>
        <a:off x="3188037" y="20086"/>
        <a:ext cx="947951" cy="645628"/>
      </dsp:txXfrm>
    </dsp:sp>
    <dsp:sp modelId="{B9785E39-8E2C-4EF3-B565-40E7FEA40276}">
      <dsp:nvSpPr>
        <dsp:cNvPr id="0" name=""/>
        <dsp:cNvSpPr/>
      </dsp:nvSpPr>
      <dsp:spPr>
        <a:xfrm>
          <a:off x="441324" y="0"/>
          <a:ext cx="1411605" cy="91440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l" defTabSz="355600">
            <a:lnSpc>
              <a:spcPct val="90000"/>
            </a:lnSpc>
            <a:spcBef>
              <a:spcPct val="0"/>
            </a:spcBef>
            <a:spcAft>
              <a:spcPct val="15000"/>
            </a:spcAft>
            <a:buChar char="•"/>
          </a:pPr>
          <a:r>
            <a:rPr lang="en-US" sz="800" kern="1200" dirty="0"/>
            <a:t>Identify needs/goals</a:t>
          </a:r>
        </a:p>
        <a:p>
          <a:pPr marL="57150" lvl="1" indent="-57150" algn="l" defTabSz="355600">
            <a:lnSpc>
              <a:spcPct val="90000"/>
            </a:lnSpc>
            <a:spcBef>
              <a:spcPct val="0"/>
            </a:spcBef>
            <a:spcAft>
              <a:spcPct val="15000"/>
            </a:spcAft>
            <a:buChar char="•"/>
          </a:pPr>
          <a:r>
            <a:rPr lang="en-US" sz="800" kern="1200" dirty="0"/>
            <a:t>Determine Appropriate Action</a:t>
          </a:r>
        </a:p>
      </dsp:txBody>
      <dsp:txXfrm>
        <a:off x="461410" y="20086"/>
        <a:ext cx="947951" cy="645628"/>
      </dsp:txXfrm>
    </dsp:sp>
    <dsp:sp modelId="{985E2737-CE10-47DB-B1EE-D9C1E11A39B8}">
      <dsp:nvSpPr>
        <dsp:cNvPr id="0" name=""/>
        <dsp:cNvSpPr/>
      </dsp:nvSpPr>
      <dsp:spPr>
        <a:xfrm>
          <a:off x="1032827" y="162877"/>
          <a:ext cx="1237297" cy="1237297"/>
        </a:xfrm>
        <a:prstGeom prst="pieWedg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5128" tIns="135128" rIns="135128" bIns="135128" numCol="1" spcCol="1270" anchor="ctr" anchorCtr="0">
          <a:noAutofit/>
        </a:bodyPr>
        <a:lstStyle/>
        <a:p>
          <a:pPr marL="0" lvl="0" indent="0" algn="ctr" defTabSz="844550">
            <a:lnSpc>
              <a:spcPct val="90000"/>
            </a:lnSpc>
            <a:spcBef>
              <a:spcPct val="0"/>
            </a:spcBef>
            <a:spcAft>
              <a:spcPct val="35000"/>
            </a:spcAft>
            <a:buNone/>
          </a:pPr>
          <a:r>
            <a:rPr lang="en-US" sz="1900" kern="1200" dirty="0"/>
            <a:t>Plan</a:t>
          </a:r>
        </a:p>
      </dsp:txBody>
      <dsp:txXfrm>
        <a:off x="1395223" y="525273"/>
        <a:ext cx="874901" cy="874901"/>
      </dsp:txXfrm>
    </dsp:sp>
    <dsp:sp modelId="{F25795BE-952B-4F1F-8035-A4DCEAE9597D}">
      <dsp:nvSpPr>
        <dsp:cNvPr id="0" name=""/>
        <dsp:cNvSpPr/>
      </dsp:nvSpPr>
      <dsp:spPr>
        <a:xfrm rot="5400000">
          <a:off x="2327275" y="162877"/>
          <a:ext cx="1237297" cy="1237297"/>
        </a:xfrm>
        <a:prstGeom prst="pieWedg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5128" tIns="135128" rIns="135128" bIns="135128" numCol="1" spcCol="1270" anchor="ctr" anchorCtr="0">
          <a:noAutofit/>
        </a:bodyPr>
        <a:lstStyle/>
        <a:p>
          <a:pPr marL="0" lvl="0" indent="0" algn="ctr" defTabSz="844550">
            <a:lnSpc>
              <a:spcPct val="90000"/>
            </a:lnSpc>
            <a:spcBef>
              <a:spcPct val="0"/>
            </a:spcBef>
            <a:spcAft>
              <a:spcPct val="35000"/>
            </a:spcAft>
            <a:buNone/>
          </a:pPr>
          <a:r>
            <a:rPr lang="en-US" sz="1900" kern="1200" dirty="0"/>
            <a:t>Do</a:t>
          </a:r>
        </a:p>
      </dsp:txBody>
      <dsp:txXfrm rot="-5400000">
        <a:off x="2327275" y="525273"/>
        <a:ext cx="874901" cy="874901"/>
      </dsp:txXfrm>
    </dsp:sp>
    <dsp:sp modelId="{0AD09135-7B04-449E-8A45-0FA95029C295}">
      <dsp:nvSpPr>
        <dsp:cNvPr id="0" name=""/>
        <dsp:cNvSpPr/>
      </dsp:nvSpPr>
      <dsp:spPr>
        <a:xfrm rot="10800000">
          <a:off x="2327275" y="1457325"/>
          <a:ext cx="1237297" cy="1237297"/>
        </a:xfrm>
        <a:prstGeom prst="pieWedg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5128" tIns="135128" rIns="135128" bIns="135128" numCol="1" spcCol="1270" anchor="ctr" anchorCtr="0">
          <a:noAutofit/>
        </a:bodyPr>
        <a:lstStyle/>
        <a:p>
          <a:pPr marL="0" lvl="0" indent="0" algn="ctr" defTabSz="844550">
            <a:lnSpc>
              <a:spcPct val="90000"/>
            </a:lnSpc>
            <a:spcBef>
              <a:spcPct val="0"/>
            </a:spcBef>
            <a:spcAft>
              <a:spcPct val="35000"/>
            </a:spcAft>
            <a:buNone/>
          </a:pPr>
          <a:r>
            <a:rPr lang="en-US" sz="1900" kern="1200" dirty="0"/>
            <a:t>Check</a:t>
          </a:r>
        </a:p>
      </dsp:txBody>
      <dsp:txXfrm rot="10800000">
        <a:off x="2327275" y="1457325"/>
        <a:ext cx="874901" cy="874901"/>
      </dsp:txXfrm>
    </dsp:sp>
    <dsp:sp modelId="{9860F119-93FC-46EB-947A-078EED5DE1B9}">
      <dsp:nvSpPr>
        <dsp:cNvPr id="0" name=""/>
        <dsp:cNvSpPr/>
      </dsp:nvSpPr>
      <dsp:spPr>
        <a:xfrm rot="16200000">
          <a:off x="1032827" y="1457325"/>
          <a:ext cx="1237297" cy="1237297"/>
        </a:xfrm>
        <a:prstGeom prst="pieWedg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5128" tIns="135128" rIns="135128" bIns="135128" numCol="1" spcCol="1270" anchor="ctr" anchorCtr="0">
          <a:noAutofit/>
        </a:bodyPr>
        <a:lstStyle/>
        <a:p>
          <a:pPr marL="0" lvl="0" indent="0" algn="ctr" defTabSz="844550">
            <a:lnSpc>
              <a:spcPct val="90000"/>
            </a:lnSpc>
            <a:spcBef>
              <a:spcPct val="0"/>
            </a:spcBef>
            <a:spcAft>
              <a:spcPct val="35000"/>
            </a:spcAft>
            <a:buNone/>
          </a:pPr>
          <a:r>
            <a:rPr lang="en-US" sz="1900" kern="1200" dirty="0"/>
            <a:t>Act</a:t>
          </a:r>
        </a:p>
      </dsp:txBody>
      <dsp:txXfrm rot="5400000">
        <a:off x="1395223" y="1457325"/>
        <a:ext cx="874901" cy="874901"/>
      </dsp:txXfrm>
    </dsp:sp>
    <dsp:sp modelId="{C6DBC25C-EFA8-4E8B-AF39-3051CD928CD1}">
      <dsp:nvSpPr>
        <dsp:cNvPr id="0" name=""/>
        <dsp:cNvSpPr/>
      </dsp:nvSpPr>
      <dsp:spPr>
        <a:xfrm>
          <a:off x="2085101" y="1171575"/>
          <a:ext cx="427196" cy="371475"/>
        </a:xfrm>
        <a:prstGeom prst="circular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CD4C035-7D61-4B46-99EB-9DD46B146FE8}">
      <dsp:nvSpPr>
        <dsp:cNvPr id="0" name=""/>
        <dsp:cNvSpPr/>
      </dsp:nvSpPr>
      <dsp:spPr>
        <a:xfrm rot="10800000">
          <a:off x="2085101" y="1314450"/>
          <a:ext cx="427196" cy="371475"/>
        </a:xfrm>
        <a:prstGeom prst="circular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47270E-9426-45AF-A762-3CB945E6ABF8}">
      <dsp:nvSpPr>
        <dsp:cNvPr id="0" name=""/>
        <dsp:cNvSpPr/>
      </dsp:nvSpPr>
      <dsp:spPr>
        <a:xfrm>
          <a:off x="1645140" y="1638300"/>
          <a:ext cx="408395" cy="778192"/>
        </a:xfrm>
        <a:custGeom>
          <a:avLst/>
          <a:gdLst/>
          <a:ahLst/>
          <a:cxnLst/>
          <a:rect l="0" t="0" r="0" b="0"/>
          <a:pathLst>
            <a:path>
              <a:moveTo>
                <a:pt x="0" y="0"/>
              </a:moveTo>
              <a:lnTo>
                <a:pt x="204197" y="0"/>
              </a:lnTo>
              <a:lnTo>
                <a:pt x="204197" y="778192"/>
              </a:lnTo>
              <a:lnTo>
                <a:pt x="408395" y="7781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827367" y="2005425"/>
        <a:ext cx="43942" cy="43942"/>
      </dsp:txXfrm>
    </dsp:sp>
    <dsp:sp modelId="{59463BA7-B89A-4C35-95AC-DECE4626D17A}">
      <dsp:nvSpPr>
        <dsp:cNvPr id="0" name=""/>
        <dsp:cNvSpPr/>
      </dsp:nvSpPr>
      <dsp:spPr>
        <a:xfrm>
          <a:off x="1645140" y="1592579"/>
          <a:ext cx="408395" cy="91440"/>
        </a:xfrm>
        <a:custGeom>
          <a:avLst/>
          <a:gdLst/>
          <a:ahLst/>
          <a:cxnLst/>
          <a:rect l="0" t="0" r="0" b="0"/>
          <a:pathLst>
            <a:path>
              <a:moveTo>
                <a:pt x="0" y="45720"/>
              </a:moveTo>
              <a:lnTo>
                <a:pt x="408395" y="4572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839128" y="1628090"/>
        <a:ext cx="20419" cy="20419"/>
      </dsp:txXfrm>
    </dsp:sp>
    <dsp:sp modelId="{0E5FA1E5-BEBC-4AF0-BD75-8835A1DF0C06}">
      <dsp:nvSpPr>
        <dsp:cNvPr id="0" name=""/>
        <dsp:cNvSpPr/>
      </dsp:nvSpPr>
      <dsp:spPr>
        <a:xfrm>
          <a:off x="1645140" y="860107"/>
          <a:ext cx="408395" cy="778192"/>
        </a:xfrm>
        <a:custGeom>
          <a:avLst/>
          <a:gdLst/>
          <a:ahLst/>
          <a:cxnLst/>
          <a:rect l="0" t="0" r="0" b="0"/>
          <a:pathLst>
            <a:path>
              <a:moveTo>
                <a:pt x="0" y="778192"/>
              </a:moveTo>
              <a:lnTo>
                <a:pt x="204197" y="778192"/>
              </a:lnTo>
              <a:lnTo>
                <a:pt x="204197" y="0"/>
              </a:lnTo>
              <a:lnTo>
                <a:pt x="408395"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827367" y="1227232"/>
        <a:ext cx="43942" cy="43942"/>
      </dsp:txXfrm>
    </dsp:sp>
    <dsp:sp modelId="{E4924A7F-7E75-42CA-AC9F-247998158CC6}">
      <dsp:nvSpPr>
        <dsp:cNvPr id="0" name=""/>
        <dsp:cNvSpPr/>
      </dsp:nvSpPr>
      <dsp:spPr>
        <a:xfrm rot="16200000">
          <a:off x="-304436" y="1327023"/>
          <a:ext cx="3276600" cy="62255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en-US" sz="2100" kern="1200" dirty="0"/>
            <a:t>Forms of Environmental Accounting</a:t>
          </a:r>
        </a:p>
      </dsp:txBody>
      <dsp:txXfrm>
        <a:off x="-304436" y="1327023"/>
        <a:ext cx="3276600" cy="622554"/>
      </dsp:txXfrm>
    </dsp:sp>
    <dsp:sp modelId="{82B5C15A-86BB-48D7-BEAA-A5FA26716C18}">
      <dsp:nvSpPr>
        <dsp:cNvPr id="0" name=""/>
        <dsp:cNvSpPr/>
      </dsp:nvSpPr>
      <dsp:spPr>
        <a:xfrm>
          <a:off x="2053536" y="548830"/>
          <a:ext cx="2041977" cy="62255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dirty="0"/>
            <a:t>Environmental Management Accounting (EMA)</a:t>
          </a:r>
        </a:p>
      </dsp:txBody>
      <dsp:txXfrm>
        <a:off x="2053536" y="548830"/>
        <a:ext cx="2041977" cy="622554"/>
      </dsp:txXfrm>
    </dsp:sp>
    <dsp:sp modelId="{A0479258-1A47-4A12-92FD-B556C461E108}">
      <dsp:nvSpPr>
        <dsp:cNvPr id="0" name=""/>
        <dsp:cNvSpPr/>
      </dsp:nvSpPr>
      <dsp:spPr>
        <a:xfrm>
          <a:off x="2053536" y="1327022"/>
          <a:ext cx="2041977" cy="62255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dirty="0"/>
            <a:t>Environmental Financial Accounting (EFA)</a:t>
          </a:r>
        </a:p>
      </dsp:txBody>
      <dsp:txXfrm>
        <a:off x="2053536" y="1327022"/>
        <a:ext cx="2041977" cy="622554"/>
      </dsp:txXfrm>
    </dsp:sp>
    <dsp:sp modelId="{7A742397-4BA0-4E4A-BEBC-78DB01E42792}">
      <dsp:nvSpPr>
        <dsp:cNvPr id="0" name=""/>
        <dsp:cNvSpPr/>
      </dsp:nvSpPr>
      <dsp:spPr>
        <a:xfrm>
          <a:off x="2053536" y="2105215"/>
          <a:ext cx="2041977" cy="62255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dirty="0"/>
            <a:t>Environmental </a:t>
          </a:r>
          <a:r>
            <a:rPr lang="en-US" sz="1400" kern="1200"/>
            <a:t>National Accounting (ENA)</a:t>
          </a:r>
        </a:p>
      </dsp:txBody>
      <dsp:txXfrm>
        <a:off x="2053536" y="2105215"/>
        <a:ext cx="2041977" cy="622554"/>
      </dsp:txXfrm>
    </dsp:sp>
  </dsp:spTree>
</dsp:drawing>
</file>

<file path=word/diagrams/layout1.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70A98-853C-4ADE-8302-5BF31017D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1238</Words>
  <Characters>7062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Pool, William</cp:lastModifiedBy>
  <cp:revision>4</cp:revision>
  <dcterms:created xsi:type="dcterms:W3CDTF">2019-01-27T04:56:00Z</dcterms:created>
  <dcterms:modified xsi:type="dcterms:W3CDTF">2019-01-27T09:02:00Z</dcterms:modified>
</cp:coreProperties>
</file>