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D766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DB7A3C7" wp14:editId="1912E86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9153D51" w14:textId="77777777" w:rsidR="00607874" w:rsidRDefault="0057096F" w:rsidP="00A851DA">
      <w:pPr>
        <w:rPr>
          <w:lang w:val="en-US"/>
        </w:rPr>
      </w:pPr>
      <w:r>
        <w:rPr>
          <w:noProof/>
          <w:lang w:val="en-US" w:eastAsia="zh-TW"/>
        </w:rPr>
        <w:pict w14:anchorId="056997F9">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618C979" w14:textId="77777777" w:rsidR="00B56CB3" w:rsidRDefault="00B56CB3" w:rsidP="00405895">
                  <w:pPr>
                    <w:jc w:val="center"/>
                    <w:rPr>
                      <w:b/>
                      <w:bCs/>
                      <w:color w:val="002060"/>
                      <w:sz w:val="44"/>
                      <w:szCs w:val="40"/>
                    </w:rPr>
                  </w:pPr>
                  <w:r>
                    <w:rPr>
                      <w:sz w:val="24"/>
                    </w:rPr>
                    <w:t xml:space="preserve">   </w:t>
                  </w:r>
                  <w:r>
                    <w:rPr>
                      <w:b/>
                      <w:bCs/>
                      <w:color w:val="002060"/>
                      <w:sz w:val="44"/>
                      <w:szCs w:val="40"/>
                    </w:rPr>
                    <w:t>Assignment Cover Sheet</w:t>
                  </w:r>
                </w:p>
                <w:p w14:paraId="6FF6097C" w14:textId="77777777" w:rsidR="00B56CB3" w:rsidRDefault="00B56CB3"/>
              </w:txbxContent>
            </v:textbox>
          </v:shape>
        </w:pict>
      </w:r>
    </w:p>
    <w:p w14:paraId="7EDE20B7" w14:textId="77777777" w:rsidR="00607874" w:rsidRDefault="00607874" w:rsidP="00A851DA">
      <w:pPr>
        <w:rPr>
          <w:lang w:val="en-US"/>
        </w:rPr>
      </w:pPr>
    </w:p>
    <w:p w14:paraId="2A9A19F2" w14:textId="77777777" w:rsidR="00607874" w:rsidRDefault="00607874" w:rsidP="00A851DA">
      <w:pPr>
        <w:rPr>
          <w:lang w:val="en-US"/>
        </w:rPr>
      </w:pPr>
    </w:p>
    <w:p w14:paraId="74E2305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DCDBA9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65EBE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518A70E" w14:textId="77777777" w:rsidR="00A851DA" w:rsidRPr="00B0415E" w:rsidRDefault="00FB7ECD">
            <w:pPr>
              <w:pStyle w:val="Default"/>
              <w:rPr>
                <w:rFonts w:asciiTheme="minorHAnsi" w:hAnsiTheme="minorHAnsi"/>
              </w:rPr>
            </w:pPr>
            <w:r>
              <w:rPr>
                <w:rFonts w:asciiTheme="minorHAnsi" w:hAnsiTheme="minorHAnsi"/>
              </w:rPr>
              <w:t>Peter Gisbey</w:t>
            </w:r>
          </w:p>
        </w:tc>
      </w:tr>
      <w:tr w:rsidR="00A851DA" w:rsidRPr="00B0415E" w14:paraId="10A24AA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7D4D6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A0EB0D3" w14:textId="77777777" w:rsidR="00A851DA" w:rsidRPr="00B0415E" w:rsidRDefault="002E2DAC">
            <w:pPr>
              <w:pStyle w:val="Default"/>
              <w:rPr>
                <w:rFonts w:asciiTheme="minorHAnsi" w:hAnsiTheme="minorHAnsi"/>
              </w:rPr>
            </w:pPr>
            <w:r>
              <w:rPr>
                <w:rFonts w:asciiTheme="minorHAnsi" w:hAnsiTheme="minorHAnsi"/>
              </w:rPr>
              <w:t>17065</w:t>
            </w:r>
          </w:p>
        </w:tc>
      </w:tr>
      <w:tr w:rsidR="00A851DA" w:rsidRPr="00B0415E" w14:paraId="723105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176EE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706FD52" w14:textId="77777777" w:rsidR="00A851DA" w:rsidRPr="00B0415E" w:rsidRDefault="00FB7ECD">
            <w:pPr>
              <w:pStyle w:val="Default"/>
              <w:rPr>
                <w:rFonts w:asciiTheme="minorHAnsi" w:hAnsiTheme="minorHAnsi"/>
              </w:rPr>
            </w:pPr>
            <w:r>
              <w:rPr>
                <w:rFonts w:asciiTheme="minorHAnsi" w:hAnsiTheme="minorHAnsi"/>
              </w:rPr>
              <w:t>Environmental Management</w:t>
            </w:r>
          </w:p>
        </w:tc>
      </w:tr>
      <w:tr w:rsidR="00A851DA" w:rsidRPr="00B0415E" w14:paraId="17CBBEF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A77AB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D1B34F6" w14:textId="5B707D17" w:rsidR="00A851DA" w:rsidRPr="00B0415E" w:rsidRDefault="00A13DFF">
            <w:r>
              <w:t>8</w:t>
            </w:r>
          </w:p>
        </w:tc>
      </w:tr>
    </w:tbl>
    <w:p w14:paraId="7E69343C" w14:textId="77777777" w:rsidR="00CC2FB3" w:rsidRDefault="00CC2FB3" w:rsidP="00A851DA">
      <w:pPr>
        <w:rPr>
          <w:b/>
          <w:lang w:val="en-US"/>
        </w:rPr>
      </w:pPr>
    </w:p>
    <w:p w14:paraId="2505D856" w14:textId="77777777" w:rsidR="00443E6F" w:rsidRDefault="00527C11" w:rsidP="00A851DA">
      <w:pPr>
        <w:rPr>
          <w:b/>
          <w:sz w:val="28"/>
          <w:lang w:val="en-US"/>
        </w:rPr>
      </w:pPr>
      <w:r w:rsidRPr="00443E6F">
        <w:rPr>
          <w:b/>
          <w:sz w:val="28"/>
          <w:lang w:val="en-US"/>
        </w:rPr>
        <w:t>Marking Criteria:</w:t>
      </w:r>
    </w:p>
    <w:p w14:paraId="6C491C8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BD762B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9E2B647" w14:textId="77777777" w:rsidTr="00CC2FB3">
        <w:tc>
          <w:tcPr>
            <w:tcW w:w="9242" w:type="dxa"/>
          </w:tcPr>
          <w:p w14:paraId="6AD9ABA9" w14:textId="77777777" w:rsidR="00A13DFF" w:rsidRPr="00565011" w:rsidRDefault="00A13DFF" w:rsidP="00A13DFF">
            <w:pPr>
              <w:pStyle w:val="Default"/>
              <w:spacing w:after="66"/>
              <w:rPr>
                <w:i/>
                <w:color w:val="auto"/>
              </w:rPr>
            </w:pPr>
            <w:r w:rsidRPr="00565011">
              <w:rPr>
                <w:rFonts w:cstheme="minorBidi"/>
                <w:b/>
                <w:bCs/>
                <w:i/>
                <w:color w:val="C00000"/>
              </w:rPr>
              <w:t xml:space="preserve">1. </w:t>
            </w:r>
            <w:r w:rsidRPr="00795D1F">
              <w:rPr>
                <w:i/>
                <w:color w:val="auto"/>
                <w:u w:val="single"/>
              </w:rPr>
              <w:t>Describe</w:t>
            </w:r>
            <w:r w:rsidRPr="00565011">
              <w:rPr>
                <w:i/>
                <w:color w:val="auto"/>
              </w:rPr>
              <w:t xml:space="preserve"> the manager’s role </w:t>
            </w:r>
            <w:bookmarkStart w:id="0" w:name="_Hlk507710526"/>
            <w:r w:rsidRPr="00565011">
              <w:rPr>
                <w:i/>
                <w:color w:val="auto"/>
              </w:rPr>
              <w:t>in setting, communicating and monitoring objectives and targets</w:t>
            </w:r>
            <w:bookmarkEnd w:id="0"/>
            <w:r w:rsidRPr="00565011">
              <w:rPr>
                <w:i/>
                <w:color w:val="auto"/>
              </w:rPr>
              <w:t xml:space="preserve">. (8) </w:t>
            </w:r>
          </w:p>
          <w:p w14:paraId="3B9B52C1" w14:textId="77777777" w:rsidR="00A13DFF" w:rsidRPr="00565011" w:rsidRDefault="00A13DFF" w:rsidP="00A13DFF">
            <w:pPr>
              <w:pStyle w:val="Default"/>
              <w:spacing w:after="66"/>
              <w:rPr>
                <w:b/>
                <w:bCs/>
                <w:color w:val="000000" w:themeColor="text1"/>
              </w:rPr>
            </w:pPr>
          </w:p>
          <w:p w14:paraId="50C2805E" w14:textId="77777777" w:rsidR="00A13DFF" w:rsidRPr="00565011" w:rsidRDefault="00A13DFF" w:rsidP="00A13DFF">
            <w:pPr>
              <w:pStyle w:val="Default"/>
              <w:spacing w:after="66"/>
              <w:rPr>
                <w:bCs/>
                <w:color w:val="000000" w:themeColor="text1"/>
              </w:rPr>
            </w:pPr>
            <w:r w:rsidRPr="00565011">
              <w:rPr>
                <w:bCs/>
                <w:color w:val="000000" w:themeColor="text1"/>
              </w:rPr>
              <w:t>Firstly, it is important for managers to pay attention to the political, legal and regulatory environmental when it comes to framing, disseminating and assessing/reviewing the relevant  objectives and targets.</w:t>
            </w:r>
          </w:p>
          <w:p w14:paraId="50C37036" w14:textId="77777777" w:rsidR="00A13DFF" w:rsidRPr="00565011" w:rsidRDefault="00A13DFF" w:rsidP="00A13DFF">
            <w:pPr>
              <w:pStyle w:val="Default"/>
              <w:spacing w:after="66"/>
              <w:rPr>
                <w:bCs/>
                <w:color w:val="C00000"/>
              </w:rPr>
            </w:pPr>
          </w:p>
          <w:p w14:paraId="74B4AE31" w14:textId="77777777" w:rsidR="00A13DFF" w:rsidRPr="00565011" w:rsidRDefault="00A13DFF" w:rsidP="00A13DFF">
            <w:pPr>
              <w:pStyle w:val="Default"/>
              <w:spacing w:after="66"/>
              <w:rPr>
                <w:bCs/>
                <w:color w:val="000000" w:themeColor="text1"/>
              </w:rPr>
            </w:pPr>
            <w:r w:rsidRPr="00565011">
              <w:rPr>
                <w:bCs/>
                <w:color w:val="000000" w:themeColor="text1"/>
              </w:rPr>
              <w:t>For example, Commission for Environmental Cooperation (2000) suggests that governments in general have: “…have chosen to focus on two goals: compliance with environmental laws and environmental performance that moves beyond compliance in both regulated and non-regulated areas. There are numerous other important policy issues associated with the use of EMSs such as pollution prevention, public reporting of compliance or environmental performance information as well as certification or third-party verification”</w:t>
            </w:r>
          </w:p>
          <w:p w14:paraId="528B8131" w14:textId="77777777" w:rsidR="00A13DFF" w:rsidRPr="00565011" w:rsidRDefault="00A13DFF" w:rsidP="00A13DFF">
            <w:pPr>
              <w:pStyle w:val="Default"/>
              <w:spacing w:after="66"/>
              <w:rPr>
                <w:bCs/>
                <w:color w:val="000000" w:themeColor="text1"/>
              </w:rPr>
            </w:pPr>
            <w:r w:rsidRPr="00565011">
              <w:rPr>
                <w:bCs/>
                <w:color w:val="000000" w:themeColor="text1"/>
              </w:rPr>
              <w:t>(p. 2).</w:t>
            </w:r>
          </w:p>
          <w:p w14:paraId="4CE80426" w14:textId="77777777" w:rsidR="00A13DFF" w:rsidRPr="00565011" w:rsidRDefault="00A13DFF" w:rsidP="00A13DFF">
            <w:pPr>
              <w:pStyle w:val="Default"/>
              <w:spacing w:after="66"/>
              <w:rPr>
                <w:bCs/>
                <w:color w:val="000000" w:themeColor="text1"/>
              </w:rPr>
            </w:pPr>
          </w:p>
          <w:p w14:paraId="7BF40D5A" w14:textId="77777777" w:rsidR="00A13DFF" w:rsidRPr="00565011" w:rsidRDefault="00A13DFF" w:rsidP="00A13DFF">
            <w:pPr>
              <w:pStyle w:val="Default"/>
              <w:spacing w:after="66"/>
              <w:rPr>
                <w:bCs/>
                <w:color w:val="000000" w:themeColor="text1"/>
              </w:rPr>
            </w:pPr>
            <w:r w:rsidRPr="00565011">
              <w:rPr>
                <w:bCs/>
                <w:color w:val="000000" w:themeColor="text1"/>
              </w:rPr>
              <w:t>Moreover, ECORYS (2012) notes:</w:t>
            </w:r>
          </w:p>
          <w:p w14:paraId="5CB136F2" w14:textId="77777777" w:rsidR="00A13DFF" w:rsidRPr="00565011" w:rsidRDefault="00A13DFF" w:rsidP="00A13DFF">
            <w:pPr>
              <w:autoSpaceDE w:val="0"/>
              <w:autoSpaceDN w:val="0"/>
              <w:adjustRightInd w:val="0"/>
              <w:rPr>
                <w:rFonts w:ascii="Calibri" w:hAnsi="Calibri" w:cs="Arial"/>
                <w:color w:val="000000"/>
                <w:sz w:val="24"/>
                <w:szCs w:val="24"/>
              </w:rPr>
            </w:pPr>
          </w:p>
          <w:p w14:paraId="1595C87E" w14:textId="77777777" w:rsidR="00A13DFF" w:rsidRPr="00565011" w:rsidRDefault="00A13DFF" w:rsidP="00A13DFF">
            <w:pPr>
              <w:pStyle w:val="Default"/>
              <w:spacing w:after="66"/>
              <w:rPr>
                <w:bCs/>
                <w:color w:val="000000" w:themeColor="text1"/>
              </w:rPr>
            </w:pPr>
            <w:r w:rsidRPr="00565011">
              <w:rPr>
                <w:bCs/>
                <w:color w:val="000000" w:themeColor="text1"/>
              </w:rPr>
              <w:t xml:space="preserve"> “Companies are directly and indirectly responsible for much of the environmental degradation and pollution that occurs worldwide. This means they have a crucial role to play in environmental protection….Increasingly environmental liabilities are seen as a business, public relations and investment risk...Environmental policy has played an important role in improving environmental performance over recent decades” </w:t>
            </w:r>
          </w:p>
          <w:p w14:paraId="2E3956CD" w14:textId="77777777" w:rsidR="00A13DFF" w:rsidRPr="00565011" w:rsidRDefault="00A13DFF" w:rsidP="00A13DFF">
            <w:pPr>
              <w:pStyle w:val="Default"/>
              <w:spacing w:after="66"/>
              <w:rPr>
                <w:bCs/>
                <w:color w:val="000000" w:themeColor="text1"/>
              </w:rPr>
            </w:pPr>
            <w:r w:rsidRPr="00565011">
              <w:rPr>
                <w:bCs/>
                <w:color w:val="000000" w:themeColor="text1"/>
              </w:rPr>
              <w:t>(p. 33).</w:t>
            </w:r>
          </w:p>
          <w:p w14:paraId="3988F0D7"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lastRenderedPageBreak/>
              <w:t>Referring to the course notes, in connection with the management of objectives and targets, it is stressed in order to have a truly effective performance management process that supports employee performance, development and success, you need to get everyone involved. Having engaged and informed senior executives, managers and employees will ultimately result in higher participation rates and better quality performance management.</w:t>
            </w:r>
          </w:p>
          <w:p w14:paraId="558C42FE"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So you need to clearly communicate to everyone, what they are responsible for as part of your new performance management process. Here's breakdown of the responsibilities of each stakeholder group: executives and leadership, managers, employees and HR.</w:t>
            </w:r>
          </w:p>
          <w:p w14:paraId="00F2F0C8"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As a manager, you have a responsibility to recognize and reinforce strong performance in your employees, and identify and encourage improvement where needed. But to begin with, you need to view performance management as a two-way discussion that goes on throughout the year. Your employees should never be surprised by the ratings and feedback they receive in their formal performance reviews.</w:t>
            </w:r>
          </w:p>
          <w:p w14:paraId="030BC85B" w14:textId="77777777" w:rsidR="00A13DFF" w:rsidRPr="00565011" w:rsidRDefault="00A13DFF" w:rsidP="00A13DFF">
            <w:pPr>
              <w:autoSpaceDE w:val="0"/>
              <w:autoSpaceDN w:val="0"/>
              <w:adjustRightInd w:val="0"/>
              <w:rPr>
                <w:rFonts w:ascii="Calibri" w:hAnsi="Calibri" w:cs="Calibri"/>
                <w:color w:val="000000"/>
                <w:sz w:val="24"/>
                <w:szCs w:val="24"/>
              </w:rPr>
            </w:pPr>
          </w:p>
          <w:p w14:paraId="7611F82A"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As a manager, you are expected to:</w:t>
            </w:r>
          </w:p>
          <w:p w14:paraId="2A6A55EF"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Use the performance management process as a valuable tool for supporting employee</w:t>
            </w:r>
          </w:p>
          <w:p w14:paraId="4C6F87EB"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development and improvement.</w:t>
            </w:r>
          </w:p>
          <w:p w14:paraId="6DBE10E5"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If your employees sense a lack of interest on your part, they'll lose interest too.</w:t>
            </w:r>
          </w:p>
          <w:p w14:paraId="2F9B08D2"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When talking with your team about the process, be sure to emphasize its benefits, and</w:t>
            </w:r>
          </w:p>
          <w:p w14:paraId="69AE1BDB"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encourage employees to take ownership of their own performance and development.</w:t>
            </w:r>
          </w:p>
          <w:p w14:paraId="576F89E8"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Determine an appropriate schedule for regular performance conversations with those you</w:t>
            </w:r>
          </w:p>
          <w:p w14:paraId="6D0A71F4"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manage directly.</w:t>
            </w:r>
          </w:p>
          <w:p w14:paraId="44C29454"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Conduct short, regular meetings to discuss and record milestones, accomplishments,</w:t>
            </w:r>
          </w:p>
          <w:p w14:paraId="77C12990"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successes and challenges as they occur, when details are fresh in both your minds. This</w:t>
            </w:r>
          </w:p>
          <w:p w14:paraId="48646B5A"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will allow you to better monitor progress on goals, and provide coaching as required. Plus,</w:t>
            </w:r>
          </w:p>
          <w:p w14:paraId="4F774737"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these short meetings reduce the effort it takes to prepare for and conduct your annual</w:t>
            </w:r>
          </w:p>
          <w:p w14:paraId="2DF3FBEC"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performance reviews because you've tracked progress and performance and provided the</w:t>
            </w:r>
          </w:p>
          <w:p w14:paraId="041458A4"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needed feedback when it was most valuable.</w:t>
            </w:r>
          </w:p>
          <w:p w14:paraId="1B993F22"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Use the annual performance review meeting to review the achievements, setbacks,</w:t>
            </w:r>
          </w:p>
          <w:p w14:paraId="6117ADA0"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development and training that have already been discussed throughout the year — and</w:t>
            </w:r>
          </w:p>
          <w:p w14:paraId="646CCEC1"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then use this information to establish goals and a development plan for the coming year.</w:t>
            </w:r>
          </w:p>
          <w:p w14:paraId="3D44B714"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Deliver regular positive and constructive feedback.</w:t>
            </w:r>
          </w:p>
          <w:p w14:paraId="10304280"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Give employees feedback during one-on-one meetings and informally as regularly as</w:t>
            </w:r>
          </w:p>
          <w:p w14:paraId="2673DFE0"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possible.</w:t>
            </w:r>
          </w:p>
          <w:p w14:paraId="466050C4"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Commend your employee in front of their peers.</w:t>
            </w:r>
          </w:p>
          <w:p w14:paraId="78075879"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Make performance notes about each employee in the period between conversations, so that come conversation time, you have concrete examples to share.</w:t>
            </w:r>
          </w:p>
          <w:p w14:paraId="4CDA2207"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Remember that the goal of feedback is to describe desired behaviors and expectations,</w:t>
            </w:r>
          </w:p>
          <w:p w14:paraId="67583AFC"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not to dwell on undesirable behaviors.</w:t>
            </w:r>
          </w:p>
          <w:p w14:paraId="3EDBCA96"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Check-in on goal progress</w:t>
            </w:r>
          </w:p>
          <w:p w14:paraId="10F7ABB2"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Regularly check in with employees on their progress on goals; offer coaching or</w:t>
            </w:r>
          </w:p>
          <w:p w14:paraId="08827EEB"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assistance, or revise goals as necessary.</w:t>
            </w:r>
          </w:p>
          <w:p w14:paraId="114BBA24"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Communicate and revisit performance expectations.</w:t>
            </w:r>
          </w:p>
          <w:p w14:paraId="2130B678"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Communicate your organizations’ performance standards and expectations to your</w:t>
            </w:r>
          </w:p>
          <w:p w14:paraId="64D4E6B1"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employees. This will help your employees differentiate between acceptable and</w:t>
            </w:r>
          </w:p>
          <w:p w14:paraId="56A310FB"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unacceptable behaviors and results and reduce any misunderstandings.</w:t>
            </w:r>
          </w:p>
          <w:p w14:paraId="5454724C" w14:textId="1C4AD080"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 xml:space="preserve">Gather feedback on employee performance from multiple sources. </w:t>
            </w:r>
            <w:r w:rsidR="00EF409D">
              <w:rPr>
                <w:rFonts w:ascii="Calibri" w:hAnsi="Calibri" w:cs="Calibri"/>
                <w:color w:val="000000"/>
                <w:sz w:val="24"/>
                <w:szCs w:val="24"/>
              </w:rPr>
              <w:t xml:space="preserve">                                          </w:t>
            </w:r>
            <w:r w:rsidRPr="00565011">
              <w:rPr>
                <w:rFonts w:ascii="Calibri" w:hAnsi="Calibri" w:cs="Calibri"/>
                <w:color w:val="000000"/>
                <w:sz w:val="24"/>
                <w:szCs w:val="24"/>
              </w:rPr>
              <w:lastRenderedPageBreak/>
              <w:t>Use a 360-degree</w:t>
            </w:r>
            <w:r w:rsidR="00EF409D">
              <w:rPr>
                <w:rFonts w:ascii="Calibri" w:hAnsi="Calibri" w:cs="Calibri"/>
                <w:color w:val="000000"/>
                <w:sz w:val="24"/>
                <w:szCs w:val="24"/>
              </w:rPr>
              <w:t xml:space="preserve"> </w:t>
            </w:r>
            <w:r w:rsidRPr="00565011">
              <w:rPr>
                <w:rFonts w:ascii="Calibri" w:hAnsi="Calibri" w:cs="Calibri"/>
                <w:color w:val="000000"/>
                <w:sz w:val="24"/>
                <w:szCs w:val="24"/>
              </w:rPr>
              <w:t>feedback or survey tool to complete and validate your own observations and perceptions.</w:t>
            </w:r>
          </w:p>
          <w:p w14:paraId="46B1B097"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Improve your management and leadership skills.</w:t>
            </w:r>
          </w:p>
          <w:p w14:paraId="29D068AC"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Take the time to learn how to be a better manager and coach. Invest in your own</w:t>
            </w:r>
          </w:p>
          <w:p w14:paraId="3B4C63D4"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development!</w:t>
            </w:r>
          </w:p>
          <w:p w14:paraId="7C9E9195"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Acquaint yourself with the different management needs of the different generations.</w:t>
            </w:r>
          </w:p>
          <w:p w14:paraId="6A43EB9A"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Employees from the millennial generation may have different needs and different</w:t>
            </w:r>
          </w:p>
          <w:p w14:paraId="4AB25121"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expectations of managers. Research tells us they require constant feedback and</w:t>
            </w:r>
          </w:p>
          <w:p w14:paraId="35DF4531"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recognition, and expect quick career advancement. Workers from other generations have</w:t>
            </w:r>
          </w:p>
          <w:p w14:paraId="516E3959"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different needs. Learn what motivates each employee, and adjust your management</w:t>
            </w:r>
          </w:p>
          <w:p w14:paraId="0C9AEF4A"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approach accordingly.</w:t>
            </w:r>
          </w:p>
          <w:p w14:paraId="2EDAA933"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Coach your employees in a way that strengthens two-way communication and reinforces desired behavio</w:t>
            </w:r>
            <w:r>
              <w:rPr>
                <w:rFonts w:ascii="Calibri" w:hAnsi="Calibri" w:cs="Calibri"/>
                <w:color w:val="000000"/>
                <w:sz w:val="24"/>
                <w:szCs w:val="24"/>
              </w:rPr>
              <w:t>u</w:t>
            </w:r>
            <w:r w:rsidRPr="00565011">
              <w:rPr>
                <w:rFonts w:ascii="Calibri" w:hAnsi="Calibri" w:cs="Calibri"/>
                <w:color w:val="000000"/>
                <w:sz w:val="24"/>
                <w:szCs w:val="24"/>
              </w:rPr>
              <w:t>rs.</w:t>
            </w:r>
          </w:p>
          <w:p w14:paraId="1599CFAA"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Coach when you want to focus attention on a specific aspect of the employee’s</w:t>
            </w:r>
          </w:p>
          <w:p w14:paraId="48C060D5"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performance.</w:t>
            </w:r>
          </w:p>
          <w:p w14:paraId="174FAE70"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Advise the employee ahead of time of issues you want to discuss.</w:t>
            </w:r>
          </w:p>
          <w:p w14:paraId="66E3B71B"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Focus on describing your expectations and the desired behaviors rather than describing</w:t>
            </w:r>
          </w:p>
          <w:p w14:paraId="48F47E65"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the gaps.</w:t>
            </w:r>
          </w:p>
          <w:p w14:paraId="66A1BEA2"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Take the time to understand why their performance is what it is, and get them to take</w:t>
            </w:r>
          </w:p>
          <w:p w14:paraId="661B33CD"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ownership for performance improvements.</w:t>
            </w:r>
          </w:p>
          <w:p w14:paraId="3C9F2F57"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Support your employees' professional and career development while making them accountable for it.</w:t>
            </w:r>
          </w:p>
          <w:p w14:paraId="41E7FDB6"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Regularly ask employees about their career aspirations and help them identify areas they may wish to improve or develop, as well as resources available.</w:t>
            </w:r>
          </w:p>
          <w:p w14:paraId="7BFD188A"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Ensure each employee has a well-defined job description and understands the skills and</w:t>
            </w:r>
          </w:p>
          <w:p w14:paraId="37A355C7"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competencies they must develop in order to progress up the career ladder.</w:t>
            </w:r>
          </w:p>
          <w:p w14:paraId="101E7FA6"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Give your employees the time and flexibility they need to complete learning and</w:t>
            </w:r>
          </w:p>
          <w:p w14:paraId="7D13BA4C"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development activities.</w:t>
            </w:r>
          </w:p>
          <w:p w14:paraId="78DF023F"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Ensure development is having an impact on performance.</w:t>
            </w:r>
          </w:p>
          <w:p w14:paraId="1E6628D8"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Submit your completed employee reviews by the designated deadline.</w:t>
            </w:r>
          </w:p>
          <w:p w14:paraId="5039A6FB"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Failing to complete your formal performance review documentation on time sends your</w:t>
            </w:r>
          </w:p>
          <w:p w14:paraId="4EC7D415"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employees the message that recognition of their success and support for their</w:t>
            </w:r>
          </w:p>
          <w:p w14:paraId="63200EDB"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development is not your top priority. It may also delay any pay for performance/ merit</w:t>
            </w:r>
          </w:p>
          <w:p w14:paraId="5FE6D09B"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increases or bonuses your organization allocates to employees based on their</w:t>
            </w:r>
          </w:p>
          <w:p w14:paraId="34DDBD79"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performance ratings.</w:t>
            </w:r>
          </w:p>
          <w:p w14:paraId="39BAABC4"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Understand and correctly use your organization's rating scale.</w:t>
            </w:r>
          </w:p>
          <w:p w14:paraId="495C4BC1"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Be objective and have quantitative/qualitative facts ready to substantiate the ratings you give.</w:t>
            </w:r>
          </w:p>
          <w:p w14:paraId="74D304E0"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Provide details on how the employee demonstrated the core and job specific</w:t>
            </w:r>
          </w:p>
          <w:p w14:paraId="5E6EF671"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competencies you are rating them on.</w:t>
            </w:r>
          </w:p>
          <w:p w14:paraId="61F12AA2"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Provide details on how they accomplished their goals, the milestones they met and work products they delivered.</w:t>
            </w:r>
          </w:p>
          <w:p w14:paraId="7BFD8408"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Wingdings,Bold"/>
                <w:b/>
                <w:bCs/>
                <w:color w:val="EE7D31"/>
                <w:sz w:val="24"/>
                <w:szCs w:val="24"/>
              </w:rPr>
              <w:t xml:space="preserve"> </w:t>
            </w:r>
            <w:r w:rsidRPr="00565011">
              <w:rPr>
                <w:rFonts w:ascii="Calibri" w:hAnsi="Calibri" w:cs="Calibri"/>
                <w:color w:val="000000"/>
                <w:sz w:val="24"/>
                <w:szCs w:val="24"/>
              </w:rPr>
              <w:t xml:space="preserve">Assign each employee a development plan to help them improve their performance and </w:t>
            </w:r>
            <w:r w:rsidRPr="00565011">
              <w:rPr>
                <w:rFonts w:ascii="Calibri" w:hAnsi="Calibri"/>
                <w:sz w:val="24"/>
                <w:szCs w:val="24"/>
              </w:rPr>
              <w:t>support the organization's success.</w:t>
            </w:r>
          </w:p>
          <w:p w14:paraId="0918C845" w14:textId="77777777" w:rsidR="00A13DFF" w:rsidRPr="00565011" w:rsidRDefault="00A13DFF" w:rsidP="00A13DFF">
            <w:pPr>
              <w:pStyle w:val="Default"/>
              <w:spacing w:after="66"/>
              <w:rPr>
                <w:b/>
                <w:bCs/>
                <w:color w:val="C00000"/>
              </w:rPr>
            </w:pPr>
            <w:r w:rsidRPr="00565011">
              <w:rPr>
                <w:i/>
                <w:color w:val="auto"/>
              </w:rPr>
              <w:t>One would also suggest that in connection with setting, communicating and monitoring objectives and targets, managers regularly stress the benefits of improving environmental performance which are considerable (e.g. DEFRA, 2010; Galway County Council, 2018).</w:t>
            </w:r>
          </w:p>
          <w:p w14:paraId="1DC6EC70" w14:textId="454C5A92"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lastRenderedPageBreak/>
              <w:t>Furthermore, in the present regard, it is worth stressing that there is a lot of evidence in the research literature concerning the importance of stakeholder management, training, communication and general attention to human resource factors such as interaction of management with one another and with staff (e.g, Daily and Huang, 2001; Sammalisto and Brorson, 2008; Zutshi and Sohal, 2004a; Zutshi and Sohal, 2004b).</w:t>
            </w:r>
          </w:p>
          <w:p w14:paraId="2B53BE9D" w14:textId="77777777" w:rsidR="00A13DFF" w:rsidRPr="00565011" w:rsidRDefault="00A13DFF" w:rsidP="00A13DFF">
            <w:pPr>
              <w:autoSpaceDE w:val="0"/>
              <w:autoSpaceDN w:val="0"/>
              <w:adjustRightInd w:val="0"/>
              <w:rPr>
                <w:rFonts w:ascii="Calibri" w:hAnsi="Calibri" w:cs="Calibri"/>
                <w:color w:val="000000"/>
                <w:sz w:val="24"/>
                <w:szCs w:val="24"/>
              </w:rPr>
            </w:pPr>
          </w:p>
          <w:p w14:paraId="46C46214" w14:textId="77777777" w:rsidR="00A13DFF" w:rsidRPr="00565011" w:rsidRDefault="00A13DFF" w:rsidP="00A13DFF">
            <w:pPr>
              <w:autoSpaceDE w:val="0"/>
              <w:autoSpaceDN w:val="0"/>
              <w:adjustRightInd w:val="0"/>
              <w:rPr>
                <w:rFonts w:ascii="Calibri" w:hAnsi="Calibri" w:cs="Calibri"/>
                <w:color w:val="000000"/>
                <w:sz w:val="24"/>
                <w:szCs w:val="24"/>
              </w:rPr>
            </w:pPr>
          </w:p>
          <w:p w14:paraId="76F37952" w14:textId="77777777" w:rsidR="00A13DFF" w:rsidRPr="00565011" w:rsidRDefault="00A13DFF" w:rsidP="00A13DFF">
            <w:pPr>
              <w:pStyle w:val="Default"/>
              <w:spacing w:after="66"/>
              <w:rPr>
                <w:i/>
                <w:color w:val="auto"/>
              </w:rPr>
            </w:pPr>
            <w:r w:rsidRPr="00565011">
              <w:rPr>
                <w:b/>
                <w:bCs/>
                <w:i/>
                <w:color w:val="C00000"/>
              </w:rPr>
              <w:t xml:space="preserve">2. </w:t>
            </w:r>
            <w:r w:rsidRPr="00795D1F">
              <w:rPr>
                <w:i/>
                <w:color w:val="auto"/>
                <w:u w:val="single"/>
              </w:rPr>
              <w:t>Describe</w:t>
            </w:r>
            <w:r w:rsidRPr="00565011">
              <w:rPr>
                <w:i/>
                <w:color w:val="auto"/>
              </w:rPr>
              <w:t xml:space="preserve"> a range of methods for communicating environmental information. (7) </w:t>
            </w:r>
          </w:p>
          <w:p w14:paraId="758239BE" w14:textId="77777777" w:rsidR="00A13DFF" w:rsidRPr="00565011" w:rsidRDefault="00A13DFF" w:rsidP="00A13DFF">
            <w:pPr>
              <w:autoSpaceDE w:val="0"/>
              <w:autoSpaceDN w:val="0"/>
              <w:adjustRightInd w:val="0"/>
              <w:rPr>
                <w:rFonts w:ascii="Calibri" w:hAnsi="Calibri" w:cs="Calibri,Bold"/>
                <w:b/>
                <w:bCs/>
                <w:color w:val="000000"/>
                <w:sz w:val="24"/>
                <w:szCs w:val="24"/>
              </w:rPr>
            </w:pPr>
          </w:p>
          <w:p w14:paraId="1FEE3113"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As the course notes indicate, there are two levels of communication to be concerned with: internal communication and external communication. In both instances, a successful communication program hinges on:</w:t>
            </w:r>
          </w:p>
          <w:p w14:paraId="0FDD73E8"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Setting communication objectives in a timely manner;</w:t>
            </w:r>
          </w:p>
          <w:p w14:paraId="4759C454" w14:textId="6ECCABA4"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Communicating regularly and integrating EMS communication results with other EMS records;</w:t>
            </w:r>
            <w:r w:rsidR="00EF409D">
              <w:rPr>
                <w:rFonts w:ascii="Calibri" w:hAnsi="Calibri" w:cs="Calibri"/>
                <w:color w:val="000000"/>
                <w:sz w:val="24"/>
                <w:szCs w:val="24"/>
              </w:rPr>
              <w:t xml:space="preserve"> </w:t>
            </w:r>
            <w:r w:rsidRPr="00565011">
              <w:rPr>
                <w:rFonts w:ascii="Calibri" w:hAnsi="Calibri" w:cs="Calibri"/>
                <w:color w:val="000000"/>
                <w:sz w:val="24"/>
                <w:szCs w:val="24"/>
              </w:rPr>
              <w:t>and</w:t>
            </w:r>
          </w:p>
          <w:p w14:paraId="59CDAA46"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Ensuring that stakeholder dialogue is a two-way process.</w:t>
            </w:r>
          </w:p>
          <w:p w14:paraId="420A1E84" w14:textId="77777777" w:rsidR="00A13DFF" w:rsidRPr="00565011" w:rsidRDefault="00A13DFF" w:rsidP="00A13DFF">
            <w:pPr>
              <w:autoSpaceDE w:val="0"/>
              <w:autoSpaceDN w:val="0"/>
              <w:adjustRightInd w:val="0"/>
              <w:rPr>
                <w:rFonts w:ascii="Calibri" w:hAnsi="Calibri" w:cs="Calibri,Bold"/>
                <w:b/>
                <w:bCs/>
                <w:color w:val="EE7D31"/>
                <w:sz w:val="24"/>
                <w:szCs w:val="24"/>
              </w:rPr>
            </w:pPr>
          </w:p>
          <w:p w14:paraId="194174B0"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Furthermore, Communication objectives help you to frame the message you want to convey about your EMS; if the objective also includes a “how”, then you can begin to gain a sense for the method to most effectively communicate your message. Your facility probably already has some communication programs in place. Think of the Right to Know station you may have in your facility as an example of a communication program. If you have the informational posters, the Material Safety Data Sheets, and contact information if employees have questions, then you have at least one internal communication program in place at your facility.</w:t>
            </w:r>
          </w:p>
          <w:p w14:paraId="7F264964" w14:textId="77777777" w:rsidR="00A13DFF" w:rsidRPr="00565011" w:rsidRDefault="00A13DFF" w:rsidP="00A13DFF">
            <w:pPr>
              <w:autoSpaceDE w:val="0"/>
              <w:autoSpaceDN w:val="0"/>
              <w:adjustRightInd w:val="0"/>
              <w:rPr>
                <w:rFonts w:ascii="Calibri" w:hAnsi="Calibri" w:cs="Calibri"/>
                <w:color w:val="000000"/>
                <w:sz w:val="24"/>
                <w:szCs w:val="24"/>
              </w:rPr>
            </w:pPr>
          </w:p>
          <w:p w14:paraId="7ADA9023"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Next, it is important to bear in mind that communicating progress on your EMS is an ongoing activity that:</w:t>
            </w:r>
          </w:p>
          <w:p w14:paraId="2DD89703"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Helps maintain the momentum of support for your EMS (e.g., meets the continuous</w:t>
            </w:r>
          </w:p>
          <w:p w14:paraId="69261126"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improvement requirement);</w:t>
            </w:r>
          </w:p>
          <w:p w14:paraId="746CCE72"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Reinforces the information you are trying to communicate; and</w:t>
            </w:r>
          </w:p>
          <w:p w14:paraId="0D38DDFC"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Helps create two-way dialog between your facility and the stakeholders and can provide</w:t>
            </w:r>
          </w:p>
          <w:p w14:paraId="59A8B5AE"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 xml:space="preserve">a great opportunity to get regular input from your stakeholders. </w:t>
            </w:r>
          </w:p>
          <w:p w14:paraId="384EC9B3" w14:textId="77777777" w:rsidR="00A13DFF" w:rsidRPr="00565011" w:rsidRDefault="00A13DFF" w:rsidP="00A13DFF">
            <w:pPr>
              <w:autoSpaceDE w:val="0"/>
              <w:autoSpaceDN w:val="0"/>
              <w:adjustRightInd w:val="0"/>
              <w:rPr>
                <w:rFonts w:ascii="Calibri" w:hAnsi="Calibri" w:cs="Calibri"/>
                <w:color w:val="000000"/>
                <w:sz w:val="24"/>
                <w:szCs w:val="24"/>
              </w:rPr>
            </w:pPr>
          </w:p>
          <w:p w14:paraId="419CAAAC"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Simple and effective methods of regular internal communication include:</w:t>
            </w:r>
          </w:p>
          <w:p w14:paraId="324C6FBD"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Bulletin board postings;</w:t>
            </w:r>
          </w:p>
          <w:p w14:paraId="396764AD"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Email/printed newsletters;</w:t>
            </w:r>
          </w:p>
          <w:p w14:paraId="4E8E1178"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Breakfast meetings or staff meetings, if they occur regularly; and</w:t>
            </w:r>
          </w:p>
          <w:p w14:paraId="3B411384"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Pre-printed messages on pay stubs or inserts in paychecks.</w:t>
            </w:r>
          </w:p>
          <w:p w14:paraId="4A969082"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Examples of regular external communication include:</w:t>
            </w:r>
          </w:p>
          <w:p w14:paraId="0D32B81A"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Community newsletters;</w:t>
            </w:r>
          </w:p>
          <w:p w14:paraId="6DCD6DFF"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Facility tours;</w:t>
            </w:r>
          </w:p>
          <w:p w14:paraId="7D01C472"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Presentations at local organizations, including Chambers of Commerce and schools;</w:t>
            </w:r>
          </w:p>
          <w:p w14:paraId="47DA5082"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and</w:t>
            </w:r>
          </w:p>
          <w:p w14:paraId="1D4F7840"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Holding public meetings when you feel it is appropriate.</w:t>
            </w:r>
          </w:p>
          <w:p w14:paraId="4448924D" w14:textId="77777777" w:rsidR="00EF409D" w:rsidRDefault="00EF409D" w:rsidP="00A13DFF">
            <w:pPr>
              <w:autoSpaceDE w:val="0"/>
              <w:autoSpaceDN w:val="0"/>
              <w:adjustRightInd w:val="0"/>
              <w:rPr>
                <w:rFonts w:ascii="Calibri" w:hAnsi="Calibri" w:cs="Calibri"/>
                <w:color w:val="000000"/>
                <w:sz w:val="24"/>
                <w:szCs w:val="24"/>
              </w:rPr>
            </w:pPr>
          </w:p>
          <w:p w14:paraId="08E5E5A9" w14:textId="77777777" w:rsidR="00EF409D" w:rsidRDefault="00EF409D" w:rsidP="00A13DFF">
            <w:pPr>
              <w:autoSpaceDE w:val="0"/>
              <w:autoSpaceDN w:val="0"/>
              <w:adjustRightInd w:val="0"/>
              <w:rPr>
                <w:rFonts w:ascii="Calibri" w:hAnsi="Calibri" w:cs="Calibri"/>
                <w:color w:val="000000"/>
                <w:sz w:val="24"/>
                <w:szCs w:val="24"/>
              </w:rPr>
            </w:pPr>
          </w:p>
          <w:p w14:paraId="0CC4EDBE" w14:textId="2F77257C"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lastRenderedPageBreak/>
              <w:t>You will need to decide which techniques are best suited for your facility given its staff,</w:t>
            </w:r>
          </w:p>
          <w:p w14:paraId="79E1583A"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resources, and relative proximity and interest level of external stakeholders. You will also need to periodically review your communication programs to ensure they are effective and up-todate.</w:t>
            </w:r>
          </w:p>
          <w:p w14:paraId="5502B0D7" w14:textId="77777777" w:rsidR="00A13DFF" w:rsidRPr="00565011" w:rsidRDefault="00A13DFF" w:rsidP="00A13DFF">
            <w:pPr>
              <w:autoSpaceDE w:val="0"/>
              <w:autoSpaceDN w:val="0"/>
              <w:adjustRightInd w:val="0"/>
              <w:rPr>
                <w:rFonts w:ascii="Calibri" w:hAnsi="Calibri" w:cs="Calibri,Bold"/>
                <w:b/>
                <w:bCs/>
                <w:color w:val="EE7D31"/>
                <w:sz w:val="24"/>
                <w:szCs w:val="24"/>
              </w:rPr>
            </w:pPr>
          </w:p>
          <w:p w14:paraId="6347070A"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Furthermore, whether you are dealing with internal or external stakeholders, you need a system to ensure that inquiries are addressed. This is especially important when dealing with external stakeholders. A Stakeholder Communication Record can serve to document the nature of the inquiry, to whom it was made, when it was made, what it concerned, and the response given. Documenting inquiries and responding in a timely manner can help strengthen customer and supplier relationships, investor and employee morale, and community and regulator trust.</w:t>
            </w:r>
          </w:p>
          <w:p w14:paraId="36E5E9CB" w14:textId="77777777" w:rsidR="00A13DFF" w:rsidRPr="00565011" w:rsidRDefault="00A13DFF" w:rsidP="00A13DFF">
            <w:pPr>
              <w:pStyle w:val="Default"/>
              <w:rPr>
                <w:b/>
                <w:bCs/>
                <w:color w:val="C00000"/>
              </w:rPr>
            </w:pPr>
          </w:p>
          <w:p w14:paraId="2D46DE73" w14:textId="77777777" w:rsidR="00A13DFF" w:rsidRPr="00565011" w:rsidRDefault="00A13DFF" w:rsidP="00A13DFF">
            <w:pPr>
              <w:pStyle w:val="Default"/>
              <w:rPr>
                <w:bCs/>
                <w:color w:val="auto"/>
              </w:rPr>
            </w:pPr>
            <w:r w:rsidRPr="00565011">
              <w:rPr>
                <w:bCs/>
                <w:color w:val="auto"/>
              </w:rPr>
              <w:t xml:space="preserve">As Jurin et al. (2010) notes: </w:t>
            </w:r>
            <w:r w:rsidRPr="00565011">
              <w:rPr>
                <w:rFonts w:cs="Times-Roman"/>
              </w:rPr>
              <w:t>“…ethics play a decisive role in environmental communication. When a message is not understood, the fault falls back on the originator of the message. The communicator then becomes the fixer” (p. 4).</w:t>
            </w:r>
          </w:p>
          <w:p w14:paraId="690E785C" w14:textId="77777777" w:rsidR="00A13DFF" w:rsidRPr="00565011" w:rsidRDefault="00A13DFF" w:rsidP="00A13DFF">
            <w:pPr>
              <w:pStyle w:val="Default"/>
              <w:rPr>
                <w:bCs/>
                <w:color w:val="auto"/>
              </w:rPr>
            </w:pPr>
          </w:p>
          <w:p w14:paraId="6B2C3FAE" w14:textId="77777777" w:rsidR="00A13DFF" w:rsidRPr="00565011" w:rsidRDefault="00A13DFF" w:rsidP="00A13DFF">
            <w:pPr>
              <w:pStyle w:val="Default"/>
              <w:rPr>
                <w:rFonts w:cstheme="minorBidi"/>
                <w:color w:val="auto"/>
              </w:rPr>
            </w:pPr>
            <w:r w:rsidRPr="00565011">
              <w:rPr>
                <w:bCs/>
                <w:color w:val="auto"/>
              </w:rPr>
              <w:t>Moreover, EU (2009) notes: “</w:t>
            </w:r>
            <w:r w:rsidRPr="00565011">
              <w:rPr>
                <w:rFonts w:cstheme="minorBidi"/>
                <w:color w:val="auto"/>
              </w:rPr>
              <w:t>Both the cause of environmental problems and possibilities for addressing them depend on human perceptions, attitudes and behaviour, which are linked to values, preferences and beliefs about the world” (p. 1).</w:t>
            </w:r>
          </w:p>
          <w:p w14:paraId="1386F31B" w14:textId="77777777" w:rsidR="00A13DFF" w:rsidRPr="00565011" w:rsidRDefault="00A13DFF" w:rsidP="00A13DFF">
            <w:pPr>
              <w:pStyle w:val="Default"/>
              <w:rPr>
                <w:bCs/>
                <w:color w:val="auto"/>
              </w:rPr>
            </w:pPr>
          </w:p>
          <w:p w14:paraId="3B2917BE" w14:textId="77777777" w:rsidR="00A13DFF" w:rsidRPr="00565011" w:rsidRDefault="00A13DFF" w:rsidP="00A13DFF">
            <w:pPr>
              <w:pStyle w:val="Default"/>
              <w:rPr>
                <w:bCs/>
                <w:color w:val="auto"/>
              </w:rPr>
            </w:pPr>
            <w:r w:rsidRPr="00565011">
              <w:rPr>
                <w:bCs/>
                <w:color w:val="auto"/>
              </w:rPr>
              <w:t>Furthermore, regarding the communication of environmental risks (known as risk communication), the research literature gives lots of useful guidance (e.g., Kasperson, 1988; Lundgren and McMakin, 2013).</w:t>
            </w:r>
          </w:p>
          <w:p w14:paraId="0E3BC1B8" w14:textId="77777777" w:rsidR="00A13DFF" w:rsidRPr="00565011" w:rsidRDefault="00A13DFF" w:rsidP="00A13DFF">
            <w:pPr>
              <w:pStyle w:val="Default"/>
              <w:rPr>
                <w:b/>
                <w:bCs/>
                <w:color w:val="C00000"/>
              </w:rPr>
            </w:pPr>
          </w:p>
          <w:p w14:paraId="25836246" w14:textId="77777777" w:rsidR="00A13DFF" w:rsidRPr="00565011" w:rsidRDefault="00A13DFF" w:rsidP="00A13DFF">
            <w:pPr>
              <w:rPr>
                <w:rFonts w:ascii="Calibri" w:hAnsi="Calibri"/>
                <w:sz w:val="24"/>
                <w:szCs w:val="24"/>
              </w:rPr>
            </w:pPr>
            <w:r w:rsidRPr="00565011">
              <w:rPr>
                <w:rFonts w:ascii="Calibri" w:hAnsi="Calibri"/>
                <w:sz w:val="24"/>
                <w:szCs w:val="24"/>
              </w:rPr>
              <w:t xml:space="preserve">Additionally, the literature suggests a close link between the efficacy of methods used for communicating information and the nature of the relevant risks themselves, whether actual or perceived (e.g., Covello, 1992; Gutteling, 2015). </w:t>
            </w:r>
            <w:r w:rsidRPr="00565011">
              <w:rPr>
                <w:rFonts w:ascii="Calibri" w:hAnsi="Calibri"/>
                <w:sz w:val="24"/>
                <w:szCs w:val="24"/>
              </w:rPr>
              <w:tab/>
              <w:t xml:space="preserve"> </w:t>
            </w:r>
          </w:p>
          <w:p w14:paraId="3C5DD446" w14:textId="77777777" w:rsidR="00A13DFF" w:rsidRPr="00565011" w:rsidRDefault="00A13DFF" w:rsidP="00A13DFF">
            <w:pPr>
              <w:rPr>
                <w:rFonts w:ascii="Calibri" w:hAnsi="Calibri"/>
                <w:sz w:val="24"/>
                <w:szCs w:val="24"/>
              </w:rPr>
            </w:pPr>
          </w:p>
          <w:p w14:paraId="76A547C9" w14:textId="77777777" w:rsidR="00A13DFF" w:rsidRPr="00565011" w:rsidRDefault="00A13DFF" w:rsidP="00A13DFF">
            <w:pPr>
              <w:rPr>
                <w:rFonts w:ascii="Calibri" w:hAnsi="Calibri"/>
                <w:sz w:val="24"/>
                <w:szCs w:val="24"/>
              </w:rPr>
            </w:pPr>
            <w:r w:rsidRPr="00565011">
              <w:rPr>
                <w:rFonts w:ascii="Calibri" w:hAnsi="Calibri"/>
                <w:sz w:val="24"/>
                <w:szCs w:val="24"/>
              </w:rPr>
              <w:t>One suggests that this is highly relevant to the communication of environmental information, given its often highly charged, political and contested nature (e.g., Allan et al., 2000; Burgess et al., 1998; Corbett, 2006; Hansen, 2010; Hansen, 2011).</w:t>
            </w:r>
          </w:p>
          <w:p w14:paraId="3DBFD95D" w14:textId="77777777" w:rsidR="00A13DFF" w:rsidRPr="00565011" w:rsidRDefault="00A13DFF" w:rsidP="00A13DFF">
            <w:pPr>
              <w:rPr>
                <w:rFonts w:ascii="Calibri" w:hAnsi="Calibri"/>
                <w:sz w:val="24"/>
                <w:szCs w:val="24"/>
              </w:rPr>
            </w:pPr>
          </w:p>
          <w:p w14:paraId="04029BA2" w14:textId="77777777" w:rsidR="00A13DFF" w:rsidRPr="00565011" w:rsidRDefault="00A13DFF" w:rsidP="00A13DFF">
            <w:pPr>
              <w:rPr>
                <w:rFonts w:ascii="Calibri" w:hAnsi="Calibri"/>
                <w:sz w:val="24"/>
                <w:szCs w:val="24"/>
              </w:rPr>
            </w:pPr>
            <w:r w:rsidRPr="00565011">
              <w:rPr>
                <w:rFonts w:ascii="Calibri" w:hAnsi="Calibri"/>
                <w:sz w:val="24"/>
                <w:szCs w:val="24"/>
              </w:rPr>
              <w:t xml:space="preserve">In particular, Kasperson (1986) notes: </w:t>
            </w:r>
          </w:p>
          <w:p w14:paraId="731936F8" w14:textId="77777777" w:rsidR="00A13DFF" w:rsidRPr="00565011" w:rsidRDefault="00A13DFF" w:rsidP="00A13DFF">
            <w:pPr>
              <w:rPr>
                <w:rFonts w:ascii="Calibri" w:hAnsi="Calibri"/>
                <w:sz w:val="24"/>
                <w:szCs w:val="24"/>
              </w:rPr>
            </w:pPr>
            <w:r w:rsidRPr="00565011">
              <w:rPr>
                <w:rFonts w:ascii="Calibri" w:hAnsi="Calibri"/>
                <w:sz w:val="24"/>
                <w:szCs w:val="24"/>
              </w:rPr>
              <w:t>“Where potential harm is concerned, the believability of information provided depends greatly on the degree of trust and confidence in the risk communicator. If the communicator is viewed as having a compromised mandate or a lack of competence, credence in information provided tends to be weakened accordingly. Or if the particular risk has been mismanaged or neglected in the past, scepticism and distrust may greet attempts to communicate risks” (p. 277).</w:t>
            </w:r>
          </w:p>
          <w:p w14:paraId="295EACE0" w14:textId="77777777" w:rsidR="00A13DFF" w:rsidRPr="00565011" w:rsidRDefault="00A13DFF" w:rsidP="00A13DFF">
            <w:pPr>
              <w:rPr>
                <w:rFonts w:ascii="Calibri" w:hAnsi="Calibri"/>
                <w:sz w:val="24"/>
                <w:szCs w:val="24"/>
              </w:rPr>
            </w:pPr>
          </w:p>
          <w:p w14:paraId="301ACCB1" w14:textId="77777777" w:rsidR="00A13DFF" w:rsidRPr="00565011" w:rsidRDefault="00A13DFF" w:rsidP="00A13DFF">
            <w:pPr>
              <w:rPr>
                <w:rFonts w:ascii="Calibri" w:hAnsi="Calibri"/>
                <w:sz w:val="24"/>
                <w:szCs w:val="24"/>
              </w:rPr>
            </w:pPr>
            <w:r w:rsidRPr="00565011">
              <w:rPr>
                <w:rFonts w:ascii="Calibri" w:hAnsi="Calibri"/>
                <w:sz w:val="24"/>
                <w:szCs w:val="24"/>
              </w:rPr>
              <w:t xml:space="preserve">As a result, when it comes to the evaluation of what method(s) to actually use for the purpose of effectively communicating environmental information, an understanding of the different audiences </w:t>
            </w:r>
            <w:r w:rsidRPr="00565011">
              <w:rPr>
                <w:rFonts w:ascii="Calibri" w:hAnsi="Calibri"/>
                <w:i/>
                <w:sz w:val="24"/>
                <w:szCs w:val="24"/>
              </w:rPr>
              <w:t>and</w:t>
            </w:r>
            <w:r w:rsidRPr="00565011">
              <w:rPr>
                <w:rFonts w:ascii="Calibri" w:hAnsi="Calibri"/>
                <w:sz w:val="24"/>
                <w:szCs w:val="24"/>
              </w:rPr>
              <w:t xml:space="preserve"> what their respective feelings are towards the firm in question (especially in light of its past record on the issue in question, if applicable, and general reputation) is therefore felt to be of paramount importance.</w:t>
            </w:r>
          </w:p>
          <w:p w14:paraId="0F2B6870" w14:textId="77777777" w:rsidR="00A13DFF" w:rsidRPr="00565011" w:rsidRDefault="00A13DFF" w:rsidP="00A13DFF">
            <w:pPr>
              <w:pStyle w:val="Default"/>
              <w:rPr>
                <w:b/>
                <w:bCs/>
                <w:color w:val="C00000"/>
              </w:rPr>
            </w:pPr>
          </w:p>
          <w:p w14:paraId="394862FA" w14:textId="77777777" w:rsidR="00A13DFF" w:rsidRPr="00565011" w:rsidRDefault="00A13DFF" w:rsidP="00A13DFF">
            <w:pPr>
              <w:pStyle w:val="Default"/>
              <w:rPr>
                <w:i/>
                <w:color w:val="auto"/>
              </w:rPr>
            </w:pPr>
            <w:r w:rsidRPr="00565011">
              <w:rPr>
                <w:b/>
                <w:bCs/>
                <w:i/>
                <w:color w:val="C00000"/>
              </w:rPr>
              <w:lastRenderedPageBreak/>
              <w:t xml:space="preserve">3. </w:t>
            </w:r>
            <w:r w:rsidRPr="00795D1F">
              <w:rPr>
                <w:i/>
                <w:color w:val="auto"/>
                <w:u w:val="single"/>
              </w:rPr>
              <w:t>How important</w:t>
            </w:r>
            <w:r w:rsidRPr="00795D1F">
              <w:rPr>
                <w:i/>
                <w:color w:val="auto"/>
              </w:rPr>
              <w:t xml:space="preserve"> </w:t>
            </w:r>
            <w:r w:rsidRPr="00565011">
              <w:rPr>
                <w:i/>
                <w:color w:val="auto"/>
              </w:rPr>
              <w:t>is the impor</w:t>
            </w:r>
            <w:bookmarkStart w:id="1" w:name="_GoBack"/>
            <w:bookmarkEnd w:id="1"/>
            <w:r w:rsidRPr="00565011">
              <w:rPr>
                <w:i/>
                <w:color w:val="auto"/>
              </w:rPr>
              <w:t xml:space="preserve">tance of emergency preparedness and response? (7) </w:t>
            </w:r>
          </w:p>
          <w:p w14:paraId="2909E20B" w14:textId="77777777" w:rsidR="00A13DFF" w:rsidRPr="00565011" w:rsidRDefault="00A13DFF" w:rsidP="00A13DFF">
            <w:pPr>
              <w:pStyle w:val="Default"/>
              <w:tabs>
                <w:tab w:val="left" w:pos="2535"/>
              </w:tabs>
              <w:rPr>
                <w:color w:val="auto"/>
              </w:rPr>
            </w:pPr>
            <w:r w:rsidRPr="00565011">
              <w:rPr>
                <w:color w:val="auto"/>
              </w:rPr>
              <w:tab/>
            </w:r>
          </w:p>
          <w:p w14:paraId="7B3195F0"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Once again referring to the course notes, it is important to begin by stressing that an emergency response plan (ERP) is a mandatory part of the OH&amp;S program. Emergency response is one of the four activities included in emergency management and also includes: prevention, preparedness and recovery. The ERP involves a process with procedures that outlines the internal/external resources, roles, responsibilities and accountabilities; and training requirements needed to deal with emergency situations in a controlled manner. In an emergency, all workers must know their specific roles and responsibilities to keep themselves and others safe. Musculoskeletal injury (MSI) prevention considerations should always be included in emergency response planning.</w:t>
            </w:r>
          </w:p>
          <w:p w14:paraId="3851FF24" w14:textId="77777777" w:rsidR="00A13DFF" w:rsidRPr="00565011" w:rsidRDefault="00A13DFF" w:rsidP="00A13DFF">
            <w:pPr>
              <w:autoSpaceDE w:val="0"/>
              <w:autoSpaceDN w:val="0"/>
              <w:adjustRightInd w:val="0"/>
              <w:rPr>
                <w:rFonts w:ascii="Calibri" w:hAnsi="Calibri" w:cs="Calibri"/>
                <w:color w:val="000000"/>
                <w:sz w:val="24"/>
                <w:szCs w:val="24"/>
              </w:rPr>
            </w:pPr>
          </w:p>
          <w:p w14:paraId="3CB5D1BC"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Some examples include:</w:t>
            </w:r>
          </w:p>
          <w:p w14:paraId="263BE1FB"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ensuring all emergency signage is understandable and easy to read</w:t>
            </w:r>
          </w:p>
          <w:p w14:paraId="62591500"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placing emergency equipment and gear within easy reach of those who are required to use it</w:t>
            </w:r>
          </w:p>
          <w:p w14:paraId="0E879165"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making sure workers understand what is required of them in the event of an emergency</w:t>
            </w:r>
          </w:p>
          <w:p w14:paraId="01E194DB"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Incorporating emergency preparedness and response into the OH&amp;S program strengthens the internal responsibility system and is essential to building a positive safety culture and healthy workplace.</w:t>
            </w:r>
          </w:p>
          <w:p w14:paraId="46183BC6" w14:textId="77777777" w:rsidR="00A13DFF" w:rsidRPr="00565011" w:rsidRDefault="00A13DFF" w:rsidP="00A13DFF">
            <w:pPr>
              <w:autoSpaceDE w:val="0"/>
              <w:autoSpaceDN w:val="0"/>
              <w:adjustRightInd w:val="0"/>
              <w:rPr>
                <w:rFonts w:ascii="Calibri" w:hAnsi="Calibri" w:cs="Calibri,Bold"/>
                <w:b/>
                <w:bCs/>
                <w:color w:val="000000"/>
                <w:sz w:val="24"/>
                <w:szCs w:val="24"/>
              </w:rPr>
            </w:pPr>
          </w:p>
          <w:p w14:paraId="2AB9E6D6"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There are a number of benefits associated with developing effective emergency preparedness and response procedures that go beyond legislated requirements.</w:t>
            </w:r>
          </w:p>
          <w:p w14:paraId="38D96A4C"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demonstrating the commitment to the health and safety of workers and the public</w:t>
            </w:r>
          </w:p>
          <w:p w14:paraId="07CFB530"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reducing potential loss to people, equipment, material and the environment</w:t>
            </w:r>
          </w:p>
          <w:p w14:paraId="4666A22B"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ensuring that all workers, including managers and supervisors, know their roles and</w:t>
            </w:r>
          </w:p>
          <w:p w14:paraId="6A681A25"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responsibilities, and are trained to respond</w:t>
            </w:r>
          </w:p>
          <w:p w14:paraId="36BFE511"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identifying both internal and external resources and capabilities</w:t>
            </w:r>
          </w:p>
          <w:p w14:paraId="7AC39F07"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ensuring mutual aid agreements with other organizations are effective*</w:t>
            </w:r>
          </w:p>
          <w:p w14:paraId="3DB8D84A"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being effective in reducing emergency response times</w:t>
            </w:r>
          </w:p>
          <w:p w14:paraId="774E5563"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helping restore business operations as soon as possible</w:t>
            </w:r>
          </w:p>
          <w:p w14:paraId="132EB43F"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enhancing public perception that industry and their emergency responders are effectively</w:t>
            </w:r>
          </w:p>
          <w:p w14:paraId="01C5A357"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managing emergencies</w:t>
            </w:r>
          </w:p>
          <w:p w14:paraId="1617FAE7" w14:textId="77777777" w:rsidR="00A13DFF" w:rsidRPr="00565011" w:rsidRDefault="00A13DFF" w:rsidP="00A13DFF">
            <w:pPr>
              <w:autoSpaceDE w:val="0"/>
              <w:autoSpaceDN w:val="0"/>
              <w:adjustRightInd w:val="0"/>
              <w:rPr>
                <w:rFonts w:ascii="Calibri" w:hAnsi="Calibri" w:cs="Calibri"/>
                <w:color w:val="000000"/>
                <w:sz w:val="24"/>
                <w:szCs w:val="24"/>
              </w:rPr>
            </w:pPr>
          </w:p>
          <w:p w14:paraId="31012F89"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Members of the Co-ordinating Group will be well placed to understand the emergency response agencies and the resources available in the local area or will know where to get the information.</w:t>
            </w:r>
          </w:p>
          <w:p w14:paraId="15896D6B" w14:textId="77777777" w:rsidR="00A13DFF" w:rsidRPr="00565011" w:rsidRDefault="00A13DFF" w:rsidP="00A13DFF">
            <w:pPr>
              <w:autoSpaceDE w:val="0"/>
              <w:autoSpaceDN w:val="0"/>
              <w:adjustRightInd w:val="0"/>
              <w:rPr>
                <w:rFonts w:ascii="Calibri" w:hAnsi="Calibri" w:cs="Calibri"/>
                <w:color w:val="000000"/>
                <w:sz w:val="24"/>
                <w:szCs w:val="24"/>
              </w:rPr>
            </w:pPr>
          </w:p>
          <w:p w14:paraId="543762C2"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The response to environmental emergencies often comes from a huge range of groups: local</w:t>
            </w:r>
          </w:p>
          <w:p w14:paraId="6BD491DA"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 xml:space="preserve">communities, local and national authorities, foreign governments, the United Nations, nongovernmental organizations, and increasingly, corporate entities. In this confusing melée, the Joint Environment Unit is the primary multilateral focal point with a remit to mobilize and coordinate international responses to environmental emergencies. Over the past 15 years, the Joint Environment Unit has worked with many international partners to develop tools, systems, training and coordination mechanisms that make environmental emergency responses more effective. </w:t>
            </w:r>
          </w:p>
          <w:p w14:paraId="54EC4F2E" w14:textId="77777777" w:rsidR="00A13DFF" w:rsidRPr="00565011" w:rsidRDefault="00A13DFF" w:rsidP="00A13DFF">
            <w:pPr>
              <w:autoSpaceDE w:val="0"/>
              <w:autoSpaceDN w:val="0"/>
              <w:adjustRightInd w:val="0"/>
              <w:rPr>
                <w:rFonts w:ascii="Calibri" w:hAnsi="Calibri" w:cs="Calibri"/>
                <w:color w:val="000000"/>
                <w:sz w:val="24"/>
                <w:szCs w:val="24"/>
              </w:rPr>
            </w:pPr>
          </w:p>
          <w:p w14:paraId="08A682A3"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lastRenderedPageBreak/>
              <w:t>The world will never be free from environmental emergencies: natural forces are too strong to be contained, accidents will happen, and conflict recurs. If anything, climate change and population pressure will increase the danger. But with planning, preparation and coordination, vulnerable countries can be ready to deal with disaster and</w:t>
            </w:r>
          </w:p>
          <w:p w14:paraId="76EE6268"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the international community can respond quickly and effectively.</w:t>
            </w:r>
          </w:p>
          <w:p w14:paraId="32421CA7" w14:textId="77777777" w:rsidR="00A13DFF" w:rsidRPr="00565011" w:rsidRDefault="00A13DFF" w:rsidP="00A13DFF">
            <w:pPr>
              <w:autoSpaceDE w:val="0"/>
              <w:autoSpaceDN w:val="0"/>
              <w:adjustRightInd w:val="0"/>
              <w:rPr>
                <w:rFonts w:ascii="Calibri" w:hAnsi="Calibri" w:cs="Calibri"/>
                <w:color w:val="000000"/>
                <w:sz w:val="24"/>
                <w:szCs w:val="24"/>
              </w:rPr>
            </w:pPr>
          </w:p>
          <w:p w14:paraId="2D5209A9"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Regarding ISO14001 requirements, the organization must establish, implement and maintain a procedure(s) to identify potential emergency situations and potential accidents that can have an impact(s) on the environment and how it will respond to them. The organization shall respond to actual emergency situations and accidents and prevent or mitigate associated adverse environmental impacts. The organization shall periodically review and, where necessary, revise its emergency preparedness and response procedures, in particular, after the occurrence of accidents or emergency situations. The organization shall also periodically test such procedures where practicable.</w:t>
            </w:r>
          </w:p>
          <w:p w14:paraId="3F496DD0" w14:textId="77777777" w:rsidR="00A13DFF" w:rsidRPr="00565011" w:rsidRDefault="00A13DFF" w:rsidP="00A13DFF">
            <w:pPr>
              <w:autoSpaceDE w:val="0"/>
              <w:autoSpaceDN w:val="0"/>
              <w:adjustRightInd w:val="0"/>
              <w:rPr>
                <w:rFonts w:ascii="Calibri" w:hAnsi="Calibri" w:cs="Calibri"/>
                <w:color w:val="000000"/>
                <w:sz w:val="24"/>
                <w:szCs w:val="24"/>
              </w:rPr>
            </w:pPr>
          </w:p>
          <w:p w14:paraId="7F06A118"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The Standard requires that three components be addressed by the organization:</w:t>
            </w:r>
          </w:p>
          <w:p w14:paraId="3C5F226F" w14:textId="77777777" w:rsidR="00A13DFF" w:rsidRPr="00565011" w:rsidRDefault="00A13DFF" w:rsidP="00A13DFF">
            <w:pPr>
              <w:pStyle w:val="ListParagraph"/>
              <w:numPr>
                <w:ilvl w:val="0"/>
                <w:numId w:val="2"/>
              </w:numPr>
              <w:autoSpaceDE w:val="0"/>
              <w:autoSpaceDN w:val="0"/>
              <w:adjustRightInd w:val="0"/>
              <w:rPr>
                <w:rFonts w:cs="Calibri"/>
                <w:color w:val="000000"/>
                <w:sz w:val="24"/>
                <w:szCs w:val="24"/>
              </w:rPr>
            </w:pPr>
            <w:r w:rsidRPr="00565011">
              <w:rPr>
                <w:rFonts w:cs="Calibri"/>
                <w:color w:val="000000"/>
                <w:sz w:val="24"/>
                <w:szCs w:val="24"/>
              </w:rPr>
              <w:t>Establish and maintain procedures to identify the potential for, and the response to, accidents and emergency situations, in order to prevent and mitigate the environmental impacts that may be associated with them.</w:t>
            </w:r>
          </w:p>
          <w:p w14:paraId="28B8DAF6" w14:textId="77777777" w:rsidR="00A13DFF" w:rsidRPr="00565011" w:rsidRDefault="00A13DFF" w:rsidP="00A13DFF">
            <w:pPr>
              <w:pStyle w:val="ListParagraph"/>
              <w:numPr>
                <w:ilvl w:val="0"/>
                <w:numId w:val="2"/>
              </w:numPr>
              <w:autoSpaceDE w:val="0"/>
              <w:autoSpaceDN w:val="0"/>
              <w:adjustRightInd w:val="0"/>
              <w:rPr>
                <w:rFonts w:cs="Calibri"/>
                <w:color w:val="000000"/>
                <w:sz w:val="24"/>
                <w:szCs w:val="24"/>
              </w:rPr>
            </w:pPr>
            <w:r w:rsidRPr="00565011">
              <w:rPr>
                <w:rFonts w:cs="Calibri"/>
                <w:color w:val="000000"/>
                <w:sz w:val="24"/>
                <w:szCs w:val="24"/>
              </w:rPr>
              <w:t>Review and revise the importance of learning from incidents. Obviously corrective actions will be taken and results of audits will be considered after the occurrence of accidents or emergencies or even ‘near misses’.</w:t>
            </w:r>
          </w:p>
          <w:p w14:paraId="56B4D2A7" w14:textId="77777777" w:rsidR="00A13DFF" w:rsidRPr="00565011" w:rsidRDefault="00A13DFF" w:rsidP="00A13DFF">
            <w:pPr>
              <w:pStyle w:val="ListParagraph"/>
              <w:numPr>
                <w:ilvl w:val="0"/>
                <w:numId w:val="2"/>
              </w:numPr>
              <w:autoSpaceDE w:val="0"/>
              <w:autoSpaceDN w:val="0"/>
              <w:adjustRightInd w:val="0"/>
              <w:rPr>
                <w:rFonts w:cs="Calibri"/>
                <w:color w:val="000000"/>
                <w:sz w:val="24"/>
                <w:szCs w:val="24"/>
              </w:rPr>
            </w:pPr>
            <w:r w:rsidRPr="00565011">
              <w:rPr>
                <w:rFonts w:cs="Calibri"/>
                <w:color w:val="000000"/>
                <w:sz w:val="24"/>
                <w:szCs w:val="24"/>
              </w:rPr>
              <w:t xml:space="preserve">Testing of emergency plans should be planned and the Standard indicates that periodic testing of such </w:t>
            </w:r>
            <w:r w:rsidRPr="00565011">
              <w:rPr>
                <w:sz w:val="24"/>
                <w:szCs w:val="24"/>
              </w:rPr>
              <w:t>procedures should be carried out where practicable.</w:t>
            </w:r>
          </w:p>
          <w:p w14:paraId="72022EDA" w14:textId="77777777" w:rsidR="00A13DFF" w:rsidRPr="00565011" w:rsidRDefault="00A13DFF" w:rsidP="00A13DFF">
            <w:pPr>
              <w:pStyle w:val="Default"/>
              <w:rPr>
                <w:color w:val="auto"/>
              </w:rPr>
            </w:pPr>
          </w:p>
          <w:p w14:paraId="58CC4765"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Section 30 places a duty on the person responsible for the environmental incident to report to the relevant authorities on a number of aspects related to the incident, including individuals whose health and safety may be affected. Furthermore, the responsible person is obliged to undertake all reasonable steps to contain and minimise the effects of the incident on the environment; to undertake clean-up procedures; to remedy the effects of the incident; and to assess the immediate and long-term effects of the incident on the environment and public health. Failure to comply with the provisions of section 30 may result in a compliance notice been issued by an Environmental Management Inspector</w:t>
            </w:r>
          </w:p>
          <w:p w14:paraId="2FDBE49B"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(EMI).</w:t>
            </w:r>
          </w:p>
          <w:p w14:paraId="21DDCBE7" w14:textId="77777777" w:rsidR="00A13DFF" w:rsidRPr="00565011" w:rsidRDefault="00A13DFF" w:rsidP="00A13DFF">
            <w:pPr>
              <w:autoSpaceDE w:val="0"/>
              <w:autoSpaceDN w:val="0"/>
              <w:adjustRightInd w:val="0"/>
              <w:rPr>
                <w:rFonts w:ascii="Calibri" w:hAnsi="Calibri" w:cs="Calibri,Bold"/>
                <w:b/>
                <w:bCs/>
                <w:color w:val="000000"/>
                <w:sz w:val="24"/>
                <w:szCs w:val="24"/>
              </w:rPr>
            </w:pPr>
          </w:p>
          <w:p w14:paraId="54E41C3B"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Moving on, the course notes also make clear that the purpose of mitigation is to identify measures that safeguard the environment and the community affected by the proposal. Mitigation is both a creative and practical phase of the EIA (Environmental Impact Assessment) process. It seeks to find the best ways and means of avoiding, minimizing, and remedying impacts. Mitigation measures must be translated into action in the correct way and at the right time if they are to be successful. This process is referred to as impact management and takes places during project implementation. A written plan should be prepared for this purpose, and includes a schedule of agreed actions.</w:t>
            </w:r>
          </w:p>
          <w:p w14:paraId="4E1BEFEE"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Mitigation is a critical component of EIA process. It aims to prevent adverse impact from happening and to keep those that do occur with an acceptable level.</w:t>
            </w:r>
          </w:p>
          <w:p w14:paraId="20D057E7" w14:textId="77777777" w:rsidR="00A13DFF" w:rsidRPr="00565011" w:rsidRDefault="00A13DFF" w:rsidP="00A13DFF">
            <w:pPr>
              <w:autoSpaceDE w:val="0"/>
              <w:autoSpaceDN w:val="0"/>
              <w:adjustRightInd w:val="0"/>
              <w:rPr>
                <w:rFonts w:ascii="Calibri" w:hAnsi="Calibri" w:cs="Calibri"/>
                <w:color w:val="000000"/>
                <w:sz w:val="24"/>
                <w:szCs w:val="24"/>
              </w:rPr>
            </w:pPr>
          </w:p>
          <w:p w14:paraId="73C8F59B" w14:textId="77777777" w:rsidR="00A13DFF" w:rsidRPr="00565011" w:rsidRDefault="00A13DFF" w:rsidP="00A13DFF">
            <w:pPr>
              <w:autoSpaceDE w:val="0"/>
              <w:autoSpaceDN w:val="0"/>
              <w:adjustRightInd w:val="0"/>
              <w:rPr>
                <w:rFonts w:ascii="Calibri" w:hAnsi="Calibri" w:cs="Calibri"/>
                <w:color w:val="000000"/>
                <w:sz w:val="24"/>
                <w:szCs w:val="24"/>
              </w:rPr>
            </w:pPr>
          </w:p>
          <w:p w14:paraId="7F834074"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lastRenderedPageBreak/>
              <w:t>The objectives of mitigation are to:</w:t>
            </w:r>
          </w:p>
          <w:p w14:paraId="694C99CD"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Find better alternatives and ways of doing things</w:t>
            </w:r>
          </w:p>
          <w:p w14:paraId="3AB52A76"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Enhance the environment and social benefits of a proposal</w:t>
            </w:r>
          </w:p>
          <w:p w14:paraId="532AB44D"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Avoid, minimize or remedy adverse impacts</w:t>
            </w:r>
          </w:p>
          <w:p w14:paraId="2853DA19" w14:textId="77777777" w:rsidR="00A13DFF" w:rsidRPr="00565011" w:rsidRDefault="00A13DFF" w:rsidP="00A13DFF">
            <w:pPr>
              <w:rPr>
                <w:rFonts w:ascii="Calibri" w:hAnsi="Calibri" w:cs="Calibri"/>
                <w:color w:val="000000"/>
                <w:sz w:val="24"/>
                <w:szCs w:val="24"/>
              </w:rPr>
            </w:pPr>
          </w:p>
          <w:p w14:paraId="33E2A8AE" w14:textId="77777777" w:rsidR="00A13DFF" w:rsidRPr="00565011" w:rsidRDefault="00A13DFF" w:rsidP="00A13DFF">
            <w:pPr>
              <w:rPr>
                <w:rFonts w:ascii="Calibri" w:hAnsi="Calibri"/>
                <w:sz w:val="24"/>
                <w:szCs w:val="24"/>
              </w:rPr>
            </w:pPr>
            <w:r w:rsidRPr="00565011">
              <w:rPr>
                <w:rFonts w:ascii="Calibri" w:hAnsi="Calibri"/>
                <w:sz w:val="24"/>
                <w:szCs w:val="24"/>
              </w:rPr>
              <w:t>Moreover, along with other commentators, UN(2008) and UNEP (20009) go out of their way to underline the importance of disaster preparedness.</w:t>
            </w:r>
          </w:p>
          <w:p w14:paraId="196DEC83" w14:textId="77777777" w:rsidR="00A13DFF" w:rsidRPr="00565011" w:rsidRDefault="00A13DFF" w:rsidP="00A13DFF">
            <w:pPr>
              <w:rPr>
                <w:rFonts w:ascii="Calibri" w:hAnsi="Calibri"/>
                <w:b/>
                <w:bCs/>
                <w:color w:val="C00000"/>
                <w:sz w:val="24"/>
                <w:szCs w:val="24"/>
              </w:rPr>
            </w:pPr>
          </w:p>
          <w:p w14:paraId="29171424" w14:textId="77777777" w:rsidR="00A13DFF" w:rsidRPr="00565011" w:rsidRDefault="00A13DFF" w:rsidP="00A13DFF">
            <w:pPr>
              <w:rPr>
                <w:rFonts w:ascii="Calibri" w:hAnsi="Calibri"/>
                <w:sz w:val="24"/>
                <w:szCs w:val="24"/>
              </w:rPr>
            </w:pPr>
            <w:r w:rsidRPr="00565011">
              <w:rPr>
                <w:rFonts w:ascii="Calibri" w:hAnsi="Calibri"/>
                <w:sz w:val="24"/>
                <w:szCs w:val="24"/>
              </w:rPr>
              <w:t>In brief conclusion, there is no doubt that disaster preparedness is extremely important, especially in connection with environment improvement performance, the focus of this assignment. Ideally, one would wish to eliminate the risk and incidence of disaster altogether, but this is neither realistic nor cost-effective, so disaster preparedness then becomes the next best and most sensible default position for all responsible organisation, when it comes to the management of environmental risks.</w:t>
            </w:r>
          </w:p>
          <w:p w14:paraId="756C658B" w14:textId="77777777" w:rsidR="00A13DFF" w:rsidRPr="00565011" w:rsidRDefault="00A13DFF" w:rsidP="00A13DFF">
            <w:pPr>
              <w:rPr>
                <w:rFonts w:ascii="Calibri" w:hAnsi="Calibri"/>
                <w:b/>
                <w:bCs/>
                <w:i/>
                <w:color w:val="C00000"/>
                <w:sz w:val="24"/>
                <w:szCs w:val="24"/>
              </w:rPr>
            </w:pPr>
          </w:p>
          <w:p w14:paraId="5A8075BD" w14:textId="77777777" w:rsidR="00A13DFF" w:rsidRPr="00565011" w:rsidRDefault="00A13DFF" w:rsidP="00A13DFF">
            <w:pPr>
              <w:rPr>
                <w:rFonts w:ascii="Calibri" w:hAnsi="Calibri"/>
                <w:i/>
                <w:sz w:val="24"/>
                <w:szCs w:val="24"/>
              </w:rPr>
            </w:pPr>
            <w:r w:rsidRPr="00565011">
              <w:rPr>
                <w:rFonts w:ascii="Calibri" w:hAnsi="Calibri"/>
                <w:b/>
                <w:bCs/>
                <w:i/>
                <w:color w:val="C00000"/>
                <w:sz w:val="24"/>
                <w:szCs w:val="24"/>
              </w:rPr>
              <w:t>4.</w:t>
            </w:r>
            <w:r w:rsidRPr="00565011">
              <w:rPr>
                <w:rFonts w:ascii="Calibri" w:hAnsi="Calibri"/>
                <w:bCs/>
                <w:i/>
                <w:color w:val="C00000"/>
                <w:sz w:val="24"/>
                <w:szCs w:val="24"/>
              </w:rPr>
              <w:t xml:space="preserve"> </w:t>
            </w:r>
            <w:r w:rsidRPr="00795D1F">
              <w:rPr>
                <w:rFonts w:ascii="Calibri" w:hAnsi="Calibri"/>
                <w:i/>
                <w:sz w:val="24"/>
                <w:szCs w:val="24"/>
                <w:u w:val="single"/>
              </w:rPr>
              <w:t>Discuss</w:t>
            </w:r>
            <w:r w:rsidRPr="00565011">
              <w:rPr>
                <w:rFonts w:ascii="Calibri" w:hAnsi="Calibri"/>
                <w:i/>
                <w:sz w:val="24"/>
                <w:szCs w:val="24"/>
              </w:rPr>
              <w:t xml:space="preserve"> various pollution incidents requiring notification. (8)</w:t>
            </w:r>
          </w:p>
          <w:p w14:paraId="0D31B166" w14:textId="77777777" w:rsidR="00A13DFF" w:rsidRPr="00565011" w:rsidRDefault="00A13DFF" w:rsidP="00A13DFF">
            <w:pPr>
              <w:rPr>
                <w:rFonts w:ascii="Calibri" w:hAnsi="Calibri" w:cs="Calibri"/>
                <w:color w:val="000000"/>
                <w:sz w:val="24"/>
                <w:szCs w:val="24"/>
              </w:rPr>
            </w:pPr>
          </w:p>
          <w:p w14:paraId="466F5272" w14:textId="77777777" w:rsidR="00A13DFF" w:rsidRPr="00565011" w:rsidRDefault="00A13DFF" w:rsidP="00A13DFF">
            <w:pPr>
              <w:spacing w:after="160" w:line="259" w:lineRule="auto"/>
              <w:rPr>
                <w:rFonts w:ascii="Calibri" w:hAnsi="Calibri" w:cs="Calibri"/>
                <w:color w:val="000000"/>
                <w:sz w:val="24"/>
                <w:szCs w:val="24"/>
              </w:rPr>
            </w:pPr>
            <w:r w:rsidRPr="00565011">
              <w:rPr>
                <w:rFonts w:ascii="Calibri" w:hAnsi="Calibri" w:cs="Calibri"/>
                <w:color w:val="000000"/>
                <w:sz w:val="24"/>
                <w:szCs w:val="24"/>
              </w:rPr>
              <w:t>Firstly, being guided by the course, one wish to identically define a ‘pollution incident’ as an incident or set of circumstances during or as a consequence of which there is likely to be a leak, spill or other escape or deposit of a substance, as a result of which pollution has occurred, is occurring or is likely to occur. It includes an incident or set of circumstances in which a substance has been placed or disposed of on a premises, but it does not include an incident or set of circumstances involving only the emission of any noise.</w:t>
            </w:r>
          </w:p>
          <w:p w14:paraId="37BAC8B0"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The specific requirements for PIRMPs are set out in Part 5.7A of the POEO Act and the Protection of the Environment Operations (General) Regulation 2009 (POEO (G) Regulation). In summary, this legislation requires the following:</w:t>
            </w:r>
          </w:p>
          <w:p w14:paraId="13B1E9A6"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All holders of EPLs must prepare a pollution incident response management plan (section 153A, POEO Act);</w:t>
            </w:r>
          </w:p>
          <w:p w14:paraId="2B5D3363"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The plan must include the information detailed in the POEO Act (section 153C) and the POEO(G) Regulation (clause 98C) and be in the form required by the POEO(G) Regulation (clause 98B);</w:t>
            </w:r>
          </w:p>
          <w:p w14:paraId="31892BA4"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Licensees must keep the plan at the premises to which the EPL relates (section 153D, POEO Act);</w:t>
            </w:r>
          </w:p>
          <w:p w14:paraId="765C01C6"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Licensees must test the plan in accordance with the POEO(G) (at least every 12 months and after a pollution incident) in accordance with the POEO(G) Regulation (clause 98E); and</w:t>
            </w:r>
          </w:p>
          <w:p w14:paraId="42BD08E8"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If a pollution incident occurs in the course of an activity so that material harm to the environment is caused or threatened, licensees must immediately implement the plan (section 153F, POEO Act).</w:t>
            </w:r>
          </w:p>
          <w:p w14:paraId="690B8F69"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Under section 148 of the POEO Act, licensees and anyone causing a pollution incident are required to report pollution incidents. The Amending Act makes the following changes to this reporting obligation:</w:t>
            </w:r>
          </w:p>
          <w:p w14:paraId="7B8994E5"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 xml:space="preserve">the pollution incident must be reported </w:t>
            </w:r>
            <w:r w:rsidRPr="00565011">
              <w:rPr>
                <w:rFonts w:ascii="Calibri" w:hAnsi="Calibri" w:cs="Calibri,Bold"/>
                <w:b/>
                <w:bCs/>
                <w:color w:val="000000"/>
                <w:sz w:val="24"/>
                <w:szCs w:val="24"/>
              </w:rPr>
              <w:t>‘immediately’</w:t>
            </w:r>
            <w:r w:rsidRPr="00565011">
              <w:rPr>
                <w:rFonts w:ascii="Calibri" w:hAnsi="Calibri" w:cs="Calibri"/>
                <w:color w:val="000000"/>
                <w:sz w:val="24"/>
                <w:szCs w:val="24"/>
              </w:rPr>
              <w:t>, rather than ‘as soon as practicable’ which was the previous requirement under section 148;</w:t>
            </w:r>
          </w:p>
          <w:p w14:paraId="682208A7"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 xml:space="preserve">‘each relevant authority’ must be notified of the pollution incident, not just the appropriate regulatory authority under the POEO Act. Relevant authorities may include, but are not limited to, the EPA, the Ministry of Health, the Work Cover Authority, local councils </w:t>
            </w:r>
            <w:r w:rsidRPr="00565011">
              <w:rPr>
                <w:rFonts w:ascii="Calibri" w:hAnsi="Calibri" w:cs="Calibri"/>
                <w:color w:val="000000"/>
                <w:sz w:val="24"/>
                <w:szCs w:val="24"/>
              </w:rPr>
              <w:lastRenderedPageBreak/>
              <w:t>and Fire and Rescue NSW;</w:t>
            </w:r>
          </w:p>
          <w:p w14:paraId="7CB2EB6C"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the EPA is able to direct the occupier of the premises where the pollution incident occurred to notify any other person of the incident that the EPA considers necessary; and</w:t>
            </w:r>
          </w:p>
          <w:p w14:paraId="76FE78A1"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the maximum penalty for failing to notify of a pollution incident in accordance with the</w:t>
            </w:r>
          </w:p>
          <w:p w14:paraId="1B66B5FF"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requirements of the POEO Act has been doubled to $2 million.</w:t>
            </w:r>
          </w:p>
          <w:p w14:paraId="4E60B4B4" w14:textId="77777777" w:rsidR="00A13DFF" w:rsidRPr="00565011" w:rsidRDefault="00A13DFF" w:rsidP="00A13DFF">
            <w:pPr>
              <w:autoSpaceDE w:val="0"/>
              <w:autoSpaceDN w:val="0"/>
              <w:adjustRightInd w:val="0"/>
              <w:rPr>
                <w:rFonts w:ascii="Calibri" w:hAnsi="Calibri" w:cs="Calibri,Bold"/>
                <w:b/>
                <w:bCs/>
                <w:color w:val="000000"/>
                <w:sz w:val="24"/>
                <w:szCs w:val="24"/>
              </w:rPr>
            </w:pPr>
          </w:p>
          <w:p w14:paraId="6F0138A7"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There is no change to the type of pollution incidents which must be notified, namely where there is a risk of ‘material harm to the environment’. Section 147 of the POEO Act provides that;</w:t>
            </w:r>
          </w:p>
          <w:p w14:paraId="1CE741A7"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Bold"/>
                <w:b/>
                <w:bCs/>
                <w:color w:val="000000"/>
                <w:sz w:val="24"/>
                <w:szCs w:val="24"/>
              </w:rPr>
              <w:t>(a)…</w:t>
            </w:r>
            <w:r w:rsidRPr="00565011">
              <w:rPr>
                <w:rFonts w:ascii="Calibri" w:hAnsi="Calibri" w:cs="Calibri"/>
                <w:color w:val="000000"/>
                <w:sz w:val="24"/>
                <w:szCs w:val="24"/>
              </w:rPr>
              <w:t>harm to the environment is “material” if:</w:t>
            </w:r>
          </w:p>
          <w:p w14:paraId="6ECE5531"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it involves actual or potential harm to the health or safety of human beings or to eco systems that is not trivial, or</w:t>
            </w:r>
          </w:p>
          <w:p w14:paraId="7CA73B79"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it results in actual or potential loss or property damage of an amount, or amounts in aggregate, exceeding $10,000 (or such other amount as is prescribed by the regulations), and</w:t>
            </w:r>
          </w:p>
          <w:p w14:paraId="36A188C5"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Bold"/>
                <w:b/>
                <w:bCs/>
                <w:color w:val="000000"/>
                <w:sz w:val="24"/>
                <w:szCs w:val="24"/>
              </w:rPr>
              <w:t xml:space="preserve">(b) </w:t>
            </w:r>
            <w:r w:rsidRPr="00565011">
              <w:rPr>
                <w:rFonts w:ascii="Calibri" w:hAnsi="Calibri" w:cs="Calibri"/>
                <w:color w:val="000000"/>
                <w:sz w:val="24"/>
                <w:szCs w:val="24"/>
              </w:rPr>
              <w:t>loss includes the reasonable costs and expenses that would be incurred in taking all reasonable and practicable measures to prevent, mitigate or make good harm to the environment.’</w:t>
            </w:r>
          </w:p>
          <w:p w14:paraId="6E08B220" w14:textId="77777777" w:rsidR="00A13DFF" w:rsidRPr="00565011" w:rsidRDefault="00A13DFF" w:rsidP="00A13DFF">
            <w:pPr>
              <w:autoSpaceDE w:val="0"/>
              <w:autoSpaceDN w:val="0"/>
              <w:adjustRightInd w:val="0"/>
              <w:rPr>
                <w:rFonts w:ascii="Calibri" w:hAnsi="Calibri" w:cs="Calibri,Bold"/>
                <w:b/>
                <w:bCs/>
                <w:color w:val="000000"/>
                <w:sz w:val="24"/>
                <w:szCs w:val="24"/>
              </w:rPr>
            </w:pPr>
          </w:p>
          <w:p w14:paraId="5EA6572E"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Section 150 of the POEO Act provides that the following information about a pollution incident must be notified:</w:t>
            </w:r>
          </w:p>
          <w:p w14:paraId="2E6B6CBC" w14:textId="77777777" w:rsidR="00A13DFF" w:rsidRPr="00565011" w:rsidRDefault="00A13DFF" w:rsidP="00A13DFF">
            <w:pPr>
              <w:autoSpaceDE w:val="0"/>
              <w:autoSpaceDN w:val="0"/>
              <w:adjustRightInd w:val="0"/>
              <w:rPr>
                <w:rFonts w:ascii="Calibri" w:hAnsi="Calibri" w:cs="Verdana"/>
                <w:color w:val="FFFFFF"/>
                <w:sz w:val="24"/>
                <w:szCs w:val="24"/>
              </w:rPr>
            </w:pPr>
            <w:r w:rsidRPr="00565011">
              <w:rPr>
                <w:rFonts w:ascii="Calibri" w:hAnsi="Calibri" w:cs="Verdana"/>
                <w:color w:val="FFFFFF"/>
                <w:sz w:val="24"/>
                <w:szCs w:val="24"/>
              </w:rPr>
              <w:t>DIPLOMA IN ENVIRONMENTAL MANAGEMENT (Level 4)</w:t>
            </w:r>
          </w:p>
          <w:p w14:paraId="6A3726C9"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the time, date, nature, duration and location of the incident;</w:t>
            </w:r>
          </w:p>
          <w:p w14:paraId="60D7D997"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the location of the place where pollution is occurring or is likely to occur;</w:t>
            </w:r>
          </w:p>
          <w:p w14:paraId="53C35743"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the nature, the estimated quantity or volume and the concentration of any pollutants involved, if known;</w:t>
            </w:r>
          </w:p>
          <w:p w14:paraId="07F78447"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the circumstances in which the incident occurred (including the cause of the incident, if known);</w:t>
            </w:r>
          </w:p>
          <w:p w14:paraId="3D9A5097"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the action taken or proposed to be taken to deal with the incident and any resulting pollution or threatened pollution, if known; and</w:t>
            </w:r>
          </w:p>
          <w:p w14:paraId="64127E8E"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any other information prescribed by the Regulations.</w:t>
            </w:r>
          </w:p>
          <w:p w14:paraId="348DF54A"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Notification of the pollution incident must be made immediately after a pollution incident</w:t>
            </w:r>
          </w:p>
          <w:p w14:paraId="4507DA58"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becomes known. The duty to notify is also ongoing and any information that is not known at the time the incident is notified must be provided when it becomes known…</w:t>
            </w:r>
          </w:p>
          <w:p w14:paraId="5950403A" w14:textId="77777777" w:rsidR="00A13DFF" w:rsidRPr="00565011" w:rsidRDefault="00A13DFF" w:rsidP="00A13DFF">
            <w:pPr>
              <w:autoSpaceDE w:val="0"/>
              <w:autoSpaceDN w:val="0"/>
              <w:adjustRightInd w:val="0"/>
              <w:rPr>
                <w:rFonts w:ascii="Calibri" w:hAnsi="Calibri" w:cs="Calibri"/>
                <w:color w:val="000000"/>
                <w:sz w:val="24"/>
                <w:szCs w:val="24"/>
              </w:rPr>
            </w:pPr>
          </w:p>
          <w:p w14:paraId="76BCDE3D"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Calibri"/>
                <w:color w:val="000000"/>
                <w:sz w:val="24"/>
                <w:szCs w:val="24"/>
              </w:rPr>
              <w:t>The Environment Agency incident hotline to report:</w:t>
            </w:r>
          </w:p>
          <w:p w14:paraId="46A6BCF3"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damage or danger to the natural environment</w:t>
            </w:r>
          </w:p>
          <w:p w14:paraId="05AB9A9C"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pollution to water or land</w:t>
            </w:r>
          </w:p>
          <w:p w14:paraId="23570E77"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poaching or illegal fishing</w:t>
            </w:r>
          </w:p>
          <w:p w14:paraId="5DD2C31F"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dead fish or fish gasping for air</w:t>
            </w:r>
          </w:p>
          <w:p w14:paraId="79945892"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watercourses blocked by a vehicle or fallen tree causing risk of flooding</w:t>
            </w:r>
          </w:p>
          <w:p w14:paraId="4B16D0D9"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flooding from main rivers or the sea</w:t>
            </w:r>
          </w:p>
          <w:p w14:paraId="4556FFC1"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incidents at Environment Agency-regulated waste sites</w:t>
            </w:r>
          </w:p>
          <w:p w14:paraId="359E70AC"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illegal removals from watercourses</w:t>
            </w:r>
          </w:p>
          <w:p w14:paraId="1A553CFF" w14:textId="77777777" w:rsidR="00A13DFF" w:rsidRPr="00565011" w:rsidRDefault="00A13DFF" w:rsidP="00A13DFF">
            <w:pPr>
              <w:autoSpaceDE w:val="0"/>
              <w:autoSpaceDN w:val="0"/>
              <w:adjustRightInd w:val="0"/>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unusual changes in river flow</w:t>
            </w:r>
          </w:p>
          <w:p w14:paraId="5311B330" w14:textId="77777777" w:rsidR="00A13DFF" w:rsidRPr="00565011" w:rsidRDefault="00A13DFF" w:rsidP="00A13DFF">
            <w:pPr>
              <w:rPr>
                <w:rFonts w:ascii="Calibri" w:hAnsi="Calibri" w:cs="Calibri"/>
                <w:color w:val="000000"/>
                <w:sz w:val="24"/>
                <w:szCs w:val="24"/>
              </w:rPr>
            </w:pPr>
            <w:r w:rsidRPr="00565011">
              <w:rPr>
                <w:rFonts w:ascii="Calibri" w:hAnsi="Calibri" w:cs="Symbol,Bold"/>
                <w:b/>
                <w:bCs/>
                <w:color w:val="EE7D31"/>
                <w:sz w:val="24"/>
                <w:szCs w:val="24"/>
              </w:rPr>
              <w:t xml:space="preserve"> </w:t>
            </w:r>
            <w:r w:rsidRPr="00565011">
              <w:rPr>
                <w:rFonts w:ascii="Calibri" w:hAnsi="Calibri" w:cs="Calibri"/>
                <w:color w:val="000000"/>
                <w:sz w:val="24"/>
                <w:szCs w:val="24"/>
              </w:rPr>
              <w:t>collapsed or badly damaged river or canal banks</w:t>
            </w:r>
          </w:p>
          <w:p w14:paraId="69142D40" w14:textId="77777777" w:rsidR="00A13DFF" w:rsidRPr="00565011" w:rsidRDefault="00A13DFF" w:rsidP="00A13DFF">
            <w:pPr>
              <w:rPr>
                <w:rFonts w:ascii="Calibri" w:hAnsi="Calibri"/>
                <w:sz w:val="24"/>
                <w:szCs w:val="24"/>
              </w:rPr>
            </w:pPr>
          </w:p>
          <w:p w14:paraId="4618D0E8" w14:textId="57C9B135" w:rsidR="00A13DFF" w:rsidRPr="00565011" w:rsidRDefault="00A13DFF" w:rsidP="00A13DFF">
            <w:pPr>
              <w:rPr>
                <w:rFonts w:ascii="Calibri" w:hAnsi="Calibri"/>
                <w:sz w:val="24"/>
                <w:szCs w:val="24"/>
              </w:rPr>
            </w:pPr>
            <w:r w:rsidRPr="00565011">
              <w:rPr>
                <w:rFonts w:ascii="Calibri" w:hAnsi="Calibri"/>
                <w:sz w:val="24"/>
                <w:szCs w:val="24"/>
              </w:rPr>
              <w:lastRenderedPageBreak/>
              <w:t>In connection with the notification of pollution incidents, EPA (2018) notes that: “</w:t>
            </w:r>
            <w:r w:rsidRPr="00565011">
              <w:rPr>
                <w:rFonts w:ascii="Calibri" w:hAnsi="Calibri" w:cs="Times-Roman"/>
                <w:sz w:val="24"/>
                <w:szCs w:val="24"/>
              </w:rPr>
              <w:t>A major emergency is</w:t>
            </w:r>
            <w:r w:rsidRPr="00565011">
              <w:rPr>
                <w:rFonts w:ascii="Calibri" w:hAnsi="Calibri"/>
                <w:sz w:val="24"/>
                <w:szCs w:val="24"/>
              </w:rPr>
              <w:t xml:space="preserve"> </w:t>
            </w:r>
            <w:r w:rsidRPr="00565011">
              <w:rPr>
                <w:rFonts w:ascii="Calibri" w:hAnsi="Calibri" w:cs="Times-Roman"/>
                <w:sz w:val="24"/>
                <w:szCs w:val="24"/>
              </w:rPr>
              <w:t>defined as an event which, usually occurs with little or no warning, causes or threatens death or</w:t>
            </w:r>
            <w:r w:rsidRPr="00565011">
              <w:rPr>
                <w:rFonts w:ascii="Calibri" w:hAnsi="Calibri"/>
                <w:sz w:val="24"/>
                <w:szCs w:val="24"/>
              </w:rPr>
              <w:t xml:space="preserve"> </w:t>
            </w:r>
            <w:r w:rsidRPr="00565011">
              <w:rPr>
                <w:rFonts w:ascii="Calibri" w:hAnsi="Calibri" w:cs="Times-Roman"/>
                <w:sz w:val="24"/>
                <w:szCs w:val="24"/>
              </w:rPr>
              <w:t>injury, serious disruption of essential services, or damage to property, the environment or</w:t>
            </w:r>
            <w:r w:rsidRPr="00565011">
              <w:rPr>
                <w:rFonts w:ascii="Calibri" w:hAnsi="Calibri"/>
                <w:sz w:val="24"/>
                <w:szCs w:val="24"/>
              </w:rPr>
              <w:t xml:space="preserve"> </w:t>
            </w:r>
            <w:r w:rsidRPr="00565011">
              <w:rPr>
                <w:rFonts w:ascii="Calibri" w:hAnsi="Calibri" w:cs="Times-Roman"/>
                <w:sz w:val="24"/>
                <w:szCs w:val="24"/>
              </w:rPr>
              <w:t>infrastructure beyond the normal capabilities of the principal emergency services in the area in which</w:t>
            </w:r>
            <w:r w:rsidR="00B56CB3">
              <w:rPr>
                <w:rFonts w:ascii="Calibri" w:hAnsi="Calibri" w:cs="Times-Roman"/>
                <w:sz w:val="24"/>
                <w:szCs w:val="24"/>
              </w:rPr>
              <w:t xml:space="preserve"> </w:t>
            </w:r>
            <w:r w:rsidRPr="00565011">
              <w:rPr>
                <w:rFonts w:ascii="Calibri" w:hAnsi="Calibri" w:cs="Times-Roman"/>
                <w:sz w:val="24"/>
                <w:szCs w:val="24"/>
              </w:rPr>
              <w:t>the event occurs and requiring the activation of specific additional procedures to ensure an effective,</w:t>
            </w:r>
            <w:r w:rsidRPr="00565011">
              <w:rPr>
                <w:rFonts w:ascii="Calibri" w:hAnsi="Calibri"/>
                <w:sz w:val="24"/>
                <w:szCs w:val="24"/>
              </w:rPr>
              <w:t xml:space="preserve"> </w:t>
            </w:r>
            <w:proofErr w:type="spellStart"/>
            <w:r w:rsidRPr="00565011">
              <w:rPr>
                <w:rFonts w:ascii="Calibri" w:hAnsi="Calibri" w:cs="Times-Roman"/>
                <w:sz w:val="24"/>
                <w:szCs w:val="24"/>
              </w:rPr>
              <w:t>co-ordinated</w:t>
            </w:r>
            <w:proofErr w:type="spellEnd"/>
            <w:r w:rsidRPr="00565011">
              <w:rPr>
                <w:rFonts w:ascii="Calibri" w:hAnsi="Calibri" w:cs="Times-Roman"/>
                <w:sz w:val="24"/>
                <w:szCs w:val="24"/>
              </w:rPr>
              <w:t xml:space="preserve"> response”</w:t>
            </w:r>
            <w:r w:rsidRPr="00565011">
              <w:rPr>
                <w:rFonts w:ascii="Calibri" w:hAnsi="Calibri"/>
                <w:sz w:val="24"/>
                <w:szCs w:val="24"/>
              </w:rPr>
              <w:t xml:space="preserve"> (p. 3).</w:t>
            </w:r>
          </w:p>
          <w:p w14:paraId="41133A42" w14:textId="77777777" w:rsidR="00A13DFF" w:rsidRPr="00565011" w:rsidRDefault="00A13DFF" w:rsidP="00A13DFF">
            <w:pPr>
              <w:rPr>
                <w:rFonts w:ascii="Calibri" w:hAnsi="Calibri"/>
                <w:sz w:val="24"/>
                <w:szCs w:val="24"/>
              </w:rPr>
            </w:pPr>
          </w:p>
          <w:p w14:paraId="19AED7FC" w14:textId="77777777" w:rsidR="00A13DFF" w:rsidRPr="00565011" w:rsidRDefault="00A13DFF" w:rsidP="00A13DFF">
            <w:pPr>
              <w:rPr>
                <w:rFonts w:ascii="Calibri" w:hAnsi="Calibri"/>
                <w:sz w:val="24"/>
                <w:szCs w:val="24"/>
              </w:rPr>
            </w:pPr>
            <w:r w:rsidRPr="00565011">
              <w:rPr>
                <w:rFonts w:ascii="Calibri" w:hAnsi="Calibri"/>
                <w:sz w:val="24"/>
                <w:szCs w:val="24"/>
              </w:rPr>
              <w:t xml:space="preserve">Moreover, EHP (2016) comments: “The duty to notify requires a person or a company to give notice where serious or material environmental harm (that is not </w:t>
            </w:r>
            <w:proofErr w:type="spellStart"/>
            <w:r w:rsidRPr="00565011">
              <w:rPr>
                <w:rFonts w:ascii="Calibri" w:hAnsi="Calibri"/>
                <w:sz w:val="24"/>
                <w:szCs w:val="24"/>
              </w:rPr>
              <w:t>authorised</w:t>
            </w:r>
            <w:proofErr w:type="spellEnd"/>
            <w:r w:rsidRPr="00565011">
              <w:rPr>
                <w:rFonts w:ascii="Calibri" w:hAnsi="Calibri"/>
                <w:sz w:val="24"/>
                <w:szCs w:val="24"/>
              </w:rPr>
              <w:t xml:space="preserve"> under the Act) is caused or threatened. The duty to notify also requires an auditor, the owner or occupier of </w:t>
            </w:r>
            <w:r w:rsidRPr="00565011">
              <w:rPr>
                <w:rFonts w:ascii="Calibri" w:hAnsi="Calibri"/>
                <w:b/>
                <w:bCs/>
                <w:sz w:val="24"/>
                <w:szCs w:val="24"/>
              </w:rPr>
              <w:t xml:space="preserve">contaminated land, </w:t>
            </w:r>
            <w:r w:rsidRPr="00565011">
              <w:rPr>
                <w:rFonts w:ascii="Calibri" w:hAnsi="Calibri"/>
                <w:sz w:val="24"/>
                <w:szCs w:val="24"/>
              </w:rPr>
              <w:t>or a local government, to give notice to the department if they become aware of an event or change in the condition of contaminated land that is causing, or is reasonably likely to cause, serious or material environmental harm” (p. 2).</w:t>
            </w:r>
          </w:p>
          <w:p w14:paraId="63A0A880" w14:textId="77777777" w:rsidR="00A13DFF" w:rsidRPr="00565011" w:rsidRDefault="00A13DFF" w:rsidP="00A13DFF">
            <w:pPr>
              <w:rPr>
                <w:rFonts w:ascii="Calibri" w:hAnsi="Calibri"/>
                <w:sz w:val="24"/>
                <w:szCs w:val="24"/>
              </w:rPr>
            </w:pPr>
          </w:p>
          <w:p w14:paraId="256D1B0E" w14:textId="77777777" w:rsidR="00A13DFF" w:rsidRPr="00565011" w:rsidRDefault="00A13DFF" w:rsidP="00A13DFF">
            <w:pPr>
              <w:rPr>
                <w:rFonts w:ascii="Calibri" w:hAnsi="Calibri"/>
                <w:sz w:val="24"/>
                <w:szCs w:val="24"/>
              </w:rPr>
            </w:pPr>
            <w:r w:rsidRPr="00565011">
              <w:rPr>
                <w:rFonts w:ascii="Calibri" w:hAnsi="Calibri"/>
                <w:sz w:val="24"/>
                <w:szCs w:val="24"/>
              </w:rPr>
              <w:t xml:space="preserve">Furthermore, the research literature draws attention to the possible cooperation of multiple authorities regarding pollution incidents where notification is required (e.g. Kaiser et al., 1987) and the possibility of international legal obligations arising from pollution incidents where notification is required (e.g., Chang and Zhao, 2012). </w:t>
            </w:r>
          </w:p>
          <w:p w14:paraId="65B3B8C8" w14:textId="77777777" w:rsidR="00A13DFF" w:rsidRPr="00565011" w:rsidRDefault="00A13DFF" w:rsidP="00A13DFF">
            <w:pPr>
              <w:rPr>
                <w:rFonts w:ascii="Calibri" w:hAnsi="Calibri" w:cs="Arial"/>
                <w:color w:val="222222"/>
                <w:sz w:val="24"/>
                <w:szCs w:val="24"/>
                <w:shd w:val="clear" w:color="auto" w:fill="FFFFFF"/>
              </w:rPr>
            </w:pPr>
          </w:p>
          <w:p w14:paraId="3AC4C28C" w14:textId="77777777" w:rsidR="00A13DFF" w:rsidRPr="00565011" w:rsidRDefault="00A13DFF" w:rsidP="00A13DFF">
            <w:pPr>
              <w:rPr>
                <w:rFonts w:ascii="Calibri" w:hAnsi="Calibri"/>
                <w:sz w:val="24"/>
                <w:szCs w:val="24"/>
              </w:rPr>
            </w:pPr>
          </w:p>
          <w:p w14:paraId="2968524C" w14:textId="77777777" w:rsidR="00A13DFF" w:rsidRPr="00565011" w:rsidRDefault="00A13DFF" w:rsidP="00A13DFF">
            <w:pPr>
              <w:rPr>
                <w:rFonts w:ascii="Calibri" w:hAnsi="Calibri"/>
                <w:b/>
                <w:i/>
                <w:sz w:val="24"/>
                <w:szCs w:val="24"/>
              </w:rPr>
            </w:pPr>
            <w:r w:rsidRPr="00565011">
              <w:rPr>
                <w:rFonts w:ascii="Calibri" w:hAnsi="Calibri"/>
                <w:b/>
                <w:i/>
                <w:sz w:val="24"/>
                <w:szCs w:val="24"/>
              </w:rPr>
              <w:t>References</w:t>
            </w:r>
          </w:p>
          <w:p w14:paraId="2229F47E" w14:textId="77777777" w:rsidR="00A13DFF" w:rsidRPr="00565011" w:rsidRDefault="00A13DFF" w:rsidP="00A13DFF">
            <w:pPr>
              <w:rPr>
                <w:rFonts w:ascii="Calibri" w:hAnsi="Calibri"/>
                <w:sz w:val="24"/>
                <w:szCs w:val="24"/>
              </w:rPr>
            </w:pPr>
          </w:p>
          <w:p w14:paraId="3E95592B" w14:textId="77777777" w:rsidR="00A13DFF" w:rsidRPr="00565011" w:rsidRDefault="00A13DFF" w:rsidP="00A13DFF">
            <w:pPr>
              <w:rPr>
                <w:rFonts w:ascii="Calibri" w:hAnsi="Calibri" w:cs="Arial"/>
                <w:color w:val="222222"/>
                <w:sz w:val="24"/>
                <w:szCs w:val="24"/>
                <w:shd w:val="clear" w:color="auto" w:fill="FFFFFF"/>
              </w:rPr>
            </w:pPr>
            <w:r w:rsidRPr="00565011">
              <w:rPr>
                <w:rFonts w:ascii="Calibri" w:hAnsi="Calibri" w:cs="Arial"/>
                <w:color w:val="222222"/>
                <w:sz w:val="24"/>
                <w:szCs w:val="24"/>
                <w:shd w:val="clear" w:color="auto" w:fill="FFFFFF"/>
              </w:rPr>
              <w:t>Allan, S., Adam, B. and Carter, C. eds., 2000. </w:t>
            </w:r>
            <w:r w:rsidRPr="00565011">
              <w:rPr>
                <w:rFonts w:ascii="Calibri" w:hAnsi="Calibri" w:cs="Arial"/>
                <w:i/>
                <w:iCs/>
                <w:color w:val="222222"/>
                <w:sz w:val="24"/>
                <w:szCs w:val="24"/>
                <w:shd w:val="clear" w:color="auto" w:fill="FFFFFF"/>
              </w:rPr>
              <w:t>Environmental risks and the media</w:t>
            </w:r>
            <w:r w:rsidRPr="00565011">
              <w:rPr>
                <w:rFonts w:ascii="Calibri" w:hAnsi="Calibri" w:cs="Arial"/>
                <w:color w:val="222222"/>
                <w:sz w:val="24"/>
                <w:szCs w:val="24"/>
                <w:shd w:val="clear" w:color="auto" w:fill="FFFFFF"/>
              </w:rPr>
              <w:t>. Psychology Press.</w:t>
            </w:r>
          </w:p>
          <w:p w14:paraId="028AA6D5" w14:textId="77777777" w:rsidR="00A13DFF" w:rsidRPr="00565011" w:rsidRDefault="00A13DFF" w:rsidP="00A13DFF">
            <w:pPr>
              <w:rPr>
                <w:rFonts w:ascii="Calibri" w:hAnsi="Calibri"/>
                <w:sz w:val="24"/>
                <w:szCs w:val="24"/>
              </w:rPr>
            </w:pPr>
          </w:p>
          <w:p w14:paraId="1C2EF58D" w14:textId="77777777" w:rsidR="00A13DFF" w:rsidRPr="00565011" w:rsidRDefault="00A13DFF" w:rsidP="00A13DFF">
            <w:pPr>
              <w:rPr>
                <w:rFonts w:ascii="Calibri" w:hAnsi="Calibri" w:cs="Arial"/>
                <w:color w:val="222222"/>
                <w:sz w:val="24"/>
                <w:szCs w:val="24"/>
                <w:shd w:val="clear" w:color="auto" w:fill="FFFFFF"/>
              </w:rPr>
            </w:pPr>
            <w:r w:rsidRPr="00565011">
              <w:rPr>
                <w:rFonts w:ascii="Calibri" w:hAnsi="Calibri" w:cs="Arial"/>
                <w:color w:val="222222"/>
                <w:sz w:val="24"/>
                <w:szCs w:val="24"/>
                <w:shd w:val="clear" w:color="auto" w:fill="FFFFFF"/>
              </w:rPr>
              <w:t xml:space="preserve">Burgess, J., Harrison, C.M. and </w:t>
            </w:r>
            <w:proofErr w:type="spellStart"/>
            <w:r w:rsidRPr="00565011">
              <w:rPr>
                <w:rFonts w:ascii="Calibri" w:hAnsi="Calibri" w:cs="Arial"/>
                <w:color w:val="222222"/>
                <w:sz w:val="24"/>
                <w:szCs w:val="24"/>
                <w:shd w:val="clear" w:color="auto" w:fill="FFFFFF"/>
              </w:rPr>
              <w:t>Filius</w:t>
            </w:r>
            <w:proofErr w:type="spellEnd"/>
            <w:r w:rsidRPr="00565011">
              <w:rPr>
                <w:rFonts w:ascii="Calibri" w:hAnsi="Calibri" w:cs="Arial"/>
                <w:color w:val="222222"/>
                <w:sz w:val="24"/>
                <w:szCs w:val="24"/>
                <w:shd w:val="clear" w:color="auto" w:fill="FFFFFF"/>
              </w:rPr>
              <w:t>, P., 1998. Environmental communication and the cultural politics of environmental citizenship. </w:t>
            </w:r>
            <w:r w:rsidRPr="00565011">
              <w:rPr>
                <w:rFonts w:ascii="Calibri" w:hAnsi="Calibri" w:cs="Arial"/>
                <w:i/>
                <w:iCs/>
                <w:color w:val="222222"/>
                <w:sz w:val="24"/>
                <w:szCs w:val="24"/>
                <w:shd w:val="clear" w:color="auto" w:fill="FFFFFF"/>
              </w:rPr>
              <w:t>Environment and planning A</w:t>
            </w:r>
            <w:r w:rsidRPr="00565011">
              <w:rPr>
                <w:rFonts w:ascii="Calibri" w:hAnsi="Calibri" w:cs="Arial"/>
                <w:color w:val="222222"/>
                <w:sz w:val="24"/>
                <w:szCs w:val="24"/>
                <w:shd w:val="clear" w:color="auto" w:fill="FFFFFF"/>
              </w:rPr>
              <w:t>, </w:t>
            </w:r>
            <w:r w:rsidRPr="00565011">
              <w:rPr>
                <w:rFonts w:ascii="Calibri" w:hAnsi="Calibri" w:cs="Arial"/>
                <w:i/>
                <w:iCs/>
                <w:color w:val="222222"/>
                <w:sz w:val="24"/>
                <w:szCs w:val="24"/>
                <w:shd w:val="clear" w:color="auto" w:fill="FFFFFF"/>
              </w:rPr>
              <w:t>30</w:t>
            </w:r>
            <w:r w:rsidRPr="00565011">
              <w:rPr>
                <w:rFonts w:ascii="Calibri" w:hAnsi="Calibri" w:cs="Arial"/>
                <w:color w:val="222222"/>
                <w:sz w:val="24"/>
                <w:szCs w:val="24"/>
                <w:shd w:val="clear" w:color="auto" w:fill="FFFFFF"/>
              </w:rPr>
              <w:t>(8), pp.1445-1460.</w:t>
            </w:r>
          </w:p>
          <w:p w14:paraId="508ED03B" w14:textId="77777777" w:rsidR="00A13DFF" w:rsidRPr="00565011" w:rsidRDefault="00A13DFF" w:rsidP="00A13DFF">
            <w:pPr>
              <w:rPr>
                <w:rFonts w:ascii="Calibri" w:hAnsi="Calibri"/>
                <w:sz w:val="24"/>
                <w:szCs w:val="24"/>
              </w:rPr>
            </w:pPr>
          </w:p>
          <w:p w14:paraId="11D74625" w14:textId="77777777" w:rsidR="00A13DFF" w:rsidRPr="00565011" w:rsidRDefault="00A13DFF" w:rsidP="00A13DFF">
            <w:pPr>
              <w:rPr>
                <w:rFonts w:ascii="Calibri" w:hAnsi="Calibri"/>
                <w:sz w:val="24"/>
                <w:szCs w:val="24"/>
              </w:rPr>
            </w:pPr>
            <w:r w:rsidRPr="00565011">
              <w:rPr>
                <w:rFonts w:ascii="Calibri" w:hAnsi="Calibri" w:cs="Arial"/>
                <w:color w:val="222222"/>
                <w:sz w:val="24"/>
                <w:szCs w:val="24"/>
                <w:shd w:val="clear" w:color="auto" w:fill="FFFFFF"/>
              </w:rPr>
              <w:t>Chang, Y.C. and Zhao, Y., 2012. The Fukushima Nuclear Power Station incident and marine pollution. </w:t>
            </w:r>
            <w:r w:rsidRPr="00565011">
              <w:rPr>
                <w:rFonts w:ascii="Calibri" w:hAnsi="Calibri" w:cs="Arial"/>
                <w:i/>
                <w:iCs/>
                <w:color w:val="222222"/>
                <w:sz w:val="24"/>
                <w:szCs w:val="24"/>
                <w:shd w:val="clear" w:color="auto" w:fill="FFFFFF"/>
              </w:rPr>
              <w:t>Marine pollution bulletin</w:t>
            </w:r>
            <w:r w:rsidRPr="00565011">
              <w:rPr>
                <w:rFonts w:ascii="Calibri" w:hAnsi="Calibri" w:cs="Arial"/>
                <w:color w:val="222222"/>
                <w:sz w:val="24"/>
                <w:szCs w:val="24"/>
                <w:shd w:val="clear" w:color="auto" w:fill="FFFFFF"/>
              </w:rPr>
              <w:t>, </w:t>
            </w:r>
            <w:r w:rsidRPr="00565011">
              <w:rPr>
                <w:rFonts w:ascii="Calibri" w:hAnsi="Calibri" w:cs="Arial"/>
                <w:i/>
                <w:iCs/>
                <w:color w:val="222222"/>
                <w:sz w:val="24"/>
                <w:szCs w:val="24"/>
                <w:shd w:val="clear" w:color="auto" w:fill="FFFFFF"/>
              </w:rPr>
              <w:t>64</w:t>
            </w:r>
            <w:r w:rsidRPr="00565011">
              <w:rPr>
                <w:rFonts w:ascii="Calibri" w:hAnsi="Calibri" w:cs="Arial"/>
                <w:color w:val="222222"/>
                <w:sz w:val="24"/>
                <w:szCs w:val="24"/>
                <w:shd w:val="clear" w:color="auto" w:fill="FFFFFF"/>
              </w:rPr>
              <w:t>(5), pp.897-901.</w:t>
            </w:r>
          </w:p>
          <w:p w14:paraId="0AAAC3B3" w14:textId="77777777" w:rsidR="00A13DFF" w:rsidRPr="00565011" w:rsidRDefault="00A13DFF" w:rsidP="00A13DFF">
            <w:pPr>
              <w:pStyle w:val="Default"/>
              <w:spacing w:after="66"/>
              <w:rPr>
                <w:b/>
                <w:bCs/>
                <w:color w:val="000000" w:themeColor="text1"/>
              </w:rPr>
            </w:pPr>
          </w:p>
          <w:p w14:paraId="54225DBA" w14:textId="77777777" w:rsidR="00A13DFF" w:rsidRPr="00565011" w:rsidRDefault="00A13DFF" w:rsidP="00A13DFF">
            <w:pPr>
              <w:pStyle w:val="Default"/>
              <w:spacing w:after="66"/>
              <w:rPr>
                <w:rFonts w:cs="Arial"/>
                <w:color w:val="222222"/>
                <w:shd w:val="clear" w:color="auto" w:fill="FFFFFF"/>
              </w:rPr>
            </w:pPr>
            <w:r w:rsidRPr="00565011">
              <w:rPr>
                <w:rFonts w:cs="Arial"/>
                <w:color w:val="222222"/>
                <w:shd w:val="clear" w:color="auto" w:fill="FFFFFF"/>
              </w:rPr>
              <w:t>Commission for Environmental Cooperation, 2000. Improving Environmental Performance and Compliance. Retrieved Thursday 1</w:t>
            </w:r>
            <w:r w:rsidRPr="00565011">
              <w:rPr>
                <w:rFonts w:cs="Arial"/>
                <w:color w:val="222222"/>
                <w:shd w:val="clear" w:color="auto" w:fill="FFFFFF"/>
                <w:vertAlign w:val="superscript"/>
              </w:rPr>
              <w:t>st</w:t>
            </w:r>
            <w:r w:rsidRPr="00565011">
              <w:rPr>
                <w:rFonts w:cs="Arial"/>
                <w:color w:val="222222"/>
                <w:shd w:val="clear" w:color="auto" w:fill="FFFFFF"/>
              </w:rPr>
              <w:t xml:space="preserve"> March 2018: </w:t>
            </w:r>
            <w:r w:rsidRPr="00565011">
              <w:t>http://www3.cec.org/islandora/en/item/1651-improving-environmental-performance-and-compliance-en.pdf</w:t>
            </w:r>
          </w:p>
          <w:p w14:paraId="45728F26" w14:textId="77777777" w:rsidR="00A13DFF" w:rsidRPr="00565011" w:rsidRDefault="00A13DFF" w:rsidP="00A13DFF">
            <w:pPr>
              <w:rPr>
                <w:rFonts w:ascii="Calibri" w:hAnsi="Calibri" w:cs="Arial"/>
                <w:color w:val="222222"/>
                <w:sz w:val="24"/>
                <w:szCs w:val="24"/>
                <w:shd w:val="clear" w:color="auto" w:fill="FFFFFF"/>
              </w:rPr>
            </w:pPr>
          </w:p>
          <w:p w14:paraId="56EA71D4" w14:textId="77777777" w:rsidR="00A13DFF" w:rsidRPr="00565011" w:rsidRDefault="00A13DFF" w:rsidP="00A13DFF">
            <w:pPr>
              <w:rPr>
                <w:rFonts w:ascii="Calibri" w:hAnsi="Calibri" w:cs="Arial"/>
                <w:color w:val="222222"/>
                <w:sz w:val="24"/>
                <w:szCs w:val="24"/>
                <w:shd w:val="clear" w:color="auto" w:fill="FFFFFF"/>
              </w:rPr>
            </w:pPr>
            <w:r w:rsidRPr="00565011">
              <w:rPr>
                <w:rFonts w:ascii="Calibri" w:hAnsi="Calibri" w:cs="Arial"/>
                <w:color w:val="222222"/>
                <w:sz w:val="24"/>
                <w:szCs w:val="24"/>
                <w:shd w:val="clear" w:color="auto" w:fill="FFFFFF"/>
              </w:rPr>
              <w:t>Corbett, J.B., 2006. </w:t>
            </w:r>
            <w:r w:rsidRPr="00565011">
              <w:rPr>
                <w:rFonts w:ascii="Calibri" w:hAnsi="Calibri" w:cs="Arial"/>
                <w:i/>
                <w:iCs/>
                <w:color w:val="222222"/>
                <w:sz w:val="24"/>
                <w:szCs w:val="24"/>
                <w:shd w:val="clear" w:color="auto" w:fill="FFFFFF"/>
              </w:rPr>
              <w:t>Communicating nature: How we create and understand environmental messages</w:t>
            </w:r>
            <w:r w:rsidRPr="00565011">
              <w:rPr>
                <w:rFonts w:ascii="Calibri" w:hAnsi="Calibri" w:cs="Arial"/>
                <w:color w:val="222222"/>
                <w:sz w:val="24"/>
                <w:szCs w:val="24"/>
                <w:shd w:val="clear" w:color="auto" w:fill="FFFFFF"/>
              </w:rPr>
              <w:t>. Island Press.</w:t>
            </w:r>
          </w:p>
          <w:p w14:paraId="7B1DC7BA" w14:textId="77777777" w:rsidR="00A13DFF" w:rsidRPr="00565011" w:rsidRDefault="00A13DFF" w:rsidP="00A13DFF">
            <w:pPr>
              <w:rPr>
                <w:rFonts w:ascii="Calibri" w:hAnsi="Calibri" w:cs="Arial"/>
                <w:color w:val="222222"/>
                <w:sz w:val="24"/>
                <w:szCs w:val="24"/>
                <w:shd w:val="clear" w:color="auto" w:fill="FFFFFF"/>
              </w:rPr>
            </w:pPr>
          </w:p>
          <w:p w14:paraId="4084121F" w14:textId="77777777" w:rsidR="00A13DFF" w:rsidRPr="00565011" w:rsidRDefault="00A13DFF" w:rsidP="00A13DFF">
            <w:pPr>
              <w:rPr>
                <w:rFonts w:ascii="Calibri" w:hAnsi="Calibri"/>
                <w:sz w:val="24"/>
                <w:szCs w:val="24"/>
              </w:rPr>
            </w:pPr>
            <w:r w:rsidRPr="00565011">
              <w:rPr>
                <w:rFonts w:ascii="Calibri" w:hAnsi="Calibri" w:cs="Arial"/>
                <w:color w:val="222222"/>
                <w:sz w:val="24"/>
                <w:szCs w:val="24"/>
                <w:shd w:val="clear" w:color="auto" w:fill="FFFFFF"/>
              </w:rPr>
              <w:t>Covello, V.T., 1992. Risk communication: An emerging area of health communication research. </w:t>
            </w:r>
            <w:r w:rsidRPr="00565011">
              <w:rPr>
                <w:rFonts w:ascii="Calibri" w:hAnsi="Calibri" w:cs="Arial"/>
                <w:i/>
                <w:iCs/>
                <w:color w:val="222222"/>
                <w:sz w:val="24"/>
                <w:szCs w:val="24"/>
                <w:shd w:val="clear" w:color="auto" w:fill="FFFFFF"/>
              </w:rPr>
              <w:t>Annals of the International Communication Association</w:t>
            </w:r>
            <w:r w:rsidRPr="00565011">
              <w:rPr>
                <w:rFonts w:ascii="Calibri" w:hAnsi="Calibri" w:cs="Arial"/>
                <w:color w:val="222222"/>
                <w:sz w:val="24"/>
                <w:szCs w:val="24"/>
                <w:shd w:val="clear" w:color="auto" w:fill="FFFFFF"/>
              </w:rPr>
              <w:t>, </w:t>
            </w:r>
            <w:r w:rsidRPr="00565011">
              <w:rPr>
                <w:rFonts w:ascii="Calibri" w:hAnsi="Calibri" w:cs="Arial"/>
                <w:i/>
                <w:iCs/>
                <w:color w:val="222222"/>
                <w:sz w:val="24"/>
                <w:szCs w:val="24"/>
                <w:shd w:val="clear" w:color="auto" w:fill="FFFFFF"/>
              </w:rPr>
              <w:t>15</w:t>
            </w:r>
            <w:r w:rsidRPr="00565011">
              <w:rPr>
                <w:rFonts w:ascii="Calibri" w:hAnsi="Calibri" w:cs="Arial"/>
                <w:color w:val="222222"/>
                <w:sz w:val="24"/>
                <w:szCs w:val="24"/>
                <w:shd w:val="clear" w:color="auto" w:fill="FFFFFF"/>
              </w:rPr>
              <w:t>(1), pp.359-373.</w:t>
            </w:r>
          </w:p>
          <w:p w14:paraId="25B80A4D" w14:textId="77777777" w:rsidR="00A13DFF" w:rsidRPr="00565011" w:rsidRDefault="00A13DFF" w:rsidP="00A13DFF">
            <w:pPr>
              <w:pStyle w:val="Default"/>
              <w:spacing w:after="66"/>
              <w:rPr>
                <w:rFonts w:cs="Arial"/>
                <w:color w:val="222222"/>
                <w:shd w:val="clear" w:color="auto" w:fill="FFFFFF"/>
              </w:rPr>
            </w:pPr>
          </w:p>
          <w:p w14:paraId="206FFA0D" w14:textId="77777777" w:rsidR="00A13DFF" w:rsidRPr="00565011" w:rsidRDefault="00A13DFF" w:rsidP="00A13DFF">
            <w:pPr>
              <w:pStyle w:val="Default"/>
              <w:spacing w:after="66"/>
              <w:rPr>
                <w:b/>
                <w:bCs/>
                <w:color w:val="C00000"/>
              </w:rPr>
            </w:pPr>
            <w:r w:rsidRPr="00565011">
              <w:rPr>
                <w:rFonts w:cs="Arial"/>
                <w:color w:val="222222"/>
                <w:shd w:val="clear" w:color="auto" w:fill="FFFFFF"/>
              </w:rPr>
              <w:t>Daily, B.F. and Huang, S.C., 2001. Achieving sustainability through attention to human resource factors in environmental management. </w:t>
            </w:r>
            <w:r w:rsidRPr="00565011">
              <w:rPr>
                <w:rFonts w:cs="Arial"/>
                <w:i/>
                <w:iCs/>
                <w:color w:val="222222"/>
                <w:shd w:val="clear" w:color="auto" w:fill="FFFFFF"/>
              </w:rPr>
              <w:t>International Journal of operations &amp; production management</w:t>
            </w:r>
            <w:r w:rsidRPr="00565011">
              <w:rPr>
                <w:rFonts w:cs="Arial"/>
                <w:color w:val="222222"/>
                <w:shd w:val="clear" w:color="auto" w:fill="FFFFFF"/>
              </w:rPr>
              <w:t>, </w:t>
            </w:r>
            <w:r w:rsidRPr="00565011">
              <w:rPr>
                <w:rFonts w:cs="Arial"/>
                <w:i/>
                <w:iCs/>
                <w:color w:val="222222"/>
                <w:shd w:val="clear" w:color="auto" w:fill="FFFFFF"/>
              </w:rPr>
              <w:t>21</w:t>
            </w:r>
            <w:r w:rsidRPr="00565011">
              <w:rPr>
                <w:rFonts w:cs="Arial"/>
                <w:color w:val="222222"/>
                <w:shd w:val="clear" w:color="auto" w:fill="FFFFFF"/>
              </w:rPr>
              <w:t>(12), pp.1539-1552.</w:t>
            </w:r>
          </w:p>
          <w:p w14:paraId="4714BC5A" w14:textId="77777777" w:rsidR="00A13DFF" w:rsidRPr="00565011" w:rsidRDefault="00A13DFF" w:rsidP="00A13DFF">
            <w:pPr>
              <w:pStyle w:val="Default"/>
              <w:spacing w:after="66"/>
              <w:rPr>
                <w:rFonts w:cs="Arial"/>
                <w:color w:val="222222"/>
                <w:shd w:val="clear" w:color="auto" w:fill="FFFFFF"/>
              </w:rPr>
            </w:pPr>
            <w:r w:rsidRPr="00565011">
              <w:rPr>
                <w:rFonts w:cs="Arial"/>
                <w:color w:val="222222"/>
                <w:shd w:val="clear" w:color="auto" w:fill="FFFFFF"/>
              </w:rPr>
              <w:lastRenderedPageBreak/>
              <w:t xml:space="preserve">DEFRA (2010). Economic Growth and the Environment. Retrieved Thursday 1st March 2018: </w:t>
            </w:r>
            <w:hyperlink r:id="rId9" w:history="1">
              <w:r w:rsidRPr="00565011">
                <w:rPr>
                  <w:rFonts w:cs="Arial"/>
                  <w:color w:val="222222"/>
                  <w:shd w:val="clear" w:color="auto" w:fill="FFFFFF"/>
                </w:rPr>
                <w:t>https://www.gov.uk/government/uploads/system/uploads/attachment_data/file/69195/pb13390-economic-growth-100305.pdf</w:t>
              </w:r>
            </w:hyperlink>
          </w:p>
          <w:p w14:paraId="018AA8D6" w14:textId="77777777" w:rsidR="00A13DFF" w:rsidRPr="00565011" w:rsidRDefault="00A13DFF" w:rsidP="00A13DFF">
            <w:pPr>
              <w:pStyle w:val="Default"/>
              <w:spacing w:after="66"/>
              <w:rPr>
                <w:rFonts w:cs="Arial"/>
                <w:b/>
                <w:bCs/>
                <w:color w:val="003C64"/>
              </w:rPr>
            </w:pPr>
          </w:p>
          <w:p w14:paraId="3F7BBF95" w14:textId="77777777" w:rsidR="00A13DFF" w:rsidRPr="00565011" w:rsidRDefault="00A13DFF" w:rsidP="00A13DFF">
            <w:pPr>
              <w:autoSpaceDE w:val="0"/>
              <w:autoSpaceDN w:val="0"/>
              <w:adjustRightInd w:val="0"/>
              <w:rPr>
                <w:rFonts w:ascii="Calibri" w:hAnsi="Calibri"/>
                <w:sz w:val="24"/>
                <w:szCs w:val="24"/>
              </w:rPr>
            </w:pPr>
            <w:r w:rsidRPr="00565011">
              <w:rPr>
                <w:rFonts w:ascii="Calibri" w:hAnsi="Calibri"/>
                <w:sz w:val="24"/>
                <w:szCs w:val="24"/>
              </w:rPr>
              <w:t>ECORYS (2012). Stud Study on Incentives Driving Improvement of Environmental</w:t>
            </w:r>
          </w:p>
          <w:p w14:paraId="0971868F" w14:textId="77777777" w:rsidR="00A13DFF" w:rsidRPr="00565011" w:rsidRDefault="00A13DFF" w:rsidP="00A13DFF">
            <w:pPr>
              <w:autoSpaceDE w:val="0"/>
              <w:autoSpaceDN w:val="0"/>
              <w:adjustRightInd w:val="0"/>
              <w:rPr>
                <w:rFonts w:ascii="Calibri" w:hAnsi="Calibri"/>
                <w:sz w:val="24"/>
                <w:szCs w:val="24"/>
              </w:rPr>
            </w:pPr>
            <w:r w:rsidRPr="00565011">
              <w:rPr>
                <w:rFonts w:ascii="Calibri" w:hAnsi="Calibri"/>
                <w:sz w:val="24"/>
                <w:szCs w:val="24"/>
              </w:rPr>
              <w:t>Performance of Companies. Retrieved Thursday 1</w:t>
            </w:r>
            <w:r w:rsidRPr="00565011">
              <w:rPr>
                <w:rFonts w:ascii="Calibri" w:hAnsi="Calibri"/>
                <w:sz w:val="24"/>
                <w:szCs w:val="24"/>
                <w:vertAlign w:val="superscript"/>
              </w:rPr>
              <w:t>st</w:t>
            </w:r>
            <w:r w:rsidRPr="00565011">
              <w:rPr>
                <w:rFonts w:ascii="Calibri" w:hAnsi="Calibri"/>
                <w:sz w:val="24"/>
                <w:szCs w:val="24"/>
              </w:rPr>
              <w:t xml:space="preserve"> March 2018: http://ec.europa.eu/environment/pubs/pdf/Incentives_Ecorys.pdf</w:t>
            </w:r>
          </w:p>
          <w:p w14:paraId="6343C934" w14:textId="77777777" w:rsidR="00A13DFF" w:rsidRPr="00565011" w:rsidRDefault="00A13DFF" w:rsidP="00A13DFF">
            <w:pPr>
              <w:rPr>
                <w:rFonts w:ascii="Calibri" w:hAnsi="Calibri"/>
                <w:sz w:val="24"/>
                <w:szCs w:val="24"/>
              </w:rPr>
            </w:pPr>
          </w:p>
          <w:p w14:paraId="3A8AC501" w14:textId="77777777" w:rsidR="00A13DFF" w:rsidRPr="00565011" w:rsidRDefault="00A13DFF" w:rsidP="00A13DFF">
            <w:pPr>
              <w:spacing w:after="160" w:line="259" w:lineRule="auto"/>
              <w:rPr>
                <w:rFonts w:ascii="Calibri" w:hAnsi="Calibri"/>
                <w:sz w:val="24"/>
                <w:szCs w:val="24"/>
              </w:rPr>
            </w:pPr>
            <w:r w:rsidRPr="00565011">
              <w:rPr>
                <w:rFonts w:ascii="Calibri" w:hAnsi="Calibri"/>
                <w:sz w:val="24"/>
                <w:szCs w:val="24"/>
              </w:rPr>
              <w:t>EPA (2018). Guidance to Licensees/COA holders on the Notification, Management and</w:t>
            </w:r>
          </w:p>
          <w:p w14:paraId="78B48D87" w14:textId="77777777" w:rsidR="00A13DFF" w:rsidRPr="00565011" w:rsidRDefault="00A13DFF" w:rsidP="00A13DFF">
            <w:pPr>
              <w:rPr>
                <w:rFonts w:ascii="Calibri" w:hAnsi="Calibri"/>
                <w:sz w:val="24"/>
                <w:szCs w:val="24"/>
              </w:rPr>
            </w:pPr>
            <w:r w:rsidRPr="00565011">
              <w:rPr>
                <w:rFonts w:ascii="Calibri" w:hAnsi="Calibri"/>
                <w:sz w:val="24"/>
                <w:szCs w:val="24"/>
              </w:rPr>
              <w:t xml:space="preserve">Communication of Environmental Incidents. Retrieved Thursday 1st March 2018: </w:t>
            </w:r>
          </w:p>
          <w:p w14:paraId="41A66FE6" w14:textId="77777777" w:rsidR="00A13DFF" w:rsidRPr="00565011" w:rsidRDefault="00A13DFF" w:rsidP="00A13DFF">
            <w:pPr>
              <w:rPr>
                <w:rFonts w:ascii="Calibri" w:hAnsi="Calibri"/>
                <w:sz w:val="24"/>
                <w:szCs w:val="24"/>
              </w:rPr>
            </w:pPr>
            <w:r w:rsidRPr="00565011">
              <w:rPr>
                <w:rFonts w:ascii="Calibri" w:hAnsi="Calibri"/>
                <w:sz w:val="24"/>
                <w:szCs w:val="24"/>
              </w:rPr>
              <w:t>https://www.epa.ie/pubs/advice/wastewater/1.0%20Incident%20Guidance.pdf</w:t>
            </w:r>
          </w:p>
          <w:p w14:paraId="291FAE23" w14:textId="77777777" w:rsidR="00A13DFF" w:rsidRPr="00565011" w:rsidRDefault="00A13DFF" w:rsidP="00A13DFF">
            <w:pPr>
              <w:rPr>
                <w:rFonts w:ascii="Calibri" w:hAnsi="Calibri"/>
                <w:sz w:val="24"/>
                <w:szCs w:val="24"/>
              </w:rPr>
            </w:pPr>
          </w:p>
          <w:p w14:paraId="3F68378D" w14:textId="77777777" w:rsidR="00A13DFF" w:rsidRPr="00565011" w:rsidRDefault="00A13DFF" w:rsidP="00A13DFF">
            <w:pPr>
              <w:rPr>
                <w:rFonts w:ascii="Calibri" w:hAnsi="Calibri"/>
                <w:sz w:val="24"/>
                <w:szCs w:val="24"/>
              </w:rPr>
            </w:pPr>
            <w:r w:rsidRPr="00565011">
              <w:rPr>
                <w:rFonts w:ascii="Calibri" w:hAnsi="Calibri"/>
                <w:sz w:val="24"/>
                <w:szCs w:val="24"/>
              </w:rPr>
              <w:t>EHP (2016). Guideline - Environmental Protection Act 1994 – The duty to notify environmental harm. Retrieved Thursday 1</w:t>
            </w:r>
            <w:r w:rsidRPr="00565011">
              <w:rPr>
                <w:rFonts w:ascii="Calibri" w:hAnsi="Calibri"/>
                <w:sz w:val="24"/>
                <w:szCs w:val="24"/>
                <w:vertAlign w:val="superscript"/>
              </w:rPr>
              <w:t>st</w:t>
            </w:r>
            <w:r w:rsidRPr="00565011">
              <w:rPr>
                <w:rFonts w:ascii="Calibri" w:hAnsi="Calibri"/>
                <w:sz w:val="24"/>
                <w:szCs w:val="24"/>
              </w:rPr>
              <w:t xml:space="preserve"> March 2018: https://www.ehp.qld.gov.au/assets/documents/pollution/management/contaminated-land/cm-gl-duty-notify-environmental-harm.pdf </w:t>
            </w:r>
          </w:p>
          <w:p w14:paraId="1C27F6F7" w14:textId="77777777" w:rsidR="00A13DFF" w:rsidRPr="00565011" w:rsidRDefault="00A13DFF" w:rsidP="00A13DFF">
            <w:pPr>
              <w:pStyle w:val="Default"/>
              <w:rPr>
                <w:bCs/>
                <w:color w:val="auto"/>
              </w:rPr>
            </w:pPr>
          </w:p>
          <w:p w14:paraId="443A13EF" w14:textId="77777777" w:rsidR="00A13DFF" w:rsidRPr="00565011" w:rsidRDefault="00A13DFF" w:rsidP="00A13DFF">
            <w:pPr>
              <w:pStyle w:val="Default"/>
              <w:rPr>
                <w:bCs/>
                <w:color w:val="auto"/>
              </w:rPr>
            </w:pPr>
            <w:r w:rsidRPr="00565011">
              <w:rPr>
                <w:bCs/>
                <w:color w:val="auto"/>
              </w:rPr>
              <w:t>EU (2009). Science for Environment Policy – Special Issue (Environmental Communication). Issue 17.</w:t>
            </w:r>
          </w:p>
          <w:p w14:paraId="031B8621" w14:textId="77777777" w:rsidR="00A13DFF" w:rsidRPr="00565011" w:rsidRDefault="00A13DFF" w:rsidP="00A13DFF">
            <w:pPr>
              <w:rPr>
                <w:rFonts w:ascii="Calibri" w:hAnsi="Calibri"/>
                <w:sz w:val="24"/>
                <w:szCs w:val="24"/>
              </w:rPr>
            </w:pPr>
          </w:p>
          <w:p w14:paraId="51F54C58" w14:textId="77777777" w:rsidR="00A13DFF" w:rsidRPr="00565011" w:rsidRDefault="00A13DFF" w:rsidP="00A13DFF">
            <w:pPr>
              <w:pStyle w:val="Default"/>
              <w:rPr>
                <w:rFonts w:cstheme="minorBidi"/>
                <w:color w:val="auto"/>
              </w:rPr>
            </w:pPr>
            <w:r w:rsidRPr="00565011">
              <w:rPr>
                <w:bCs/>
                <w:color w:val="auto"/>
              </w:rPr>
              <w:t xml:space="preserve">Galway County Council (2018). Sample Environment Improvement Plan. Retrieved Thursday 1st March 2018: </w:t>
            </w:r>
            <w:hyperlink r:id="rId10" w:history="1">
              <w:r w:rsidRPr="00565011">
                <w:rPr>
                  <w:rFonts w:cstheme="minorBidi"/>
                  <w:color w:val="auto"/>
                </w:rPr>
                <w:t>http://repository.localprevention.ie/wp-content/uploads/2015/05/Sample-Environemnt-Improvement-Plan.pdf</w:t>
              </w:r>
            </w:hyperlink>
          </w:p>
          <w:p w14:paraId="4A7EBA31" w14:textId="77777777" w:rsidR="00A13DFF" w:rsidRPr="00565011" w:rsidRDefault="00A13DFF" w:rsidP="00A13DFF">
            <w:pPr>
              <w:rPr>
                <w:rFonts w:ascii="Calibri" w:hAnsi="Calibri"/>
                <w:sz w:val="24"/>
                <w:szCs w:val="24"/>
              </w:rPr>
            </w:pPr>
          </w:p>
          <w:p w14:paraId="7AB9BBB2" w14:textId="77777777" w:rsidR="00A13DFF" w:rsidRPr="00565011" w:rsidRDefault="00A13DFF" w:rsidP="00A13DFF">
            <w:pPr>
              <w:rPr>
                <w:rFonts w:ascii="Calibri" w:hAnsi="Calibri"/>
                <w:sz w:val="24"/>
                <w:szCs w:val="24"/>
              </w:rPr>
            </w:pPr>
            <w:r w:rsidRPr="00565011">
              <w:rPr>
                <w:rFonts w:ascii="Calibri" w:hAnsi="Calibri" w:cs="Arial"/>
                <w:color w:val="222222"/>
                <w:sz w:val="24"/>
                <w:szCs w:val="24"/>
                <w:shd w:val="clear" w:color="auto" w:fill="FFFFFF"/>
              </w:rPr>
              <w:t>Gutteling, J.M., 2015. </w:t>
            </w:r>
            <w:r w:rsidRPr="00565011">
              <w:rPr>
                <w:rFonts w:ascii="Calibri" w:hAnsi="Calibri" w:cs="Arial"/>
                <w:i/>
                <w:iCs/>
                <w:color w:val="222222"/>
                <w:sz w:val="24"/>
                <w:szCs w:val="24"/>
                <w:shd w:val="clear" w:color="auto" w:fill="FFFFFF"/>
              </w:rPr>
              <w:t>Risk communication</w:t>
            </w:r>
            <w:r w:rsidRPr="00565011">
              <w:rPr>
                <w:rFonts w:ascii="Calibri" w:hAnsi="Calibri" w:cs="Arial"/>
                <w:color w:val="222222"/>
                <w:sz w:val="24"/>
                <w:szCs w:val="24"/>
                <w:shd w:val="clear" w:color="auto" w:fill="FFFFFF"/>
              </w:rPr>
              <w:t>. John Wiley &amp; Sons, Inc..</w:t>
            </w:r>
          </w:p>
          <w:p w14:paraId="426289F5" w14:textId="77777777" w:rsidR="00A13DFF" w:rsidRPr="00565011" w:rsidRDefault="00A13DFF" w:rsidP="00A13DFF">
            <w:pPr>
              <w:rPr>
                <w:rFonts w:ascii="Calibri" w:hAnsi="Calibri" w:cs="Arial"/>
                <w:color w:val="222222"/>
                <w:sz w:val="24"/>
                <w:szCs w:val="24"/>
                <w:shd w:val="clear" w:color="auto" w:fill="FFFFFF"/>
              </w:rPr>
            </w:pPr>
          </w:p>
          <w:p w14:paraId="5953643A" w14:textId="77777777" w:rsidR="00A13DFF" w:rsidRPr="00565011" w:rsidRDefault="00A13DFF" w:rsidP="00A13DFF">
            <w:pPr>
              <w:rPr>
                <w:rFonts w:ascii="Calibri" w:hAnsi="Calibri"/>
                <w:sz w:val="24"/>
                <w:szCs w:val="24"/>
              </w:rPr>
            </w:pPr>
            <w:r w:rsidRPr="00565011">
              <w:rPr>
                <w:rFonts w:ascii="Calibri" w:hAnsi="Calibri" w:cs="Arial"/>
                <w:color w:val="222222"/>
                <w:sz w:val="24"/>
                <w:szCs w:val="24"/>
                <w:shd w:val="clear" w:color="auto" w:fill="FFFFFF"/>
              </w:rPr>
              <w:t>Hansen, A., 2010. </w:t>
            </w:r>
            <w:r w:rsidRPr="00565011">
              <w:rPr>
                <w:rFonts w:ascii="Calibri" w:hAnsi="Calibri" w:cs="Arial"/>
                <w:i/>
                <w:iCs/>
                <w:color w:val="222222"/>
                <w:sz w:val="24"/>
                <w:szCs w:val="24"/>
                <w:shd w:val="clear" w:color="auto" w:fill="FFFFFF"/>
              </w:rPr>
              <w:t>Environment, media and communication</w:t>
            </w:r>
            <w:r w:rsidRPr="00565011">
              <w:rPr>
                <w:rFonts w:ascii="Calibri" w:hAnsi="Calibri" w:cs="Arial"/>
                <w:color w:val="222222"/>
                <w:sz w:val="24"/>
                <w:szCs w:val="24"/>
                <w:shd w:val="clear" w:color="auto" w:fill="FFFFFF"/>
              </w:rPr>
              <w:t>. Routledge.</w:t>
            </w:r>
          </w:p>
          <w:p w14:paraId="6F38F84F" w14:textId="77777777" w:rsidR="00A13DFF" w:rsidRPr="00565011" w:rsidRDefault="00A13DFF" w:rsidP="00A13DFF">
            <w:pPr>
              <w:pStyle w:val="Default"/>
              <w:spacing w:after="66"/>
              <w:rPr>
                <w:b/>
                <w:bCs/>
                <w:i/>
                <w:color w:val="C00000"/>
              </w:rPr>
            </w:pPr>
          </w:p>
          <w:p w14:paraId="779AD679" w14:textId="77777777" w:rsidR="00A13DFF" w:rsidRPr="00565011" w:rsidRDefault="00A13DFF" w:rsidP="00A13DFF">
            <w:pPr>
              <w:rPr>
                <w:rFonts w:ascii="Calibri" w:hAnsi="Calibri"/>
                <w:sz w:val="24"/>
                <w:szCs w:val="24"/>
              </w:rPr>
            </w:pPr>
            <w:r w:rsidRPr="00565011">
              <w:rPr>
                <w:rFonts w:ascii="Calibri" w:hAnsi="Calibri" w:cs="Arial"/>
                <w:color w:val="222222"/>
                <w:sz w:val="24"/>
                <w:szCs w:val="24"/>
                <w:shd w:val="clear" w:color="auto" w:fill="FFFFFF"/>
              </w:rPr>
              <w:t>Hansen, A., 2011. Communication, media and environment: Towards reconnecting research on the production, content and social implications of environmental communication. </w:t>
            </w:r>
            <w:r w:rsidRPr="00565011">
              <w:rPr>
                <w:rFonts w:ascii="Calibri" w:hAnsi="Calibri" w:cs="Arial"/>
                <w:i/>
                <w:iCs/>
                <w:color w:val="222222"/>
                <w:sz w:val="24"/>
                <w:szCs w:val="24"/>
                <w:shd w:val="clear" w:color="auto" w:fill="FFFFFF"/>
              </w:rPr>
              <w:t>International Communication Gazette</w:t>
            </w:r>
            <w:r w:rsidRPr="00565011">
              <w:rPr>
                <w:rFonts w:ascii="Calibri" w:hAnsi="Calibri" w:cs="Arial"/>
                <w:color w:val="222222"/>
                <w:sz w:val="24"/>
                <w:szCs w:val="24"/>
                <w:shd w:val="clear" w:color="auto" w:fill="FFFFFF"/>
              </w:rPr>
              <w:t>, </w:t>
            </w:r>
            <w:r w:rsidRPr="00565011">
              <w:rPr>
                <w:rFonts w:ascii="Calibri" w:hAnsi="Calibri" w:cs="Arial"/>
                <w:i/>
                <w:iCs/>
                <w:color w:val="222222"/>
                <w:sz w:val="24"/>
                <w:szCs w:val="24"/>
                <w:shd w:val="clear" w:color="auto" w:fill="FFFFFF"/>
              </w:rPr>
              <w:t>73</w:t>
            </w:r>
            <w:r w:rsidRPr="00565011">
              <w:rPr>
                <w:rFonts w:ascii="Calibri" w:hAnsi="Calibri" w:cs="Arial"/>
                <w:color w:val="222222"/>
                <w:sz w:val="24"/>
                <w:szCs w:val="24"/>
                <w:shd w:val="clear" w:color="auto" w:fill="FFFFFF"/>
              </w:rPr>
              <w:t>(1-2), pp.7-25.</w:t>
            </w:r>
          </w:p>
          <w:p w14:paraId="0A22CFD4" w14:textId="77777777" w:rsidR="00A13DFF" w:rsidRPr="00565011" w:rsidRDefault="00A13DFF" w:rsidP="00A13DFF">
            <w:pPr>
              <w:rPr>
                <w:rFonts w:ascii="Calibri" w:hAnsi="Calibri"/>
                <w:sz w:val="24"/>
                <w:szCs w:val="24"/>
              </w:rPr>
            </w:pPr>
          </w:p>
          <w:p w14:paraId="748BB2D5" w14:textId="77777777" w:rsidR="00A13DFF" w:rsidRPr="00565011" w:rsidRDefault="00A13DFF" w:rsidP="00A13DFF">
            <w:pPr>
              <w:pStyle w:val="Default"/>
              <w:rPr>
                <w:bCs/>
                <w:color w:val="auto"/>
              </w:rPr>
            </w:pPr>
            <w:r w:rsidRPr="00565011">
              <w:rPr>
                <w:bCs/>
                <w:color w:val="auto"/>
              </w:rPr>
              <w:t xml:space="preserve">Jurin, R., Roush, D., and </w:t>
            </w:r>
            <w:proofErr w:type="spellStart"/>
            <w:r w:rsidRPr="00565011">
              <w:rPr>
                <w:bCs/>
                <w:color w:val="auto"/>
              </w:rPr>
              <w:t>Danter</w:t>
            </w:r>
            <w:proofErr w:type="spellEnd"/>
            <w:r w:rsidRPr="00565011">
              <w:rPr>
                <w:bCs/>
                <w:color w:val="auto"/>
              </w:rPr>
              <w:t>, J. 2010. Environmental Communication. Springer</w:t>
            </w:r>
          </w:p>
          <w:p w14:paraId="2E5885C6" w14:textId="77777777" w:rsidR="00A13DFF" w:rsidRPr="00565011" w:rsidRDefault="00A13DFF" w:rsidP="00A13DFF">
            <w:pPr>
              <w:rPr>
                <w:rFonts w:ascii="Calibri" w:hAnsi="Calibri"/>
                <w:sz w:val="24"/>
                <w:szCs w:val="24"/>
              </w:rPr>
            </w:pPr>
          </w:p>
          <w:p w14:paraId="1510C217" w14:textId="77777777" w:rsidR="00A13DFF" w:rsidRPr="00565011" w:rsidRDefault="00A13DFF" w:rsidP="00A13DFF">
            <w:pPr>
              <w:rPr>
                <w:rFonts w:ascii="Calibri" w:hAnsi="Calibri"/>
                <w:sz w:val="24"/>
                <w:szCs w:val="24"/>
              </w:rPr>
            </w:pPr>
            <w:r w:rsidRPr="00565011">
              <w:rPr>
                <w:rFonts w:ascii="Calibri" w:hAnsi="Calibri" w:cs="Arial"/>
                <w:color w:val="222222"/>
                <w:sz w:val="24"/>
                <w:szCs w:val="24"/>
                <w:shd w:val="clear" w:color="auto" w:fill="FFFFFF"/>
              </w:rPr>
              <w:t xml:space="preserve">Kaiser, T., </w:t>
            </w:r>
            <w:proofErr w:type="spellStart"/>
            <w:r w:rsidRPr="00565011">
              <w:rPr>
                <w:rFonts w:ascii="Calibri" w:hAnsi="Calibri" w:cs="Arial"/>
                <w:color w:val="222222"/>
                <w:sz w:val="24"/>
                <w:szCs w:val="24"/>
                <w:shd w:val="clear" w:color="auto" w:fill="FFFFFF"/>
              </w:rPr>
              <w:t>Godon</w:t>
            </w:r>
            <w:proofErr w:type="spellEnd"/>
            <w:r w:rsidRPr="00565011">
              <w:rPr>
                <w:rFonts w:ascii="Calibri" w:hAnsi="Calibri" w:cs="Arial"/>
                <w:color w:val="222222"/>
                <w:sz w:val="24"/>
                <w:szCs w:val="24"/>
                <w:shd w:val="clear" w:color="auto" w:fill="FFFFFF"/>
              </w:rPr>
              <w:t>, W., Whitehorne, R., Gundlach, E.R. and Baca, B.J., 1987, April. Canadian-US spill response cooperation along the Great Lakes. In </w:t>
            </w:r>
            <w:r w:rsidRPr="00565011">
              <w:rPr>
                <w:rFonts w:ascii="Calibri" w:hAnsi="Calibri" w:cs="Arial"/>
                <w:i/>
                <w:iCs/>
                <w:color w:val="222222"/>
                <w:sz w:val="24"/>
                <w:szCs w:val="24"/>
                <w:shd w:val="clear" w:color="auto" w:fill="FFFFFF"/>
              </w:rPr>
              <w:t>International Oil Spill Conference</w:t>
            </w:r>
            <w:r w:rsidRPr="00565011">
              <w:rPr>
                <w:rFonts w:ascii="Calibri" w:hAnsi="Calibri" w:cs="Arial"/>
                <w:color w:val="222222"/>
                <w:sz w:val="24"/>
                <w:szCs w:val="24"/>
                <w:shd w:val="clear" w:color="auto" w:fill="FFFFFF"/>
              </w:rPr>
              <w:t> (Vol. 1987, No. 1, pp. 177-180). American Petroleum Institute.</w:t>
            </w:r>
          </w:p>
          <w:p w14:paraId="3EF2B8EF" w14:textId="77777777" w:rsidR="00A13DFF" w:rsidRPr="00565011" w:rsidRDefault="00A13DFF" w:rsidP="00A13DFF">
            <w:pPr>
              <w:rPr>
                <w:rFonts w:ascii="Calibri" w:hAnsi="Calibri" w:cs="Arial"/>
                <w:color w:val="222222"/>
                <w:sz w:val="24"/>
                <w:szCs w:val="24"/>
                <w:shd w:val="clear" w:color="auto" w:fill="FFFFFF"/>
              </w:rPr>
            </w:pPr>
          </w:p>
          <w:p w14:paraId="00AD74BB" w14:textId="77777777" w:rsidR="00A13DFF" w:rsidRPr="00565011" w:rsidRDefault="00A13DFF" w:rsidP="00A13DFF">
            <w:pPr>
              <w:rPr>
                <w:rFonts w:ascii="Calibri" w:hAnsi="Calibri" w:cs="Arial"/>
                <w:color w:val="222222"/>
                <w:sz w:val="24"/>
                <w:szCs w:val="24"/>
                <w:shd w:val="clear" w:color="auto" w:fill="FFFFFF"/>
              </w:rPr>
            </w:pPr>
            <w:r w:rsidRPr="00565011">
              <w:rPr>
                <w:rFonts w:ascii="Calibri" w:hAnsi="Calibri" w:cs="Arial"/>
                <w:color w:val="222222"/>
                <w:sz w:val="24"/>
                <w:szCs w:val="24"/>
                <w:shd w:val="clear" w:color="auto" w:fill="FFFFFF"/>
              </w:rPr>
              <w:t>Kasperson, R.E., 1986. Six propositions on public participation and their relevance for risk communication. </w:t>
            </w:r>
            <w:r w:rsidRPr="00565011">
              <w:rPr>
                <w:rFonts w:ascii="Calibri" w:hAnsi="Calibri" w:cs="Arial"/>
                <w:i/>
                <w:iCs/>
                <w:color w:val="222222"/>
                <w:sz w:val="24"/>
                <w:szCs w:val="24"/>
                <w:shd w:val="clear" w:color="auto" w:fill="FFFFFF"/>
              </w:rPr>
              <w:t>Risk analysis</w:t>
            </w:r>
            <w:r w:rsidRPr="00565011">
              <w:rPr>
                <w:rFonts w:ascii="Calibri" w:hAnsi="Calibri" w:cs="Arial"/>
                <w:color w:val="222222"/>
                <w:sz w:val="24"/>
                <w:szCs w:val="24"/>
                <w:shd w:val="clear" w:color="auto" w:fill="FFFFFF"/>
              </w:rPr>
              <w:t>, </w:t>
            </w:r>
            <w:r w:rsidRPr="00565011">
              <w:rPr>
                <w:rFonts w:ascii="Calibri" w:hAnsi="Calibri" w:cs="Arial"/>
                <w:i/>
                <w:iCs/>
                <w:color w:val="222222"/>
                <w:sz w:val="24"/>
                <w:szCs w:val="24"/>
                <w:shd w:val="clear" w:color="auto" w:fill="FFFFFF"/>
              </w:rPr>
              <w:t>6</w:t>
            </w:r>
            <w:r w:rsidRPr="00565011">
              <w:rPr>
                <w:rFonts w:ascii="Calibri" w:hAnsi="Calibri" w:cs="Arial"/>
                <w:color w:val="222222"/>
                <w:sz w:val="24"/>
                <w:szCs w:val="24"/>
                <w:shd w:val="clear" w:color="auto" w:fill="FFFFFF"/>
              </w:rPr>
              <w:t>(3), pp.275-281.</w:t>
            </w:r>
          </w:p>
          <w:p w14:paraId="1963DD7D" w14:textId="77777777" w:rsidR="00A13DFF" w:rsidRPr="00565011" w:rsidRDefault="00A13DFF" w:rsidP="00A13DFF">
            <w:pPr>
              <w:rPr>
                <w:rFonts w:ascii="Calibri" w:hAnsi="Calibri"/>
                <w:sz w:val="24"/>
                <w:szCs w:val="24"/>
              </w:rPr>
            </w:pPr>
          </w:p>
          <w:p w14:paraId="2734B6B1" w14:textId="77777777" w:rsidR="00A13DFF" w:rsidRPr="00565011" w:rsidRDefault="00A13DFF" w:rsidP="00A13DFF">
            <w:pPr>
              <w:rPr>
                <w:rFonts w:ascii="Calibri" w:hAnsi="Calibri"/>
                <w:sz w:val="24"/>
                <w:szCs w:val="24"/>
              </w:rPr>
            </w:pPr>
            <w:r w:rsidRPr="00565011">
              <w:rPr>
                <w:rFonts w:ascii="Calibri" w:hAnsi="Calibri"/>
                <w:sz w:val="24"/>
                <w:szCs w:val="24"/>
              </w:rPr>
              <w:t>Lundgren, R.E. and McMakin, A.H., 2013. Risk communication: A handbook for communicating environmental, safety, and health risks. John Wiley &amp; Sons.</w:t>
            </w:r>
          </w:p>
          <w:p w14:paraId="2C515EB5" w14:textId="77777777" w:rsidR="00A13DFF" w:rsidRPr="00565011" w:rsidRDefault="00A13DFF" w:rsidP="00A13DFF">
            <w:pPr>
              <w:rPr>
                <w:rFonts w:ascii="Calibri" w:hAnsi="Calibri" w:cs="Arial"/>
                <w:color w:val="222222"/>
                <w:sz w:val="24"/>
                <w:szCs w:val="24"/>
                <w:shd w:val="clear" w:color="auto" w:fill="FFFFFF"/>
              </w:rPr>
            </w:pPr>
          </w:p>
          <w:p w14:paraId="56571831" w14:textId="77777777" w:rsidR="00EF409D" w:rsidRDefault="00EF409D" w:rsidP="00A13DFF">
            <w:pPr>
              <w:pStyle w:val="Default"/>
              <w:spacing w:after="66"/>
              <w:rPr>
                <w:rFonts w:cs="Arial"/>
                <w:color w:val="222222"/>
                <w:shd w:val="clear" w:color="auto" w:fill="FFFFFF"/>
              </w:rPr>
            </w:pPr>
          </w:p>
          <w:p w14:paraId="678FCB26" w14:textId="77777777" w:rsidR="00EF409D" w:rsidRDefault="00EF409D" w:rsidP="00A13DFF">
            <w:pPr>
              <w:pStyle w:val="Default"/>
              <w:spacing w:after="66"/>
              <w:rPr>
                <w:rFonts w:cs="Arial"/>
                <w:color w:val="222222"/>
                <w:shd w:val="clear" w:color="auto" w:fill="FFFFFF"/>
              </w:rPr>
            </w:pPr>
          </w:p>
          <w:p w14:paraId="48AB2301" w14:textId="46F95DC9" w:rsidR="00A13DFF" w:rsidRPr="00565011" w:rsidRDefault="00A13DFF" w:rsidP="00A13DFF">
            <w:pPr>
              <w:pStyle w:val="Default"/>
              <w:spacing w:after="66"/>
              <w:rPr>
                <w:b/>
                <w:bCs/>
                <w:color w:val="C00000"/>
              </w:rPr>
            </w:pPr>
            <w:r w:rsidRPr="00565011">
              <w:rPr>
                <w:rFonts w:cs="Arial"/>
                <w:color w:val="222222"/>
                <w:shd w:val="clear" w:color="auto" w:fill="FFFFFF"/>
              </w:rPr>
              <w:t>Sammalisto, K. and Brorson, T., 2008. Training and communication in the implementation of environmental management systems (ISO 14001): a case study at the University of Gävle, Sweden. </w:t>
            </w:r>
            <w:r w:rsidRPr="00565011">
              <w:rPr>
                <w:rFonts w:cs="Arial"/>
                <w:i/>
                <w:iCs/>
                <w:color w:val="222222"/>
                <w:shd w:val="clear" w:color="auto" w:fill="FFFFFF"/>
              </w:rPr>
              <w:t>Journal of Cleaner Production</w:t>
            </w:r>
            <w:r w:rsidRPr="00565011">
              <w:rPr>
                <w:rFonts w:cs="Arial"/>
                <w:color w:val="222222"/>
                <w:shd w:val="clear" w:color="auto" w:fill="FFFFFF"/>
              </w:rPr>
              <w:t>, </w:t>
            </w:r>
            <w:r w:rsidRPr="00565011">
              <w:rPr>
                <w:rFonts w:cs="Arial"/>
                <w:i/>
                <w:iCs/>
                <w:color w:val="222222"/>
                <w:shd w:val="clear" w:color="auto" w:fill="FFFFFF"/>
              </w:rPr>
              <w:t>16</w:t>
            </w:r>
            <w:r w:rsidRPr="00565011">
              <w:rPr>
                <w:rFonts w:cs="Arial"/>
                <w:color w:val="222222"/>
                <w:shd w:val="clear" w:color="auto" w:fill="FFFFFF"/>
              </w:rPr>
              <w:t>(3), pp.299-309.</w:t>
            </w:r>
          </w:p>
          <w:p w14:paraId="686AA601" w14:textId="77777777" w:rsidR="00A13DFF" w:rsidRPr="00565011" w:rsidRDefault="00A13DFF" w:rsidP="00A13DFF">
            <w:pPr>
              <w:rPr>
                <w:rFonts w:ascii="Calibri" w:hAnsi="Calibri" w:cs="Arial"/>
                <w:color w:val="222222"/>
                <w:sz w:val="24"/>
                <w:szCs w:val="24"/>
                <w:shd w:val="clear" w:color="auto" w:fill="FFFFFF"/>
              </w:rPr>
            </w:pPr>
          </w:p>
          <w:p w14:paraId="5E6F6534" w14:textId="77777777" w:rsidR="00A13DFF" w:rsidRPr="00565011" w:rsidRDefault="00A13DFF" w:rsidP="00A13DFF">
            <w:pPr>
              <w:rPr>
                <w:rFonts w:ascii="Calibri" w:hAnsi="Calibri"/>
                <w:b/>
                <w:bCs/>
                <w:color w:val="C00000"/>
                <w:sz w:val="24"/>
                <w:szCs w:val="24"/>
              </w:rPr>
            </w:pPr>
            <w:r w:rsidRPr="00565011">
              <w:rPr>
                <w:rFonts w:ascii="Calibri" w:hAnsi="Calibri" w:cs="Arial"/>
                <w:color w:val="222222"/>
                <w:sz w:val="24"/>
                <w:szCs w:val="24"/>
                <w:shd w:val="clear" w:color="auto" w:fill="FFFFFF"/>
              </w:rPr>
              <w:t>UN, 2008. Disaster preparedness for effective response: guidance and indicator package for implementing priority five of the Hyogo Framework. </w:t>
            </w:r>
            <w:r w:rsidRPr="00565011">
              <w:rPr>
                <w:rFonts w:ascii="Calibri" w:hAnsi="Calibri" w:cs="Arial"/>
                <w:i/>
                <w:iCs/>
                <w:color w:val="222222"/>
                <w:sz w:val="24"/>
                <w:szCs w:val="24"/>
                <w:shd w:val="clear" w:color="auto" w:fill="FFFFFF"/>
              </w:rPr>
              <w:t>United Nations, New York, Geneva</w:t>
            </w:r>
            <w:r w:rsidRPr="00565011">
              <w:rPr>
                <w:rFonts w:ascii="Calibri" w:hAnsi="Calibri" w:cs="Arial"/>
                <w:color w:val="222222"/>
                <w:sz w:val="24"/>
                <w:szCs w:val="24"/>
                <w:shd w:val="clear" w:color="auto" w:fill="FFFFFF"/>
              </w:rPr>
              <w:t>.</w:t>
            </w:r>
          </w:p>
          <w:p w14:paraId="728A6ADB" w14:textId="77777777" w:rsidR="00A13DFF" w:rsidRPr="00565011" w:rsidRDefault="00A13DFF" w:rsidP="00A13DFF">
            <w:pPr>
              <w:rPr>
                <w:rFonts w:ascii="Calibri" w:hAnsi="Calibri"/>
                <w:sz w:val="24"/>
                <w:szCs w:val="24"/>
              </w:rPr>
            </w:pPr>
          </w:p>
          <w:p w14:paraId="43325423" w14:textId="77777777" w:rsidR="00A13DFF" w:rsidRPr="00565011" w:rsidRDefault="00A13DFF" w:rsidP="00A13DFF">
            <w:pPr>
              <w:rPr>
                <w:rFonts w:ascii="Calibri" w:hAnsi="Calibri"/>
                <w:sz w:val="24"/>
                <w:szCs w:val="24"/>
              </w:rPr>
            </w:pPr>
            <w:r w:rsidRPr="00565011">
              <w:rPr>
                <w:rFonts w:ascii="Calibri" w:hAnsi="Calibri"/>
                <w:sz w:val="24"/>
                <w:szCs w:val="24"/>
              </w:rPr>
              <w:t>UN (2009). Environmental Emergencies – Learning from multilateral response to disasters. Joint UNEP/OCHA Environment Unit: Switzerland. Retrieved Thursday 1</w:t>
            </w:r>
            <w:r w:rsidRPr="00565011">
              <w:rPr>
                <w:rFonts w:ascii="Calibri" w:hAnsi="Calibri"/>
                <w:sz w:val="24"/>
                <w:szCs w:val="24"/>
                <w:vertAlign w:val="superscript"/>
              </w:rPr>
              <w:t>st</w:t>
            </w:r>
            <w:r w:rsidRPr="00565011">
              <w:rPr>
                <w:rFonts w:ascii="Calibri" w:hAnsi="Calibri"/>
                <w:sz w:val="24"/>
                <w:szCs w:val="24"/>
              </w:rPr>
              <w:t xml:space="preserve"> March 2018: https://www.unocha.org/publication/environmental-emergencies-learning-multilateral-response-disasters</w:t>
            </w:r>
          </w:p>
          <w:p w14:paraId="7CD290DD" w14:textId="77777777" w:rsidR="00A13DFF" w:rsidRPr="00565011" w:rsidRDefault="00A13DFF" w:rsidP="00A13DFF">
            <w:pPr>
              <w:pStyle w:val="Default"/>
              <w:spacing w:after="66"/>
              <w:rPr>
                <w:b/>
                <w:bCs/>
                <w:color w:val="C00000"/>
              </w:rPr>
            </w:pPr>
          </w:p>
          <w:p w14:paraId="350C596F" w14:textId="77777777" w:rsidR="00A13DFF" w:rsidRPr="00565011" w:rsidRDefault="00A13DFF" w:rsidP="00A13DFF">
            <w:pPr>
              <w:pStyle w:val="Default"/>
              <w:spacing w:after="66"/>
              <w:rPr>
                <w:b/>
                <w:bCs/>
                <w:color w:val="C00000"/>
              </w:rPr>
            </w:pPr>
            <w:r w:rsidRPr="00565011">
              <w:rPr>
                <w:rFonts w:cs="Arial"/>
                <w:color w:val="222222"/>
                <w:shd w:val="clear" w:color="auto" w:fill="FFFFFF"/>
              </w:rPr>
              <w:t>Zutshi, A. and Sohal, A.S., 2004a. Adoption and maintenance of environmental management systems: critical success factors. </w:t>
            </w:r>
            <w:r w:rsidRPr="00565011">
              <w:rPr>
                <w:rFonts w:cs="Arial"/>
                <w:i/>
                <w:iCs/>
                <w:color w:val="222222"/>
                <w:shd w:val="clear" w:color="auto" w:fill="FFFFFF"/>
              </w:rPr>
              <w:t>Management of Environmental Quality: An International Journal</w:t>
            </w:r>
            <w:r w:rsidRPr="00565011">
              <w:rPr>
                <w:rFonts w:cs="Arial"/>
                <w:color w:val="222222"/>
                <w:shd w:val="clear" w:color="auto" w:fill="FFFFFF"/>
              </w:rPr>
              <w:t>, </w:t>
            </w:r>
            <w:r w:rsidRPr="00565011">
              <w:rPr>
                <w:rFonts w:cs="Arial"/>
                <w:i/>
                <w:iCs/>
                <w:color w:val="222222"/>
                <w:shd w:val="clear" w:color="auto" w:fill="FFFFFF"/>
              </w:rPr>
              <w:t>15</w:t>
            </w:r>
            <w:r w:rsidRPr="00565011">
              <w:rPr>
                <w:rFonts w:cs="Arial"/>
                <w:color w:val="222222"/>
                <w:shd w:val="clear" w:color="auto" w:fill="FFFFFF"/>
              </w:rPr>
              <w:t>(4), pp.399-419.</w:t>
            </w:r>
          </w:p>
          <w:p w14:paraId="35CFC793" w14:textId="77777777" w:rsidR="00A13DFF" w:rsidRPr="00565011" w:rsidRDefault="00A13DFF" w:rsidP="00A13DFF">
            <w:pPr>
              <w:pStyle w:val="Default"/>
              <w:spacing w:after="66"/>
              <w:rPr>
                <w:b/>
                <w:bCs/>
                <w:color w:val="C00000"/>
              </w:rPr>
            </w:pPr>
          </w:p>
          <w:p w14:paraId="7F281A7B" w14:textId="77777777" w:rsidR="00A13DFF" w:rsidRPr="00565011" w:rsidRDefault="00A13DFF" w:rsidP="00A13DFF">
            <w:pPr>
              <w:pStyle w:val="Default"/>
              <w:spacing w:after="66"/>
              <w:rPr>
                <w:b/>
                <w:bCs/>
                <w:color w:val="C00000"/>
              </w:rPr>
            </w:pPr>
            <w:r w:rsidRPr="00565011">
              <w:rPr>
                <w:rFonts w:cs="Arial"/>
                <w:color w:val="222222"/>
                <w:shd w:val="clear" w:color="auto" w:fill="FFFFFF"/>
              </w:rPr>
              <w:t>Zutshi, A. and Sohal, A., 2004b. A study of the environmental management system (EMS) adoption process within Australasian organisations—2. Role of stakeholders. </w:t>
            </w:r>
            <w:r w:rsidRPr="00565011">
              <w:rPr>
                <w:rFonts w:cs="Arial"/>
                <w:i/>
                <w:iCs/>
                <w:color w:val="222222"/>
                <w:shd w:val="clear" w:color="auto" w:fill="FFFFFF"/>
              </w:rPr>
              <w:t>Technovation</w:t>
            </w:r>
            <w:r w:rsidRPr="00565011">
              <w:rPr>
                <w:rFonts w:cs="Arial"/>
                <w:color w:val="222222"/>
                <w:shd w:val="clear" w:color="auto" w:fill="FFFFFF"/>
              </w:rPr>
              <w:t>, </w:t>
            </w:r>
            <w:r w:rsidRPr="00565011">
              <w:rPr>
                <w:rFonts w:cs="Arial"/>
                <w:i/>
                <w:iCs/>
                <w:color w:val="222222"/>
                <w:shd w:val="clear" w:color="auto" w:fill="FFFFFF"/>
              </w:rPr>
              <w:t>24</w:t>
            </w:r>
            <w:r w:rsidRPr="00565011">
              <w:rPr>
                <w:rFonts w:cs="Arial"/>
                <w:color w:val="222222"/>
                <w:shd w:val="clear" w:color="auto" w:fill="FFFFFF"/>
              </w:rPr>
              <w:t>(5), pp.371-386.</w:t>
            </w:r>
          </w:p>
          <w:p w14:paraId="000CFA99" w14:textId="77777777" w:rsidR="00CC2FB3" w:rsidRDefault="00CC2FB3" w:rsidP="00A851DA">
            <w:pPr>
              <w:rPr>
                <w:b/>
              </w:rPr>
            </w:pPr>
          </w:p>
          <w:p w14:paraId="0CF66C8B" w14:textId="77777777" w:rsidR="00CC2FB3" w:rsidRDefault="00CC2FB3" w:rsidP="00A851DA">
            <w:pPr>
              <w:rPr>
                <w:b/>
              </w:rPr>
            </w:pPr>
          </w:p>
          <w:p w14:paraId="64AEC35F" w14:textId="77777777" w:rsidR="00CC2FB3" w:rsidRDefault="00CC2FB3" w:rsidP="00A851DA">
            <w:pPr>
              <w:rPr>
                <w:b/>
              </w:rPr>
            </w:pPr>
          </w:p>
          <w:p w14:paraId="1F8A07D2" w14:textId="77777777" w:rsidR="00CC2FB3" w:rsidRDefault="00CC2FB3" w:rsidP="00A851DA">
            <w:pPr>
              <w:rPr>
                <w:b/>
              </w:rPr>
            </w:pPr>
          </w:p>
          <w:p w14:paraId="0D5AD1AB" w14:textId="77777777" w:rsidR="00CC2FB3" w:rsidRDefault="00CC2FB3" w:rsidP="00A851DA">
            <w:pPr>
              <w:rPr>
                <w:b/>
              </w:rPr>
            </w:pPr>
          </w:p>
          <w:p w14:paraId="702A4072" w14:textId="77777777" w:rsidR="00CC2FB3" w:rsidRDefault="00CC2FB3" w:rsidP="00A851DA">
            <w:pPr>
              <w:rPr>
                <w:b/>
              </w:rPr>
            </w:pPr>
          </w:p>
          <w:p w14:paraId="1FF73F84" w14:textId="77777777" w:rsidR="00CC2FB3" w:rsidRDefault="00CC2FB3" w:rsidP="00A851DA">
            <w:pPr>
              <w:rPr>
                <w:b/>
              </w:rPr>
            </w:pPr>
          </w:p>
          <w:p w14:paraId="6B4C6638" w14:textId="77777777" w:rsidR="00CC2FB3" w:rsidRDefault="00CC2FB3" w:rsidP="00A851DA">
            <w:pPr>
              <w:rPr>
                <w:b/>
              </w:rPr>
            </w:pPr>
          </w:p>
          <w:p w14:paraId="6CFA662E" w14:textId="77777777" w:rsidR="00CC2FB3" w:rsidRDefault="00CC2FB3" w:rsidP="00A851DA">
            <w:pPr>
              <w:rPr>
                <w:b/>
              </w:rPr>
            </w:pPr>
          </w:p>
          <w:p w14:paraId="5D2EEC05" w14:textId="77777777" w:rsidR="00CC2FB3" w:rsidRDefault="00CC2FB3" w:rsidP="00A851DA">
            <w:pPr>
              <w:rPr>
                <w:b/>
              </w:rPr>
            </w:pPr>
          </w:p>
          <w:p w14:paraId="6C2158A6" w14:textId="77777777" w:rsidR="00CC2FB3" w:rsidRDefault="00CC2FB3" w:rsidP="00A851DA">
            <w:pPr>
              <w:rPr>
                <w:b/>
              </w:rPr>
            </w:pPr>
          </w:p>
          <w:p w14:paraId="5652DA87" w14:textId="77777777" w:rsidR="00CC2FB3" w:rsidRDefault="00CC2FB3" w:rsidP="00A851DA">
            <w:pPr>
              <w:rPr>
                <w:b/>
              </w:rPr>
            </w:pPr>
          </w:p>
          <w:p w14:paraId="4396618E" w14:textId="77777777" w:rsidR="00CC2FB3" w:rsidRDefault="00CC2FB3" w:rsidP="00A851DA">
            <w:pPr>
              <w:rPr>
                <w:b/>
              </w:rPr>
            </w:pPr>
          </w:p>
          <w:p w14:paraId="7B296FBB" w14:textId="77777777" w:rsidR="00CC2FB3" w:rsidRDefault="00CC2FB3" w:rsidP="00A851DA">
            <w:pPr>
              <w:rPr>
                <w:b/>
              </w:rPr>
            </w:pPr>
          </w:p>
          <w:p w14:paraId="7FB04F64" w14:textId="77777777" w:rsidR="00CC2FB3" w:rsidRDefault="00CC2FB3" w:rsidP="00A851DA">
            <w:pPr>
              <w:rPr>
                <w:b/>
              </w:rPr>
            </w:pPr>
          </w:p>
        </w:tc>
      </w:tr>
    </w:tbl>
    <w:p w14:paraId="79777A83" w14:textId="77777777" w:rsidR="00F63384" w:rsidRPr="00B0415E" w:rsidRDefault="00F63384" w:rsidP="00A851DA">
      <w:pPr>
        <w:autoSpaceDE w:val="0"/>
        <w:autoSpaceDN w:val="0"/>
        <w:adjustRightInd w:val="0"/>
        <w:spacing w:after="0" w:line="240" w:lineRule="auto"/>
        <w:rPr>
          <w:rFonts w:cs="CalvertMT-Bold"/>
          <w:b/>
          <w:bCs/>
          <w:color w:val="002060"/>
          <w:sz w:val="28"/>
          <w:lang w:val="en-US"/>
        </w:rPr>
      </w:pPr>
    </w:p>
    <w:p w14:paraId="77A3E0A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4EF856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3DD5C3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B97671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812519B" w14:textId="77777777" w:rsidTr="00405895">
        <w:tc>
          <w:tcPr>
            <w:tcW w:w="2310" w:type="dxa"/>
            <w:shd w:val="clear" w:color="auto" w:fill="D9D9D9" w:themeFill="background1" w:themeFillShade="D9"/>
          </w:tcPr>
          <w:p w14:paraId="6A5A16F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D311F56" w14:textId="62004E9D" w:rsidR="00405895" w:rsidRPr="00EF409D" w:rsidRDefault="00EF409D" w:rsidP="00A851DA">
            <w:pPr>
              <w:rPr>
                <w:rFonts w:cs="Bliss-Regular"/>
                <w:i/>
                <w:color w:val="000000"/>
              </w:rPr>
            </w:pPr>
            <w:r w:rsidRPr="00EF409D">
              <w:rPr>
                <w:rFonts w:cs="Bliss-Regular"/>
                <w:i/>
                <w:color w:val="000000"/>
              </w:rPr>
              <w:t>P. Gisbey</w:t>
            </w:r>
          </w:p>
        </w:tc>
        <w:tc>
          <w:tcPr>
            <w:tcW w:w="1276" w:type="dxa"/>
            <w:shd w:val="clear" w:color="auto" w:fill="D9D9D9" w:themeFill="background1" w:themeFillShade="D9"/>
          </w:tcPr>
          <w:p w14:paraId="008BF2E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3F20E11" w14:textId="189C02B9" w:rsidR="00405895" w:rsidRPr="00EF409D" w:rsidRDefault="00EF409D" w:rsidP="00A851DA">
            <w:pPr>
              <w:rPr>
                <w:rFonts w:cs="Bliss-Regular"/>
                <w:i/>
                <w:color w:val="000000"/>
              </w:rPr>
            </w:pPr>
            <w:r w:rsidRPr="00EF409D">
              <w:rPr>
                <w:rFonts w:cs="Bliss-Regular"/>
                <w:i/>
                <w:color w:val="000000"/>
              </w:rPr>
              <w:t>Thursday 1</w:t>
            </w:r>
            <w:r w:rsidRPr="00EF409D">
              <w:rPr>
                <w:rFonts w:cs="Bliss-Regular"/>
                <w:i/>
                <w:color w:val="000000"/>
                <w:vertAlign w:val="superscript"/>
              </w:rPr>
              <w:t>st</w:t>
            </w:r>
            <w:r w:rsidRPr="00EF409D">
              <w:rPr>
                <w:rFonts w:cs="Bliss-Regular"/>
                <w:i/>
                <w:color w:val="000000"/>
              </w:rPr>
              <w:t xml:space="preserve"> March 2018</w:t>
            </w:r>
          </w:p>
        </w:tc>
      </w:tr>
    </w:tbl>
    <w:p w14:paraId="73A190E9" w14:textId="77777777" w:rsidR="00A851DA" w:rsidRDefault="00A851DA" w:rsidP="00503D7E">
      <w:pPr>
        <w:rPr>
          <w:rFonts w:cs="Times New Roman"/>
          <w:sz w:val="24"/>
          <w:szCs w:val="32"/>
        </w:rPr>
      </w:pPr>
    </w:p>
    <w:p w14:paraId="18412E7D" w14:textId="77777777" w:rsidR="00607874" w:rsidRDefault="00607874" w:rsidP="00503D7E">
      <w:pPr>
        <w:rPr>
          <w:rFonts w:cs="Times New Roman"/>
          <w:sz w:val="24"/>
          <w:szCs w:val="32"/>
        </w:rPr>
      </w:pPr>
    </w:p>
    <w:p w14:paraId="17A11DFF" w14:textId="77777777" w:rsidR="00607874" w:rsidRDefault="00607874" w:rsidP="00503D7E">
      <w:pPr>
        <w:rPr>
          <w:rFonts w:cs="Times New Roman"/>
          <w:sz w:val="24"/>
          <w:szCs w:val="32"/>
        </w:rPr>
      </w:pPr>
    </w:p>
    <w:p w14:paraId="349EF565" w14:textId="77777777" w:rsidR="00EF409D" w:rsidRPr="00B0415E" w:rsidRDefault="00EF409D" w:rsidP="00EF409D">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EF409D" w:rsidRPr="00B0415E" w14:paraId="7DEDB21F" w14:textId="77777777" w:rsidTr="00724FA9">
        <w:trPr>
          <w:trHeight w:val="249"/>
        </w:trPr>
        <w:tc>
          <w:tcPr>
            <w:tcW w:w="4621" w:type="dxa"/>
            <w:shd w:val="clear" w:color="auto" w:fill="D9D9D9" w:themeFill="background1" w:themeFillShade="D9"/>
          </w:tcPr>
          <w:p w14:paraId="5138E27B" w14:textId="77777777" w:rsidR="00EF409D" w:rsidRPr="00B0415E" w:rsidRDefault="00EF409D" w:rsidP="00724FA9">
            <w:pPr>
              <w:rPr>
                <w:b/>
                <w:color w:val="002060"/>
              </w:rPr>
            </w:pPr>
            <w:r w:rsidRPr="00B0415E">
              <w:rPr>
                <w:b/>
                <w:color w:val="002060"/>
              </w:rPr>
              <w:t>Total Marks</w:t>
            </w:r>
          </w:p>
        </w:tc>
        <w:tc>
          <w:tcPr>
            <w:tcW w:w="4621" w:type="dxa"/>
          </w:tcPr>
          <w:p w14:paraId="0E556AC5" w14:textId="77777777" w:rsidR="00EF409D" w:rsidRPr="00B0415E" w:rsidRDefault="00EF409D" w:rsidP="00724FA9">
            <w:pPr>
              <w:rPr>
                <w:rFonts w:cs="Times New Roman"/>
                <w:szCs w:val="32"/>
              </w:rPr>
            </w:pPr>
          </w:p>
        </w:tc>
      </w:tr>
      <w:tr w:rsidR="00EF409D" w:rsidRPr="00B0415E" w14:paraId="2B8D128F" w14:textId="77777777" w:rsidTr="00724FA9">
        <w:tc>
          <w:tcPr>
            <w:tcW w:w="4621" w:type="dxa"/>
            <w:shd w:val="clear" w:color="auto" w:fill="D9D9D9" w:themeFill="background1" w:themeFillShade="D9"/>
          </w:tcPr>
          <w:p w14:paraId="22D7560F" w14:textId="77777777" w:rsidR="00EF409D" w:rsidRPr="00B0415E" w:rsidRDefault="00EF409D" w:rsidP="00724FA9">
            <w:pPr>
              <w:rPr>
                <w:b/>
                <w:color w:val="002060"/>
              </w:rPr>
            </w:pPr>
            <w:r w:rsidRPr="00B0415E">
              <w:rPr>
                <w:b/>
                <w:color w:val="002060"/>
              </w:rPr>
              <w:t>Marks Obtained</w:t>
            </w:r>
          </w:p>
        </w:tc>
        <w:tc>
          <w:tcPr>
            <w:tcW w:w="4621" w:type="dxa"/>
          </w:tcPr>
          <w:p w14:paraId="3A0D4E99" w14:textId="77777777" w:rsidR="00EF409D" w:rsidRPr="00B0415E" w:rsidRDefault="00EF409D" w:rsidP="00724FA9">
            <w:pPr>
              <w:rPr>
                <w:rFonts w:cs="Times New Roman"/>
                <w:szCs w:val="32"/>
              </w:rPr>
            </w:pPr>
          </w:p>
        </w:tc>
      </w:tr>
      <w:tr w:rsidR="00EF409D" w:rsidRPr="00B0415E" w14:paraId="60B5C14F" w14:textId="77777777" w:rsidTr="00724FA9">
        <w:tc>
          <w:tcPr>
            <w:tcW w:w="4621" w:type="dxa"/>
            <w:shd w:val="clear" w:color="auto" w:fill="D9D9D9" w:themeFill="background1" w:themeFillShade="D9"/>
          </w:tcPr>
          <w:p w14:paraId="5E0DBCA8" w14:textId="77777777" w:rsidR="00EF409D" w:rsidRPr="00B0415E" w:rsidRDefault="00EF409D" w:rsidP="00724FA9">
            <w:pPr>
              <w:rPr>
                <w:b/>
                <w:color w:val="002060"/>
              </w:rPr>
            </w:pPr>
            <w:r w:rsidRPr="00B0415E">
              <w:rPr>
                <w:b/>
                <w:color w:val="002060"/>
              </w:rPr>
              <w:t>Percentage / Grade</w:t>
            </w:r>
          </w:p>
        </w:tc>
        <w:tc>
          <w:tcPr>
            <w:tcW w:w="4621" w:type="dxa"/>
          </w:tcPr>
          <w:p w14:paraId="500B6886" w14:textId="77777777" w:rsidR="00EF409D" w:rsidRPr="00B0415E" w:rsidRDefault="00EF409D" w:rsidP="00724FA9">
            <w:pPr>
              <w:rPr>
                <w:rFonts w:cs="Times New Roman"/>
                <w:szCs w:val="32"/>
              </w:rPr>
            </w:pPr>
          </w:p>
        </w:tc>
      </w:tr>
    </w:tbl>
    <w:p w14:paraId="1B08760A" w14:textId="77777777" w:rsidR="00607874" w:rsidRDefault="00607874" w:rsidP="00503D7E">
      <w:pPr>
        <w:rPr>
          <w:rFonts w:cs="Times New Roman"/>
          <w:sz w:val="24"/>
          <w:szCs w:val="32"/>
        </w:rPr>
      </w:pPr>
    </w:p>
    <w:p w14:paraId="2EA50C2A" w14:textId="77777777" w:rsidR="00607874" w:rsidRDefault="00607874" w:rsidP="00503D7E">
      <w:pPr>
        <w:rPr>
          <w:rFonts w:cs="Times New Roman"/>
          <w:sz w:val="24"/>
          <w:szCs w:val="32"/>
        </w:rPr>
      </w:pPr>
    </w:p>
    <w:p w14:paraId="0CD07962" w14:textId="77777777" w:rsidR="00607874" w:rsidRDefault="00607874" w:rsidP="00503D7E">
      <w:pPr>
        <w:rPr>
          <w:rFonts w:cs="Times New Roman"/>
          <w:sz w:val="24"/>
          <w:szCs w:val="32"/>
        </w:rPr>
      </w:pPr>
    </w:p>
    <w:p w14:paraId="34CD5B13" w14:textId="77777777" w:rsidR="00607874" w:rsidRDefault="00607874" w:rsidP="00503D7E">
      <w:pPr>
        <w:rPr>
          <w:rFonts w:cs="Times New Roman"/>
          <w:sz w:val="24"/>
          <w:szCs w:val="32"/>
        </w:rPr>
      </w:pPr>
    </w:p>
    <w:p w14:paraId="452BC3C4" w14:textId="77777777" w:rsidR="00607874" w:rsidRDefault="00607874" w:rsidP="00503D7E">
      <w:pPr>
        <w:rPr>
          <w:rFonts w:cs="Times New Roman"/>
          <w:sz w:val="24"/>
          <w:szCs w:val="32"/>
        </w:rPr>
      </w:pPr>
    </w:p>
    <w:p w14:paraId="3B020434" w14:textId="77777777" w:rsidR="00EA30AB" w:rsidRDefault="00EA30AB" w:rsidP="00503D7E">
      <w:pPr>
        <w:rPr>
          <w:rFonts w:cs="Times New Roman"/>
          <w:sz w:val="24"/>
          <w:szCs w:val="32"/>
        </w:rPr>
      </w:pPr>
    </w:p>
    <w:p w14:paraId="57681C1A" w14:textId="77777777" w:rsidR="00EA30AB" w:rsidRDefault="00EA30AB" w:rsidP="00503D7E">
      <w:pPr>
        <w:rPr>
          <w:rFonts w:cs="Times New Roman"/>
          <w:sz w:val="24"/>
          <w:szCs w:val="32"/>
        </w:rPr>
      </w:pPr>
    </w:p>
    <w:p w14:paraId="500AE9C9" w14:textId="77777777" w:rsidR="00EA30AB" w:rsidRPr="00B0415E" w:rsidRDefault="00EA30AB" w:rsidP="00503D7E">
      <w:pPr>
        <w:rPr>
          <w:rFonts w:cs="Times New Roman"/>
          <w:sz w:val="24"/>
          <w:szCs w:val="32"/>
        </w:rPr>
      </w:pPr>
    </w:p>
    <w:sectPr w:rsidR="00EA30AB" w:rsidRPr="00B0415E" w:rsidSect="00187EB4">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9AAE44" w14:textId="77777777" w:rsidR="0057096F" w:rsidRDefault="0057096F" w:rsidP="00CB4D0A">
      <w:pPr>
        <w:spacing w:after="0" w:line="240" w:lineRule="auto"/>
      </w:pPr>
      <w:r>
        <w:separator/>
      </w:r>
    </w:p>
  </w:endnote>
  <w:endnote w:type="continuationSeparator" w:id="0">
    <w:p w14:paraId="652A911A" w14:textId="77777777" w:rsidR="0057096F" w:rsidRDefault="0057096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43" w:usb2="00000009" w:usb3="00000000" w:csb0="000001FF" w:csb1="00000000"/>
  </w:font>
  <w:font w:name="Symbol,Bold">
    <w:altName w:val="Symbol"/>
    <w:panose1 w:val="00000000000000000000"/>
    <w:charset w:val="00"/>
    <w:family w:val="auto"/>
    <w:notTrueType/>
    <w:pitch w:val="default"/>
    <w:sig w:usb0="00000003" w:usb1="00000000" w:usb2="00000000" w:usb3="00000000" w:csb0="00000001" w:csb1="00000000"/>
  </w:font>
  <w:font w:name="Wingdings,Bold">
    <w:altName w:val="Wingdings"/>
    <w:panose1 w:val="00000000000000000000"/>
    <w:charset w:val="00"/>
    <w:family w:val="auto"/>
    <w:notTrueType/>
    <w:pitch w:val="default"/>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0287466"/>
      <w:docPartObj>
        <w:docPartGallery w:val="Page Numbers (Bottom of Page)"/>
        <w:docPartUnique/>
      </w:docPartObj>
    </w:sdtPr>
    <w:sdtEndPr>
      <w:rPr>
        <w:noProof/>
      </w:rPr>
    </w:sdtEndPr>
    <w:sdtContent>
      <w:p w14:paraId="42C418CC" w14:textId="3D969F59" w:rsidR="00EF409D" w:rsidRDefault="00EF409D">
        <w:pPr>
          <w:pStyle w:val="Footer"/>
          <w:jc w:val="center"/>
        </w:pPr>
        <w:r>
          <w:fldChar w:fldCharType="begin"/>
        </w:r>
        <w:r>
          <w:instrText xml:space="preserve"> PAGE   \* MERGEFORMAT </w:instrText>
        </w:r>
        <w:r>
          <w:fldChar w:fldCharType="separate"/>
        </w:r>
        <w:r w:rsidR="00795D1F">
          <w:rPr>
            <w:noProof/>
          </w:rPr>
          <w:t>13</w:t>
        </w:r>
        <w:r>
          <w:rPr>
            <w:noProof/>
          </w:rPr>
          <w:fldChar w:fldCharType="end"/>
        </w:r>
      </w:p>
    </w:sdtContent>
  </w:sdt>
  <w:p w14:paraId="08FFC659" w14:textId="77777777" w:rsidR="00EF409D" w:rsidRDefault="00EF40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9DB7F2" w14:textId="77777777" w:rsidR="0057096F" w:rsidRDefault="0057096F" w:rsidP="00CB4D0A">
      <w:pPr>
        <w:spacing w:after="0" w:line="240" w:lineRule="auto"/>
      </w:pPr>
      <w:r>
        <w:separator/>
      </w:r>
    </w:p>
  </w:footnote>
  <w:footnote w:type="continuationSeparator" w:id="0">
    <w:p w14:paraId="1EC12985" w14:textId="77777777" w:rsidR="0057096F" w:rsidRDefault="0057096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7A1106"/>
    <w:multiLevelType w:val="hybridMultilevel"/>
    <w:tmpl w:val="5B94C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254C"/>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2DAC"/>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096F"/>
    <w:rsid w:val="00574D64"/>
    <w:rsid w:val="00591365"/>
    <w:rsid w:val="005B31E4"/>
    <w:rsid w:val="005E2D1C"/>
    <w:rsid w:val="006034F6"/>
    <w:rsid w:val="00607874"/>
    <w:rsid w:val="00607E77"/>
    <w:rsid w:val="00617BB3"/>
    <w:rsid w:val="00645CDD"/>
    <w:rsid w:val="006823A7"/>
    <w:rsid w:val="00687EE8"/>
    <w:rsid w:val="0070347F"/>
    <w:rsid w:val="0070678E"/>
    <w:rsid w:val="00795D1F"/>
    <w:rsid w:val="007F53DB"/>
    <w:rsid w:val="00831C11"/>
    <w:rsid w:val="008A60B4"/>
    <w:rsid w:val="008B3C31"/>
    <w:rsid w:val="008B64FE"/>
    <w:rsid w:val="00935BF7"/>
    <w:rsid w:val="0095442C"/>
    <w:rsid w:val="00983942"/>
    <w:rsid w:val="009C37E0"/>
    <w:rsid w:val="009E41F4"/>
    <w:rsid w:val="00A13DFF"/>
    <w:rsid w:val="00A14B66"/>
    <w:rsid w:val="00A65CF7"/>
    <w:rsid w:val="00A81AB4"/>
    <w:rsid w:val="00A851DA"/>
    <w:rsid w:val="00AC7D5B"/>
    <w:rsid w:val="00AE1481"/>
    <w:rsid w:val="00B0415E"/>
    <w:rsid w:val="00B04678"/>
    <w:rsid w:val="00B56CB3"/>
    <w:rsid w:val="00B73550"/>
    <w:rsid w:val="00BC46DF"/>
    <w:rsid w:val="00C03577"/>
    <w:rsid w:val="00C47ED9"/>
    <w:rsid w:val="00C53029"/>
    <w:rsid w:val="00C65FEA"/>
    <w:rsid w:val="00C8132D"/>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24B9"/>
    <w:rsid w:val="00E4597D"/>
    <w:rsid w:val="00E54832"/>
    <w:rsid w:val="00E56A90"/>
    <w:rsid w:val="00E641CC"/>
    <w:rsid w:val="00EA30AB"/>
    <w:rsid w:val="00EB3925"/>
    <w:rsid w:val="00EF06D2"/>
    <w:rsid w:val="00EF409D"/>
    <w:rsid w:val="00F63384"/>
    <w:rsid w:val="00F96EB3"/>
    <w:rsid w:val="00FB7EC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6B73D3"/>
  <w15:docId w15:val="{CF5A7036-372E-4668-9939-64746076B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3D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repository.localprevention.ie/wp-content/uploads/2015/05/Sample-Environemnt-Improvement-Plan.pdf" TargetMode="External"/><Relationship Id="rId4" Type="http://schemas.openxmlformats.org/officeDocument/2006/relationships/settings" Target="settings.xml"/><Relationship Id="rId9" Type="http://schemas.openxmlformats.org/officeDocument/2006/relationships/hyperlink" Target="https://www.gov.uk/government/uploads/system/uploads/attachment_data/file/69195/pb13390-economic-growth-10030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4525B-7587-4109-919B-7D6DDF614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4512</Words>
  <Characters>27165</Characters>
  <Application>Microsoft Office Word</Application>
  <DocSecurity>0</DocSecurity>
  <Lines>617</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PJ Clare</cp:lastModifiedBy>
  <cp:revision>3</cp:revision>
  <dcterms:created xsi:type="dcterms:W3CDTF">2018-03-01T19:24:00Z</dcterms:created>
  <dcterms:modified xsi:type="dcterms:W3CDTF">2018-03-01T19:29:00Z</dcterms:modified>
</cp:coreProperties>
</file>