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4C6" w:rsidRPr="00B0415E" w:rsidRDefault="004234C6" w:rsidP="004234C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A091868" wp14:editId="09FA2E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234C6" w:rsidRDefault="004234C6" w:rsidP="004234C6">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34C6" w:rsidRDefault="004234C6" w:rsidP="004234C6">
                            <w:pPr>
                              <w:jc w:val="center"/>
                              <w:rPr>
                                <w:b/>
                                <w:bCs/>
                                <w:color w:val="002060"/>
                                <w:sz w:val="44"/>
                                <w:szCs w:val="40"/>
                              </w:rPr>
                            </w:pPr>
                            <w:r>
                              <w:rPr>
                                <w:sz w:val="24"/>
                              </w:rPr>
                              <w:t xml:space="preserve">   </w:t>
                            </w:r>
                            <w:r>
                              <w:rPr>
                                <w:b/>
                                <w:bCs/>
                                <w:color w:val="002060"/>
                                <w:sz w:val="44"/>
                                <w:szCs w:val="40"/>
                              </w:rPr>
                              <w:t>Assignment Cover Sheet</w:t>
                            </w:r>
                          </w:p>
                          <w:p w:rsidR="004234C6" w:rsidRDefault="004234C6" w:rsidP="004234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234C6" w:rsidRDefault="004234C6" w:rsidP="004234C6">
                      <w:pPr>
                        <w:jc w:val="center"/>
                        <w:rPr>
                          <w:b/>
                          <w:bCs/>
                          <w:color w:val="002060"/>
                          <w:sz w:val="44"/>
                          <w:szCs w:val="40"/>
                        </w:rPr>
                      </w:pPr>
                      <w:r>
                        <w:rPr>
                          <w:sz w:val="24"/>
                        </w:rPr>
                        <w:t xml:space="preserve">   </w:t>
                      </w:r>
                      <w:r>
                        <w:rPr>
                          <w:b/>
                          <w:bCs/>
                          <w:color w:val="002060"/>
                          <w:sz w:val="44"/>
                          <w:szCs w:val="40"/>
                        </w:rPr>
                        <w:t>Assignment Cover Sheet</w:t>
                      </w:r>
                    </w:p>
                    <w:p w:rsidR="004234C6" w:rsidRDefault="004234C6" w:rsidP="004234C6"/>
                  </w:txbxContent>
                </v:textbox>
              </v:shape>
            </w:pict>
          </mc:Fallback>
        </mc:AlternateContent>
      </w:r>
    </w:p>
    <w:p w:rsidR="004234C6" w:rsidRDefault="004234C6" w:rsidP="004234C6">
      <w:pPr>
        <w:rPr>
          <w:lang w:val="en-US"/>
        </w:rPr>
      </w:pPr>
    </w:p>
    <w:p w:rsidR="004234C6" w:rsidRDefault="004234C6" w:rsidP="004234C6">
      <w:pPr>
        <w:rPr>
          <w:lang w:val="en-US"/>
        </w:rPr>
      </w:pPr>
    </w:p>
    <w:p w:rsidR="004234C6" w:rsidRDefault="004234C6" w:rsidP="004234C6">
      <w:pPr>
        <w:rPr>
          <w:lang w:val="en-US"/>
        </w:rPr>
      </w:pPr>
    </w:p>
    <w:tbl>
      <w:tblPr>
        <w:tblStyle w:val="TableGrid"/>
        <w:tblW w:w="0" w:type="auto"/>
        <w:tblLook w:val="04A0" w:firstRow="1" w:lastRow="0" w:firstColumn="1" w:lastColumn="0" w:noHBand="0" w:noVBand="1"/>
      </w:tblPr>
      <w:tblGrid>
        <w:gridCol w:w="2522"/>
        <w:gridCol w:w="6494"/>
      </w:tblGrid>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4234C6" w:rsidP="008C02F6">
            <w:pPr>
              <w:pStyle w:val="Default"/>
              <w:rPr>
                <w:rFonts w:asciiTheme="minorHAnsi" w:hAnsiTheme="minorHAnsi"/>
              </w:rPr>
            </w:pPr>
            <w:r>
              <w:rPr>
                <w:rFonts w:asciiTheme="minorHAnsi" w:hAnsiTheme="minorHAnsi"/>
              </w:rPr>
              <w:t>David Phillips</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234C6" w:rsidRPr="00B0415E" w:rsidRDefault="004234C6" w:rsidP="008C02F6">
            <w:pPr>
              <w:pStyle w:val="Default"/>
              <w:rPr>
                <w:rFonts w:asciiTheme="minorHAnsi" w:hAnsiTheme="minorHAnsi"/>
              </w:rPr>
            </w:pPr>
            <w:r>
              <w:rPr>
                <w:rFonts w:asciiTheme="minorHAnsi" w:hAnsiTheme="minorHAnsi"/>
              </w:rPr>
              <w:t>16901</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4234C6" w:rsidP="008C02F6">
            <w:pPr>
              <w:pStyle w:val="Default"/>
              <w:rPr>
                <w:rFonts w:asciiTheme="minorHAnsi" w:hAnsiTheme="minorHAnsi"/>
              </w:rPr>
            </w:pPr>
            <w:r>
              <w:rPr>
                <w:rFonts w:asciiTheme="minorHAnsi" w:hAnsiTheme="minorHAnsi"/>
              </w:rPr>
              <w:t>Diploma in Forensic Accounting</w:t>
            </w:r>
          </w:p>
        </w:tc>
      </w:tr>
      <w:tr w:rsidR="004234C6" w:rsidRPr="00B0415E" w:rsidTr="008C02F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234C6" w:rsidRPr="00B0415E" w:rsidRDefault="004234C6" w:rsidP="008C02F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234C6" w:rsidRPr="00B0415E" w:rsidRDefault="002F0440" w:rsidP="008C02F6">
            <w:r>
              <w:t>7</w:t>
            </w:r>
          </w:p>
        </w:tc>
      </w:tr>
    </w:tbl>
    <w:p w:rsidR="004234C6" w:rsidRDefault="004234C6" w:rsidP="004234C6">
      <w:pPr>
        <w:rPr>
          <w:b/>
          <w:lang w:val="en-US"/>
        </w:rPr>
      </w:pPr>
    </w:p>
    <w:p w:rsidR="004234C6" w:rsidRDefault="004234C6" w:rsidP="004234C6">
      <w:pPr>
        <w:rPr>
          <w:b/>
          <w:sz w:val="28"/>
          <w:lang w:val="en-US"/>
        </w:rPr>
      </w:pPr>
      <w:r w:rsidRPr="00443E6F">
        <w:rPr>
          <w:b/>
          <w:sz w:val="28"/>
          <w:lang w:val="en-US"/>
        </w:rPr>
        <w:t>Marking Criteria:</w:t>
      </w:r>
    </w:p>
    <w:p w:rsidR="004234C6" w:rsidRDefault="004234C6" w:rsidP="004234C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234C6" w:rsidRPr="00443E6F" w:rsidRDefault="004234C6" w:rsidP="004234C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4234C6" w:rsidTr="008C02F6">
        <w:tc>
          <w:tcPr>
            <w:tcW w:w="9242" w:type="dxa"/>
          </w:tcPr>
          <w:p w:rsidR="004234C6" w:rsidRPr="00CC2FB3" w:rsidRDefault="004234C6" w:rsidP="008C02F6">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4234C6" w:rsidRDefault="004234C6" w:rsidP="008C02F6">
            <w:pPr>
              <w:rPr>
                <w:b/>
              </w:rPr>
            </w:pPr>
            <w:r>
              <w:rPr>
                <w:b/>
              </w:rPr>
              <w:t>See below:</w:t>
            </w: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p w:rsidR="004234C6" w:rsidRDefault="004234C6" w:rsidP="008C02F6">
            <w:pPr>
              <w:rPr>
                <w:b/>
              </w:rPr>
            </w:pPr>
          </w:p>
        </w:tc>
      </w:tr>
    </w:tbl>
    <w:p w:rsidR="004234C6" w:rsidRPr="00B0415E" w:rsidRDefault="004234C6" w:rsidP="004234C6">
      <w:pPr>
        <w:autoSpaceDE w:val="0"/>
        <w:autoSpaceDN w:val="0"/>
        <w:adjustRightInd w:val="0"/>
        <w:spacing w:after="0" w:line="240" w:lineRule="auto"/>
        <w:rPr>
          <w:rFonts w:cs="CalvertMT-Bold"/>
          <w:b/>
          <w:bCs/>
          <w:color w:val="002060"/>
          <w:sz w:val="28"/>
          <w:lang w:val="en-US"/>
        </w:rPr>
      </w:pPr>
    </w:p>
    <w:p w:rsidR="004234C6" w:rsidRPr="00B0415E" w:rsidRDefault="004234C6" w:rsidP="004234C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234C6" w:rsidRPr="00B0415E" w:rsidRDefault="004234C6" w:rsidP="004234C6">
      <w:pPr>
        <w:autoSpaceDE w:val="0"/>
        <w:autoSpaceDN w:val="0"/>
        <w:adjustRightInd w:val="0"/>
        <w:spacing w:after="0" w:line="240" w:lineRule="auto"/>
        <w:rPr>
          <w:rFonts w:cs="CalvertMT-Bold"/>
          <w:b/>
          <w:bCs/>
          <w:color w:val="001AE6"/>
          <w:lang w:val="en-US"/>
        </w:rPr>
      </w:pPr>
    </w:p>
    <w:p w:rsidR="004234C6" w:rsidRPr="00B0415E" w:rsidRDefault="004234C6" w:rsidP="004234C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234C6" w:rsidRPr="00B0415E" w:rsidRDefault="004234C6" w:rsidP="004234C6">
      <w:pPr>
        <w:autoSpaceDE w:val="0"/>
        <w:autoSpaceDN w:val="0"/>
        <w:adjustRightInd w:val="0"/>
        <w:spacing w:after="0" w:line="240" w:lineRule="auto"/>
        <w:rPr>
          <w:rFonts w:cs="Bliss-Regular"/>
          <w:color w:val="000000"/>
          <w:lang w:val="en-US"/>
        </w:rPr>
      </w:pPr>
    </w:p>
    <w:p w:rsidR="004234C6" w:rsidRPr="00B0415E" w:rsidRDefault="004234C6" w:rsidP="004234C6">
      <w:pPr>
        <w:autoSpaceDE w:val="0"/>
        <w:autoSpaceDN w:val="0"/>
        <w:adjustRightInd w:val="0"/>
        <w:spacing w:after="0" w:line="240" w:lineRule="auto"/>
        <w:rPr>
          <w:rFonts w:cs="Bliss-Regular"/>
          <w:color w:val="000000"/>
          <w:lang w:val="en-US"/>
        </w:rPr>
      </w:pPr>
    </w:p>
    <w:p w:rsidR="004234C6" w:rsidRPr="00B0415E" w:rsidRDefault="004234C6" w:rsidP="004234C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234C6" w:rsidRPr="00B0415E" w:rsidTr="008C02F6">
        <w:tc>
          <w:tcPr>
            <w:tcW w:w="2310" w:type="dxa"/>
            <w:shd w:val="clear" w:color="auto" w:fill="D9D9D9" w:themeFill="background1" w:themeFillShade="D9"/>
          </w:tcPr>
          <w:p w:rsidR="004234C6" w:rsidRPr="00B0415E" w:rsidRDefault="004234C6" w:rsidP="008C02F6">
            <w:pPr>
              <w:rPr>
                <w:rFonts w:cs="Bliss-Regular"/>
                <w:color w:val="000000"/>
              </w:rPr>
            </w:pPr>
            <w:r w:rsidRPr="00B0415E">
              <w:rPr>
                <w:rFonts w:cs="Bliss-Regular"/>
                <w:color w:val="000000"/>
              </w:rPr>
              <w:t>Student Signature</w:t>
            </w:r>
          </w:p>
        </w:tc>
        <w:tc>
          <w:tcPr>
            <w:tcW w:w="4035" w:type="dxa"/>
          </w:tcPr>
          <w:p w:rsidR="004234C6" w:rsidRPr="00B0415E" w:rsidRDefault="004234C6" w:rsidP="008C02F6">
            <w:pPr>
              <w:rPr>
                <w:rFonts w:cs="Bliss-Regular"/>
                <w:color w:val="000000"/>
              </w:rPr>
            </w:pPr>
            <w:r>
              <w:rPr>
                <w:rFonts w:cs="Bliss-Regular"/>
                <w:color w:val="000000"/>
              </w:rPr>
              <w:t>David Phillips</w:t>
            </w:r>
          </w:p>
        </w:tc>
        <w:tc>
          <w:tcPr>
            <w:tcW w:w="1276" w:type="dxa"/>
            <w:shd w:val="clear" w:color="auto" w:fill="D9D9D9" w:themeFill="background1" w:themeFillShade="D9"/>
          </w:tcPr>
          <w:p w:rsidR="004234C6" w:rsidRPr="00B0415E" w:rsidRDefault="004234C6" w:rsidP="008C02F6">
            <w:pPr>
              <w:rPr>
                <w:rFonts w:cs="Bliss-Regular"/>
                <w:color w:val="000000"/>
              </w:rPr>
            </w:pPr>
            <w:r w:rsidRPr="00B0415E">
              <w:rPr>
                <w:rFonts w:cs="Bliss-Regular"/>
                <w:color w:val="000000"/>
              </w:rPr>
              <w:t>Date</w:t>
            </w:r>
          </w:p>
        </w:tc>
        <w:tc>
          <w:tcPr>
            <w:tcW w:w="1621" w:type="dxa"/>
          </w:tcPr>
          <w:p w:rsidR="004234C6" w:rsidRPr="00B0415E" w:rsidRDefault="004E7599" w:rsidP="008C02F6">
            <w:pPr>
              <w:rPr>
                <w:rFonts w:cs="Bliss-Regular"/>
                <w:color w:val="000000"/>
              </w:rPr>
            </w:pPr>
            <w:r>
              <w:rPr>
                <w:rFonts w:cs="Bliss-Regular"/>
                <w:color w:val="000000"/>
              </w:rPr>
              <w:t>20/05/</w:t>
            </w:r>
            <w:bookmarkStart w:id="0" w:name="_GoBack"/>
            <w:bookmarkEnd w:id="0"/>
            <w:r w:rsidR="00B70D98">
              <w:rPr>
                <w:rFonts w:cs="Bliss-Regular"/>
                <w:color w:val="000000"/>
              </w:rPr>
              <w:t>2018</w:t>
            </w:r>
          </w:p>
        </w:tc>
      </w:tr>
    </w:tbl>
    <w:p w:rsidR="004234C6" w:rsidRPr="00B0415E" w:rsidRDefault="004234C6" w:rsidP="004234C6">
      <w:pPr>
        <w:rPr>
          <w:rFonts w:cs="Bliss-Regular"/>
          <w:color w:val="000000"/>
          <w:lang w:val="en-US"/>
        </w:rPr>
      </w:pPr>
    </w:p>
    <w:p w:rsidR="004234C6" w:rsidRPr="00B0415E" w:rsidRDefault="004234C6" w:rsidP="004234C6">
      <w:pPr>
        <w:rPr>
          <w:rFonts w:cs="Bliss-Regular"/>
          <w:color w:val="000000"/>
          <w:lang w:val="en-US"/>
        </w:rPr>
      </w:pPr>
    </w:p>
    <w:p w:rsidR="004234C6" w:rsidRPr="00B0415E" w:rsidRDefault="004234C6" w:rsidP="004234C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234C6" w:rsidRPr="00B0415E" w:rsidTr="008C02F6">
        <w:trPr>
          <w:trHeight w:val="249"/>
        </w:trPr>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Total Marks</w:t>
            </w:r>
          </w:p>
        </w:tc>
        <w:tc>
          <w:tcPr>
            <w:tcW w:w="4621" w:type="dxa"/>
          </w:tcPr>
          <w:p w:rsidR="004234C6" w:rsidRPr="00B0415E" w:rsidRDefault="004234C6" w:rsidP="008C02F6">
            <w:pPr>
              <w:rPr>
                <w:rFonts w:cs="Times New Roman"/>
                <w:szCs w:val="32"/>
              </w:rPr>
            </w:pPr>
          </w:p>
        </w:tc>
      </w:tr>
      <w:tr w:rsidR="004234C6" w:rsidRPr="00B0415E" w:rsidTr="008C02F6">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Marks Obtained</w:t>
            </w:r>
          </w:p>
        </w:tc>
        <w:tc>
          <w:tcPr>
            <w:tcW w:w="4621" w:type="dxa"/>
          </w:tcPr>
          <w:p w:rsidR="004234C6" w:rsidRPr="00B0415E" w:rsidRDefault="004234C6" w:rsidP="008C02F6">
            <w:pPr>
              <w:rPr>
                <w:rFonts w:cs="Times New Roman"/>
                <w:szCs w:val="32"/>
              </w:rPr>
            </w:pPr>
          </w:p>
        </w:tc>
      </w:tr>
      <w:tr w:rsidR="004234C6" w:rsidRPr="00B0415E" w:rsidTr="008C02F6">
        <w:tc>
          <w:tcPr>
            <w:tcW w:w="4621" w:type="dxa"/>
            <w:shd w:val="clear" w:color="auto" w:fill="D9D9D9" w:themeFill="background1" w:themeFillShade="D9"/>
          </w:tcPr>
          <w:p w:rsidR="004234C6" w:rsidRPr="00B0415E" w:rsidRDefault="004234C6" w:rsidP="008C02F6">
            <w:pPr>
              <w:rPr>
                <w:b/>
                <w:color w:val="002060"/>
              </w:rPr>
            </w:pPr>
            <w:r w:rsidRPr="00B0415E">
              <w:rPr>
                <w:b/>
                <w:color w:val="002060"/>
              </w:rPr>
              <w:t>Percentage / Grade</w:t>
            </w:r>
          </w:p>
        </w:tc>
        <w:tc>
          <w:tcPr>
            <w:tcW w:w="4621" w:type="dxa"/>
          </w:tcPr>
          <w:p w:rsidR="004234C6" w:rsidRPr="00B0415E" w:rsidRDefault="004234C6" w:rsidP="008C02F6">
            <w:pPr>
              <w:rPr>
                <w:rFonts w:cs="Times New Roman"/>
                <w:szCs w:val="32"/>
              </w:rPr>
            </w:pPr>
          </w:p>
        </w:tc>
      </w:tr>
    </w:tbl>
    <w:p w:rsidR="004234C6" w:rsidRDefault="004234C6" w:rsidP="004234C6">
      <w:pPr>
        <w:rPr>
          <w:rFonts w:cs="Times New Roman"/>
          <w:sz w:val="24"/>
          <w:szCs w:val="32"/>
        </w:rPr>
      </w:pPr>
    </w:p>
    <w:p w:rsidR="004234C6" w:rsidRDefault="004234C6" w:rsidP="004234C6">
      <w:pPr>
        <w:rPr>
          <w:rFonts w:cs="Times New Roman"/>
          <w:sz w:val="24"/>
          <w:szCs w:val="32"/>
        </w:rPr>
      </w:pPr>
    </w:p>
    <w:p w:rsidR="004234C6" w:rsidRDefault="004234C6" w:rsidP="004234C6">
      <w:pPr>
        <w:rPr>
          <w:rFonts w:cs="Times New Roman"/>
          <w:sz w:val="24"/>
          <w:szCs w:val="32"/>
        </w:rPr>
      </w:pPr>
    </w:p>
    <w:p w:rsidR="004234C6" w:rsidRDefault="004234C6" w:rsidP="004234C6">
      <w:pPr>
        <w:rPr>
          <w:rFonts w:cs="Times New Roman"/>
          <w:sz w:val="24"/>
          <w:szCs w:val="32"/>
        </w:rPr>
      </w:pPr>
    </w:p>
    <w:p w:rsidR="004234C6" w:rsidRDefault="004234C6" w:rsidP="004234C6">
      <w:pPr>
        <w:rPr>
          <w:rFonts w:cs="Times New Roman"/>
          <w:sz w:val="24"/>
          <w:szCs w:val="32"/>
        </w:rPr>
      </w:pPr>
    </w:p>
    <w:p w:rsidR="004234C6" w:rsidRDefault="004234C6" w:rsidP="004234C6">
      <w:pPr>
        <w:rPr>
          <w:rFonts w:cs="Times New Roman"/>
          <w:sz w:val="24"/>
          <w:szCs w:val="32"/>
        </w:rPr>
      </w:pPr>
    </w:p>
    <w:p w:rsidR="00C26D10" w:rsidRDefault="004234C6" w:rsidP="00714417">
      <w:pPr>
        <w:jc w:val="both"/>
        <w:rPr>
          <w:rFonts w:ascii="Arial" w:hAnsi="Arial" w:cs="Arial"/>
        </w:rPr>
      </w:pPr>
      <w:r>
        <w:rPr>
          <w:rFonts w:cs="Times New Roman"/>
          <w:sz w:val="24"/>
          <w:szCs w:val="32"/>
        </w:rPr>
        <w:br w:type="page"/>
      </w:r>
    </w:p>
    <w:p w:rsidR="002F0440" w:rsidRPr="00405C5A" w:rsidRDefault="002F0440" w:rsidP="002F0440">
      <w:pPr>
        <w:ind w:left="360"/>
        <w:jc w:val="both"/>
        <w:rPr>
          <w:rFonts w:ascii="Arial" w:hAnsi="Arial" w:cs="Arial"/>
          <w:b/>
        </w:rPr>
      </w:pPr>
      <w:r w:rsidRPr="00405C5A">
        <w:rPr>
          <w:rFonts w:ascii="Arial" w:hAnsi="Arial" w:cs="Arial"/>
          <w:b/>
        </w:rPr>
        <w:lastRenderedPageBreak/>
        <w:t>1. Give short answers for the following questions: (20)</w:t>
      </w:r>
    </w:p>
    <w:p w:rsidR="002F0440" w:rsidRPr="00405C5A" w:rsidRDefault="002F0440" w:rsidP="002F0440">
      <w:pPr>
        <w:ind w:left="360" w:firstLine="360"/>
        <w:jc w:val="both"/>
        <w:rPr>
          <w:rFonts w:ascii="Arial" w:hAnsi="Arial" w:cs="Arial"/>
          <w:b/>
        </w:rPr>
      </w:pPr>
      <w:r w:rsidRPr="00405C5A">
        <w:rPr>
          <w:rFonts w:ascii="Arial" w:hAnsi="Arial" w:cs="Arial"/>
          <w:b/>
        </w:rPr>
        <w:t>i. What are non - financial sources for evidence?</w:t>
      </w:r>
    </w:p>
    <w:p w:rsidR="002F0440" w:rsidRPr="002F0440" w:rsidRDefault="00E24FDA" w:rsidP="009B048F">
      <w:pPr>
        <w:jc w:val="both"/>
        <w:rPr>
          <w:rFonts w:ascii="Arial" w:hAnsi="Arial" w:cs="Arial"/>
        </w:rPr>
      </w:pPr>
      <w:r>
        <w:rPr>
          <w:rFonts w:ascii="Arial" w:hAnsi="Arial" w:cs="Arial"/>
        </w:rPr>
        <w:t>Non-financial</w:t>
      </w:r>
      <w:r w:rsidR="002F0440">
        <w:rPr>
          <w:rFonts w:ascii="Arial" w:hAnsi="Arial" w:cs="Arial"/>
        </w:rPr>
        <w:t xml:space="preserve"> sources of evidence is evidence which is not derived from the financial accounts and supporting financial documents (although some evidence which is non-financial may come from financial evidence – for example a forged signature on a cheque). </w:t>
      </w:r>
      <w:r>
        <w:rPr>
          <w:rFonts w:ascii="Arial" w:hAnsi="Arial" w:cs="Arial"/>
        </w:rPr>
        <w:t>Typical examples include interviews, handwriting analysis, CCTV footage, document examination (this could include forensic evidence such as finger print examination or DNA testing), assessing communications of a suspect to establish location, motive, co-conspirators etc</w:t>
      </w:r>
      <w:r w:rsidR="009B048F">
        <w:rPr>
          <w:rFonts w:ascii="Arial" w:hAnsi="Arial" w:cs="Arial"/>
        </w:rPr>
        <w:t>.</w:t>
      </w:r>
      <w:r>
        <w:rPr>
          <w:rFonts w:ascii="Arial" w:hAnsi="Arial" w:cs="Arial"/>
        </w:rPr>
        <w:t>, assessing the physiological traits of a suspect and their physiological reaction to questioning.</w:t>
      </w:r>
    </w:p>
    <w:p w:rsidR="002F0440" w:rsidRDefault="002F0440" w:rsidP="002F0440">
      <w:pPr>
        <w:ind w:left="360"/>
        <w:jc w:val="both"/>
        <w:rPr>
          <w:rFonts w:ascii="Arial" w:hAnsi="Arial" w:cs="Arial"/>
        </w:rPr>
      </w:pPr>
    </w:p>
    <w:p w:rsidR="002F0440" w:rsidRPr="00405C5A" w:rsidRDefault="002F0440" w:rsidP="002F0440">
      <w:pPr>
        <w:ind w:left="360" w:firstLine="360"/>
        <w:jc w:val="both"/>
        <w:rPr>
          <w:rFonts w:ascii="Arial" w:hAnsi="Arial" w:cs="Arial"/>
          <w:b/>
        </w:rPr>
      </w:pPr>
      <w:r w:rsidRPr="00405C5A">
        <w:rPr>
          <w:rFonts w:ascii="Arial" w:hAnsi="Arial" w:cs="Arial"/>
          <w:b/>
        </w:rPr>
        <w:t>ii. What is the importance of body language in the interviewing procedure?</w:t>
      </w:r>
    </w:p>
    <w:p w:rsidR="008B5F21" w:rsidRDefault="008B5F21" w:rsidP="008B5F21">
      <w:pPr>
        <w:jc w:val="both"/>
        <w:rPr>
          <w:rFonts w:ascii="Arial" w:hAnsi="Arial" w:cs="Arial"/>
        </w:rPr>
      </w:pPr>
      <w:r>
        <w:rPr>
          <w:rFonts w:ascii="Arial" w:hAnsi="Arial" w:cs="Arial"/>
        </w:rPr>
        <w:t xml:space="preserve">Although evidence relating to body language is not admissible evidence it can give the investigator useful insight into an interviewee’s state of mind, and they will often give visual clues and to what they are subconsciously thinking, particularly when they are under stress or anxious. </w:t>
      </w:r>
    </w:p>
    <w:p w:rsidR="008B5F21" w:rsidRPr="008B5F21" w:rsidRDefault="008B5F21" w:rsidP="008B5F21">
      <w:pPr>
        <w:jc w:val="both"/>
        <w:rPr>
          <w:rFonts w:ascii="Arial" w:hAnsi="Arial" w:cs="Arial"/>
        </w:rPr>
      </w:pPr>
      <w:r>
        <w:rPr>
          <w:rFonts w:ascii="Arial" w:hAnsi="Arial" w:cs="Arial"/>
        </w:rPr>
        <w:t xml:space="preserve">Although anxiety may no itself indicate guilt is can be useful to detect when a person is anxious as it could indicate that the interviewee is under stress and may be </w:t>
      </w:r>
      <w:r w:rsidR="00380260">
        <w:rPr>
          <w:rFonts w:ascii="Arial" w:hAnsi="Arial" w:cs="Arial"/>
        </w:rPr>
        <w:t>concealing</w:t>
      </w:r>
      <w:r>
        <w:rPr>
          <w:rFonts w:ascii="Arial" w:hAnsi="Arial" w:cs="Arial"/>
        </w:rPr>
        <w:t xml:space="preserve"> something. Typical p</w:t>
      </w:r>
      <w:r w:rsidRPr="008B5F21">
        <w:rPr>
          <w:rFonts w:ascii="Arial" w:hAnsi="Arial" w:cs="Arial"/>
        </w:rPr>
        <w:t>hysical signs of anxiety, also known as adaptors, are used</w:t>
      </w:r>
      <w:r>
        <w:rPr>
          <w:rFonts w:ascii="Arial" w:hAnsi="Arial" w:cs="Arial"/>
        </w:rPr>
        <w:t xml:space="preserve"> by individuals</w:t>
      </w:r>
      <w:r w:rsidRPr="008B5F21">
        <w:rPr>
          <w:rFonts w:ascii="Arial" w:hAnsi="Arial" w:cs="Arial"/>
        </w:rPr>
        <w:t xml:space="preserve"> to relieve stress. </w:t>
      </w:r>
      <w:r>
        <w:rPr>
          <w:rFonts w:ascii="Arial" w:hAnsi="Arial" w:cs="Arial"/>
        </w:rPr>
        <w:t>The three main types are</w:t>
      </w:r>
      <w:r w:rsidRPr="008B5F21">
        <w:rPr>
          <w:rFonts w:ascii="Arial" w:hAnsi="Arial" w:cs="Arial"/>
        </w:rPr>
        <w:t>:</w:t>
      </w:r>
    </w:p>
    <w:p w:rsidR="008B5F21" w:rsidRPr="008B5F21" w:rsidRDefault="008B5F21" w:rsidP="008B5F21">
      <w:pPr>
        <w:numPr>
          <w:ilvl w:val="0"/>
          <w:numId w:val="21"/>
        </w:numPr>
        <w:jc w:val="both"/>
        <w:rPr>
          <w:rFonts w:ascii="Arial" w:hAnsi="Arial" w:cs="Arial"/>
        </w:rPr>
      </w:pPr>
      <w:r w:rsidRPr="008B5F21">
        <w:rPr>
          <w:rFonts w:ascii="Arial" w:hAnsi="Arial" w:cs="Arial"/>
          <w:b/>
          <w:bCs/>
        </w:rPr>
        <w:t>Internal adaptors</w:t>
      </w:r>
      <w:r w:rsidRPr="008B5F21">
        <w:rPr>
          <w:rFonts w:ascii="Arial" w:hAnsi="Arial" w:cs="Arial"/>
        </w:rPr>
        <w:t> – crossing and uncrossing of the legs and/or arms.</w:t>
      </w:r>
    </w:p>
    <w:p w:rsidR="008B5F21" w:rsidRPr="008B5F21" w:rsidRDefault="008B5F21" w:rsidP="008B5F21">
      <w:pPr>
        <w:numPr>
          <w:ilvl w:val="0"/>
          <w:numId w:val="21"/>
        </w:numPr>
        <w:jc w:val="both"/>
        <w:rPr>
          <w:rFonts w:ascii="Arial" w:hAnsi="Arial" w:cs="Arial"/>
        </w:rPr>
      </w:pPr>
      <w:r w:rsidRPr="008B5F21">
        <w:rPr>
          <w:rFonts w:ascii="Arial" w:hAnsi="Arial" w:cs="Arial"/>
          <w:b/>
          <w:bCs/>
        </w:rPr>
        <w:t>Self-adaptors</w:t>
      </w:r>
      <w:r w:rsidRPr="008B5F21">
        <w:rPr>
          <w:rFonts w:ascii="Arial" w:hAnsi="Arial" w:cs="Arial"/>
        </w:rPr>
        <w:t> – touching the body and/or face.</w:t>
      </w:r>
    </w:p>
    <w:p w:rsidR="008B5F21" w:rsidRDefault="008B5F21" w:rsidP="008B5F21">
      <w:pPr>
        <w:numPr>
          <w:ilvl w:val="0"/>
          <w:numId w:val="21"/>
        </w:numPr>
        <w:jc w:val="both"/>
        <w:rPr>
          <w:rFonts w:ascii="Arial" w:hAnsi="Arial" w:cs="Arial"/>
        </w:rPr>
      </w:pPr>
      <w:r w:rsidRPr="008B5F21">
        <w:rPr>
          <w:rFonts w:ascii="Arial" w:hAnsi="Arial" w:cs="Arial"/>
          <w:b/>
          <w:bCs/>
        </w:rPr>
        <w:t>Object adaptors</w:t>
      </w:r>
      <w:r w:rsidRPr="008B5F21">
        <w:rPr>
          <w:rFonts w:ascii="Arial" w:hAnsi="Arial" w:cs="Arial"/>
        </w:rPr>
        <w:t> – picking up an object to dissipate anxiety, then putting it down when the topic switches to something more comfortable.</w:t>
      </w:r>
      <w:r>
        <w:rPr>
          <w:rStyle w:val="FootnoteReference"/>
          <w:rFonts w:ascii="Arial" w:hAnsi="Arial" w:cs="Arial"/>
        </w:rPr>
        <w:footnoteReference w:id="1"/>
      </w:r>
    </w:p>
    <w:p w:rsidR="002F0440" w:rsidRDefault="00C32350" w:rsidP="002F4AAA">
      <w:pPr>
        <w:jc w:val="both"/>
        <w:rPr>
          <w:rFonts w:ascii="Arial" w:hAnsi="Arial" w:cs="Arial"/>
        </w:rPr>
      </w:pPr>
      <w:r>
        <w:rPr>
          <w:rFonts w:ascii="Arial" w:hAnsi="Arial" w:cs="Arial"/>
        </w:rPr>
        <w:t xml:space="preserve">Other common indicators in body </w:t>
      </w:r>
      <w:r w:rsidR="00380260">
        <w:rPr>
          <w:rFonts w:ascii="Arial" w:hAnsi="Arial" w:cs="Arial"/>
        </w:rPr>
        <w:t>language</w:t>
      </w:r>
      <w:r>
        <w:rPr>
          <w:rFonts w:ascii="Arial" w:hAnsi="Arial" w:cs="Arial"/>
        </w:rPr>
        <w:t xml:space="preserve"> include the direction of ones</w:t>
      </w:r>
      <w:r w:rsidR="00B35AA5">
        <w:rPr>
          <w:rFonts w:ascii="Arial" w:hAnsi="Arial" w:cs="Arial"/>
        </w:rPr>
        <w:t>’</w:t>
      </w:r>
      <w:r>
        <w:rPr>
          <w:rFonts w:ascii="Arial" w:hAnsi="Arial" w:cs="Arial"/>
        </w:rPr>
        <w:t xml:space="preserve"> feet informing the interviewer of where the interviewee wishes to go, therefore, if they are pointing towards the door this may show that they are uncomfortable. Also, when a person lies this can cause increased blood flow to their extremities, such as their nose which may cause them to itch. </w:t>
      </w:r>
    </w:p>
    <w:p w:rsidR="002F4AAA" w:rsidRDefault="002F4AAA" w:rsidP="002F4AAA">
      <w:pPr>
        <w:jc w:val="both"/>
        <w:rPr>
          <w:rFonts w:ascii="Arial" w:hAnsi="Arial" w:cs="Arial"/>
        </w:rPr>
      </w:pPr>
      <w:r>
        <w:rPr>
          <w:rFonts w:ascii="Arial" w:hAnsi="Arial" w:cs="Arial"/>
        </w:rPr>
        <w:t xml:space="preserve">In addition to the above, body language can be an effective tool to aid cooperation with an interviewee. As explained in </w:t>
      </w:r>
      <w:r w:rsidRPr="002F4AAA">
        <w:rPr>
          <w:rFonts w:ascii="Arial" w:hAnsi="Arial" w:cs="Arial"/>
        </w:rPr>
        <w:t>Silverstone, H., Sheetz, M. (2006) Forensic Accounting and Fraud Invest</w:t>
      </w:r>
      <w:r>
        <w:rPr>
          <w:rFonts w:ascii="Arial" w:hAnsi="Arial" w:cs="Arial"/>
        </w:rPr>
        <w:t xml:space="preserve">igation for Non-Experts, 2nd ed., subtle mimicking of body language, such as depth and rate of breathing, posture, band positions and seated position can create rapport and make the interviewee more comfortable and likely to answer questions fully. </w:t>
      </w:r>
    </w:p>
    <w:p w:rsidR="00405C5A" w:rsidRDefault="00405C5A" w:rsidP="002F0440">
      <w:pPr>
        <w:ind w:left="360" w:firstLine="360"/>
        <w:jc w:val="both"/>
        <w:rPr>
          <w:rFonts w:ascii="Arial" w:hAnsi="Arial" w:cs="Arial"/>
        </w:rPr>
      </w:pPr>
    </w:p>
    <w:p w:rsidR="002F0440" w:rsidRPr="00405C5A" w:rsidRDefault="002F0440" w:rsidP="002F0440">
      <w:pPr>
        <w:ind w:left="360" w:firstLine="360"/>
        <w:jc w:val="both"/>
        <w:rPr>
          <w:rFonts w:ascii="Arial" w:hAnsi="Arial" w:cs="Arial"/>
          <w:b/>
        </w:rPr>
      </w:pPr>
      <w:r w:rsidRPr="00405C5A">
        <w:rPr>
          <w:rFonts w:ascii="Arial" w:hAnsi="Arial" w:cs="Arial"/>
          <w:b/>
        </w:rPr>
        <w:t>iii. How is the SCAN Analysis used as an investigative technique?</w:t>
      </w:r>
    </w:p>
    <w:p w:rsidR="00380260" w:rsidRDefault="00380260" w:rsidP="00380260">
      <w:pPr>
        <w:jc w:val="both"/>
        <w:rPr>
          <w:rFonts w:ascii="Arial" w:hAnsi="Arial" w:cs="Arial"/>
        </w:rPr>
      </w:pPr>
      <w:r>
        <w:rPr>
          <w:rFonts w:ascii="Arial" w:hAnsi="Arial" w:cs="Arial"/>
        </w:rPr>
        <w:t>SCAN analysis (statement analysis or scientific content analysis) is the technique of analysing word that people use to determine whether they are accurate and truthful. It is not admissible in evidence presen</w:t>
      </w:r>
      <w:r w:rsidR="007B3DB1">
        <w:rPr>
          <w:rFonts w:ascii="Arial" w:hAnsi="Arial" w:cs="Arial"/>
        </w:rPr>
        <w:t>ted to the Court, however, it may be</w:t>
      </w:r>
      <w:r>
        <w:rPr>
          <w:rFonts w:ascii="Arial" w:hAnsi="Arial" w:cs="Arial"/>
        </w:rPr>
        <w:t xml:space="preserve"> useful as an investigative technique as it may guide an investigation, and provide clues as to whether an individual is being truthful or concealing evidence. </w:t>
      </w:r>
    </w:p>
    <w:p w:rsidR="00380260" w:rsidRDefault="00140770" w:rsidP="00380260">
      <w:pPr>
        <w:jc w:val="both"/>
        <w:rPr>
          <w:rFonts w:ascii="Arial" w:hAnsi="Arial" w:cs="Arial"/>
        </w:rPr>
      </w:pPr>
      <w:r w:rsidRPr="00140770">
        <w:rPr>
          <w:rFonts w:ascii="Arial" w:hAnsi="Arial" w:cs="Arial"/>
        </w:rPr>
        <w:t>SCAN was developed by former Israeli polygraph examiner Avinoam </w:t>
      </w:r>
      <w:r>
        <w:rPr>
          <w:rFonts w:ascii="Arial" w:hAnsi="Arial" w:cs="Arial"/>
        </w:rPr>
        <w:t>Sapir</w:t>
      </w:r>
      <w:r w:rsidRPr="00140770">
        <w:rPr>
          <w:rFonts w:ascii="Arial" w:hAnsi="Arial" w:cs="Arial"/>
        </w:rPr>
        <w:t xml:space="preserve"> who – based on his experience with polygraph examinees – argues that people who tell the truth differ from liars in the type of language they use.</w:t>
      </w:r>
      <w:r>
        <w:rPr>
          <w:rFonts w:ascii="Arial" w:hAnsi="Arial" w:cs="Arial"/>
        </w:rPr>
        <w:t xml:space="preserve"> </w:t>
      </w:r>
      <w:r w:rsidR="00380260">
        <w:rPr>
          <w:rFonts w:ascii="Arial" w:hAnsi="Arial" w:cs="Arial"/>
        </w:rPr>
        <w:t xml:space="preserve">It has </w:t>
      </w:r>
      <w:r w:rsidR="007B3DB1">
        <w:rPr>
          <w:rFonts w:ascii="Arial" w:hAnsi="Arial" w:cs="Arial"/>
        </w:rPr>
        <w:t xml:space="preserve">generally </w:t>
      </w:r>
      <w:r w:rsidR="00380260">
        <w:rPr>
          <w:rFonts w:ascii="Arial" w:hAnsi="Arial" w:cs="Arial"/>
        </w:rPr>
        <w:t>been established that</w:t>
      </w:r>
      <w:r>
        <w:rPr>
          <w:rFonts w:ascii="Arial" w:hAnsi="Arial" w:cs="Arial"/>
        </w:rPr>
        <w:t xml:space="preserve"> lying is cognitively more difficult that telling the truth, therefore, those who are lying are less likely to include certain details within their answer (such as descriptions on interactions)</w:t>
      </w:r>
      <w:r w:rsidR="007B3DB1">
        <w:rPr>
          <w:rFonts w:ascii="Arial" w:hAnsi="Arial" w:cs="Arial"/>
        </w:rPr>
        <w:t>.</w:t>
      </w:r>
    </w:p>
    <w:p w:rsidR="00140770" w:rsidRDefault="00140770" w:rsidP="00380260">
      <w:pPr>
        <w:jc w:val="both"/>
        <w:rPr>
          <w:rFonts w:ascii="Arial" w:hAnsi="Arial" w:cs="Arial"/>
        </w:rPr>
      </w:pPr>
      <w:r>
        <w:rPr>
          <w:rFonts w:ascii="Arial" w:hAnsi="Arial" w:cs="Arial"/>
        </w:rPr>
        <w:t xml:space="preserve">One theory of SCAN is that people who are lying will leave out attributing acts to specific people. </w:t>
      </w:r>
      <w:r w:rsidR="007B3DB1">
        <w:rPr>
          <w:rFonts w:ascii="Arial" w:hAnsi="Arial" w:cs="Arial"/>
        </w:rPr>
        <w:t>Additionally, i</w:t>
      </w:r>
      <w:r w:rsidRPr="00140770">
        <w:rPr>
          <w:rFonts w:ascii="Arial" w:hAnsi="Arial" w:cs="Arial"/>
        </w:rPr>
        <w:t xml:space="preserve">f </w:t>
      </w:r>
      <w:r>
        <w:rPr>
          <w:rFonts w:ascii="Arial" w:hAnsi="Arial" w:cs="Arial"/>
        </w:rPr>
        <w:t xml:space="preserve">a person leaves out information, such as the </w:t>
      </w:r>
      <w:r w:rsidR="007B3DB1">
        <w:rPr>
          <w:rFonts w:ascii="Arial" w:hAnsi="Arial" w:cs="Arial"/>
        </w:rPr>
        <w:t>individuals,</w:t>
      </w:r>
      <w:r w:rsidRPr="00140770">
        <w:rPr>
          <w:rFonts w:ascii="Arial" w:hAnsi="Arial" w:cs="Arial"/>
        </w:rPr>
        <w:t xml:space="preserve"> </w:t>
      </w:r>
      <w:r>
        <w:rPr>
          <w:rFonts w:ascii="Arial" w:hAnsi="Arial" w:cs="Arial"/>
        </w:rPr>
        <w:t xml:space="preserve">their </w:t>
      </w:r>
      <w:r w:rsidRPr="00140770">
        <w:rPr>
          <w:rFonts w:ascii="Arial" w:hAnsi="Arial" w:cs="Arial"/>
        </w:rPr>
        <w:t>role</w:t>
      </w:r>
      <w:r>
        <w:rPr>
          <w:rFonts w:ascii="Arial" w:hAnsi="Arial" w:cs="Arial"/>
        </w:rPr>
        <w:t xml:space="preserve"> in the activity</w:t>
      </w:r>
      <w:r w:rsidRPr="00140770">
        <w:rPr>
          <w:rFonts w:ascii="Arial" w:hAnsi="Arial" w:cs="Arial"/>
        </w:rPr>
        <w:t xml:space="preserve"> or both, this indicates deception.</w:t>
      </w:r>
      <w:r>
        <w:rPr>
          <w:rFonts w:ascii="Arial" w:hAnsi="Arial" w:cs="Arial"/>
        </w:rPr>
        <w:t xml:space="preserve"> They will instead make vague statement and will not attribute the act to an individual (e.g. “We would send </w:t>
      </w:r>
      <w:r w:rsidR="007B3DB1">
        <w:rPr>
          <w:rFonts w:ascii="Arial" w:hAnsi="Arial" w:cs="Arial"/>
        </w:rPr>
        <w:t>invoices</w:t>
      </w:r>
      <w:r>
        <w:rPr>
          <w:rFonts w:ascii="Arial" w:hAnsi="Arial" w:cs="Arial"/>
        </w:rPr>
        <w:t>”).</w:t>
      </w:r>
      <w:r w:rsidRPr="00140770">
        <w:rPr>
          <w:rFonts w:ascii="Arial" w:hAnsi="Arial" w:cs="Arial"/>
        </w:rPr>
        <w:t xml:space="preserve"> Another </w:t>
      </w:r>
      <w:r>
        <w:rPr>
          <w:rFonts w:ascii="Arial" w:hAnsi="Arial" w:cs="Arial"/>
        </w:rPr>
        <w:t>factor</w:t>
      </w:r>
      <w:r w:rsidRPr="00140770">
        <w:rPr>
          <w:rFonts w:ascii="Arial" w:hAnsi="Arial" w:cs="Arial"/>
        </w:rPr>
        <w:t xml:space="preserve"> is the “structure of the statement”. According to</w:t>
      </w:r>
      <w:r>
        <w:rPr>
          <w:rFonts w:ascii="Arial" w:hAnsi="Arial" w:cs="Arial"/>
        </w:rPr>
        <w:t xml:space="preserve"> the</w:t>
      </w:r>
      <w:r w:rsidRPr="00140770">
        <w:rPr>
          <w:rFonts w:ascii="Arial" w:hAnsi="Arial" w:cs="Arial"/>
        </w:rPr>
        <w:t xml:space="preserve"> SCAN</w:t>
      </w:r>
      <w:r>
        <w:rPr>
          <w:rFonts w:ascii="Arial" w:hAnsi="Arial" w:cs="Arial"/>
        </w:rPr>
        <w:t xml:space="preserve"> theory</w:t>
      </w:r>
      <w:r w:rsidRPr="00140770">
        <w:rPr>
          <w:rFonts w:ascii="Arial" w:hAnsi="Arial" w:cs="Arial"/>
        </w:rPr>
        <w:t xml:space="preserve">, 20% of the statement should consist of information that led up to the event, 50% should be about the main event and 30% of the statement should be about what happened after the event. The more the statement deviates from this structure, the higher the likelihood that the statement is deceptive. </w:t>
      </w:r>
    </w:p>
    <w:p w:rsidR="00140770" w:rsidRDefault="00140770" w:rsidP="00380260">
      <w:pPr>
        <w:jc w:val="both"/>
        <w:rPr>
          <w:rFonts w:ascii="Arial" w:hAnsi="Arial" w:cs="Arial"/>
        </w:rPr>
      </w:pPr>
      <w:r>
        <w:rPr>
          <w:rFonts w:ascii="Arial" w:hAnsi="Arial" w:cs="Arial"/>
        </w:rPr>
        <w:t>As well as the non-admissibility of SCAN as evidence, the</w:t>
      </w:r>
      <w:r w:rsidR="007B3DB1">
        <w:rPr>
          <w:rFonts w:ascii="Arial" w:hAnsi="Arial" w:cs="Arial"/>
        </w:rPr>
        <w:t xml:space="preserve">re are also those who are sceptical </w:t>
      </w:r>
      <w:r>
        <w:rPr>
          <w:rFonts w:ascii="Arial" w:hAnsi="Arial" w:cs="Arial"/>
        </w:rPr>
        <w:t xml:space="preserve"> of its effectiveness, as it </w:t>
      </w:r>
      <w:r w:rsidR="007B3DB1">
        <w:rPr>
          <w:rFonts w:ascii="Arial" w:hAnsi="Arial" w:cs="Arial"/>
        </w:rPr>
        <w:t xml:space="preserve">does not provide any theoretical rationale as to why individuals who are being deceitful would answer questions in a particular way , unlike other methods such as </w:t>
      </w:r>
      <w:r w:rsidR="007B3DB1" w:rsidRPr="007B3DB1">
        <w:rPr>
          <w:rFonts w:ascii="Arial" w:hAnsi="Arial" w:cs="Arial"/>
        </w:rPr>
        <w:t>Criteria Based Content Analysis (CBCA) and Reality Monitoring (RM)</w:t>
      </w:r>
      <w:r w:rsidR="007B3DB1" w:rsidRPr="007B3DB1">
        <w:t xml:space="preserve"> </w:t>
      </w:r>
      <w:r w:rsidR="007B3DB1">
        <w:t>(</w:t>
      </w:r>
      <w:hyperlink r:id="rId9" w:history="1">
        <w:r w:rsidR="007B3DB1" w:rsidRPr="008D568B">
          <w:rPr>
            <w:rStyle w:val="Hyperlink"/>
            <w:rFonts w:ascii="Arial" w:hAnsi="Arial" w:cs="Arial"/>
          </w:rPr>
          <w:t>https://www.ncbi.nlm.nih.gov/pmc/articles/PMC4766305/</w:t>
        </w:r>
      </w:hyperlink>
      <w:r w:rsidR="007B3DB1">
        <w:rPr>
          <w:rFonts w:ascii="Arial" w:hAnsi="Arial" w:cs="Arial"/>
        </w:rPr>
        <w:t xml:space="preserve">). </w:t>
      </w:r>
    </w:p>
    <w:p w:rsidR="002F0440" w:rsidRDefault="002F0440" w:rsidP="002F0440">
      <w:pPr>
        <w:ind w:left="360"/>
        <w:jc w:val="both"/>
        <w:rPr>
          <w:rFonts w:ascii="Arial" w:hAnsi="Arial" w:cs="Arial"/>
        </w:rPr>
      </w:pPr>
    </w:p>
    <w:p w:rsidR="002F0440" w:rsidRPr="00405C5A" w:rsidRDefault="002F0440" w:rsidP="00405C5A">
      <w:pPr>
        <w:ind w:left="720"/>
        <w:jc w:val="both"/>
        <w:rPr>
          <w:rFonts w:ascii="Arial" w:hAnsi="Arial" w:cs="Arial"/>
          <w:b/>
        </w:rPr>
      </w:pPr>
      <w:r w:rsidRPr="00405C5A">
        <w:rPr>
          <w:rFonts w:ascii="Arial" w:hAnsi="Arial" w:cs="Arial"/>
          <w:b/>
        </w:rPr>
        <w:t>iv. What are visual assessing cues? How do eyes of the victim help the interviewer?</w:t>
      </w:r>
    </w:p>
    <w:p w:rsidR="007B3DB1" w:rsidRDefault="007B3DB1" w:rsidP="007B3DB1">
      <w:pPr>
        <w:jc w:val="both"/>
        <w:rPr>
          <w:rFonts w:ascii="Arial" w:hAnsi="Arial" w:cs="Arial"/>
        </w:rPr>
      </w:pPr>
      <w:r>
        <w:rPr>
          <w:rFonts w:ascii="Arial" w:hAnsi="Arial" w:cs="Arial"/>
        </w:rPr>
        <w:t xml:space="preserve">Visual Assessing Cues (VAC) refers to the tells provided by the eyes of a person providing an answer to a question. </w:t>
      </w:r>
      <w:r w:rsidR="00C612B7">
        <w:rPr>
          <w:rFonts w:ascii="Arial" w:hAnsi="Arial" w:cs="Arial"/>
        </w:rPr>
        <w:t>They are only applicable to right handed individuals are left handed people respond to questions in a different way.</w:t>
      </w:r>
    </w:p>
    <w:p w:rsidR="00C612B7" w:rsidRDefault="00C612B7" w:rsidP="007B3DB1">
      <w:pPr>
        <w:jc w:val="both"/>
        <w:rPr>
          <w:rFonts w:ascii="Arial" w:hAnsi="Arial" w:cs="Arial"/>
        </w:rPr>
      </w:pPr>
      <w:r>
        <w:rPr>
          <w:rFonts w:ascii="Arial" w:hAnsi="Arial" w:cs="Arial"/>
        </w:rPr>
        <w:t>Simply, if an individual looks to the left they are using recall: upwards for visual images, horizontally for audio, and downwards to internal dialogue. Looking to the right indicates construction of thought: upwards for visual images for the future, horizontally for creating sounds, and downwards for kinaesthetic or feelings. Therefore, if an investigator were to ask a question about something which had already happened or they thought may have happened and an individual looked to the right, this would indicate deception in their answer.</w:t>
      </w:r>
    </w:p>
    <w:p w:rsidR="00C612B7" w:rsidRDefault="00C612B7" w:rsidP="007B3DB1">
      <w:pPr>
        <w:jc w:val="both"/>
        <w:rPr>
          <w:rFonts w:ascii="Arial" w:hAnsi="Arial" w:cs="Arial"/>
        </w:rPr>
      </w:pPr>
      <w:r>
        <w:rPr>
          <w:rFonts w:ascii="Arial" w:hAnsi="Arial" w:cs="Arial"/>
        </w:rPr>
        <w:t>Blinking is also an VAC. Under normal conditions people tend to blink around 20 times a minute and each blink will last around a quarter of a second. If a person is under stress they may blink more often and faster.</w:t>
      </w:r>
    </w:p>
    <w:p w:rsidR="00C612B7" w:rsidRPr="002F0440" w:rsidRDefault="00660BE0" w:rsidP="007B3DB1">
      <w:pPr>
        <w:jc w:val="both"/>
        <w:rPr>
          <w:rFonts w:ascii="Arial" w:hAnsi="Arial" w:cs="Arial"/>
        </w:rPr>
      </w:pPr>
      <w:r>
        <w:rPr>
          <w:rFonts w:ascii="Arial" w:hAnsi="Arial" w:cs="Arial"/>
        </w:rPr>
        <w:t xml:space="preserve">Other VAC’s include </w:t>
      </w:r>
      <w:r w:rsidR="00C612B7" w:rsidRPr="00C612B7">
        <w:rPr>
          <w:rFonts w:ascii="Arial" w:hAnsi="Arial" w:cs="Arial"/>
        </w:rPr>
        <w:t>Gazing downward</w:t>
      </w:r>
      <w:r>
        <w:rPr>
          <w:rFonts w:ascii="Arial" w:hAnsi="Arial" w:cs="Arial"/>
        </w:rPr>
        <w:t xml:space="preserve"> which may indicate guilt, defeat or submission; r</w:t>
      </w:r>
      <w:r w:rsidR="00C612B7" w:rsidRPr="00C612B7">
        <w:rPr>
          <w:rFonts w:ascii="Arial" w:hAnsi="Arial" w:cs="Arial"/>
        </w:rPr>
        <w:t>aising eyebrows</w:t>
      </w:r>
      <w:r>
        <w:rPr>
          <w:rFonts w:ascii="Arial" w:hAnsi="Arial" w:cs="Arial"/>
        </w:rPr>
        <w:t xml:space="preserve"> which indicated </w:t>
      </w:r>
      <w:r w:rsidR="00C612B7" w:rsidRPr="00C612B7">
        <w:rPr>
          <w:rFonts w:ascii="Arial" w:hAnsi="Arial" w:cs="Arial"/>
        </w:rPr>
        <w:t>surprise, disbelief, frustration or uncertainty</w:t>
      </w:r>
      <w:r>
        <w:rPr>
          <w:rFonts w:ascii="Arial" w:hAnsi="Arial" w:cs="Arial"/>
        </w:rPr>
        <w:t>; r</w:t>
      </w:r>
      <w:r w:rsidR="00C612B7" w:rsidRPr="00C612B7">
        <w:rPr>
          <w:rFonts w:ascii="Arial" w:hAnsi="Arial" w:cs="Arial"/>
        </w:rPr>
        <w:t xml:space="preserve">aising one eyebrow with head tilted back </w:t>
      </w:r>
      <w:r>
        <w:rPr>
          <w:rFonts w:ascii="Arial" w:hAnsi="Arial" w:cs="Arial"/>
        </w:rPr>
        <w:t xml:space="preserve">may signify </w:t>
      </w:r>
      <w:r w:rsidR="00C612B7" w:rsidRPr="00C612B7">
        <w:rPr>
          <w:rFonts w:ascii="Arial" w:hAnsi="Arial" w:cs="Arial"/>
        </w:rPr>
        <w:t>arrogance or disdain</w:t>
      </w:r>
      <w:r>
        <w:rPr>
          <w:rFonts w:ascii="Arial" w:hAnsi="Arial" w:cs="Arial"/>
        </w:rPr>
        <w:t>; and, d</w:t>
      </w:r>
      <w:r w:rsidR="00C612B7" w:rsidRPr="00C612B7">
        <w:rPr>
          <w:rFonts w:ascii="Arial" w:hAnsi="Arial" w:cs="Arial"/>
        </w:rPr>
        <w:t xml:space="preserve">ilation of pupils </w:t>
      </w:r>
      <w:r>
        <w:rPr>
          <w:rFonts w:ascii="Arial" w:hAnsi="Arial" w:cs="Arial"/>
        </w:rPr>
        <w:t>can</w:t>
      </w:r>
      <w:r w:rsidR="00C612B7" w:rsidRPr="00C612B7">
        <w:rPr>
          <w:rFonts w:ascii="Arial" w:hAnsi="Arial" w:cs="Arial"/>
        </w:rPr>
        <w:t xml:space="preserve"> interest in something.</w:t>
      </w:r>
    </w:p>
    <w:p w:rsidR="002F0440" w:rsidRDefault="002F0440" w:rsidP="002F0440">
      <w:pPr>
        <w:ind w:left="360"/>
        <w:jc w:val="both"/>
        <w:rPr>
          <w:rFonts w:ascii="Arial" w:hAnsi="Arial" w:cs="Arial"/>
        </w:rPr>
      </w:pPr>
    </w:p>
    <w:p w:rsidR="002F0440" w:rsidRDefault="002F0440" w:rsidP="002F0440">
      <w:pPr>
        <w:ind w:left="993" w:hanging="284"/>
        <w:jc w:val="both"/>
        <w:rPr>
          <w:rFonts w:ascii="Arial" w:hAnsi="Arial" w:cs="Arial"/>
          <w:b/>
        </w:rPr>
      </w:pPr>
      <w:r w:rsidRPr="00405C5A">
        <w:rPr>
          <w:rFonts w:ascii="Arial" w:hAnsi="Arial" w:cs="Arial"/>
          <w:b/>
        </w:rPr>
        <w:t>v. In addition to body language, there are other cues which help to identify lies. What are these?</w:t>
      </w:r>
    </w:p>
    <w:p w:rsidR="009B048F" w:rsidRPr="009B048F" w:rsidRDefault="009B048F" w:rsidP="009B048F">
      <w:pPr>
        <w:jc w:val="both"/>
        <w:rPr>
          <w:rFonts w:ascii="Arial" w:hAnsi="Arial" w:cs="Arial"/>
        </w:rPr>
      </w:pPr>
      <w:r>
        <w:rPr>
          <w:rFonts w:ascii="Arial" w:hAnsi="Arial" w:cs="Arial"/>
        </w:rPr>
        <w:t>In addition to body language</w:t>
      </w:r>
      <w:r w:rsidRPr="009B048F">
        <w:rPr>
          <w:rFonts w:ascii="Arial" w:hAnsi="Arial" w:cs="Arial"/>
        </w:rPr>
        <w:t xml:space="preserve"> there are other deception cues which are used by fraud</w:t>
      </w:r>
      <w:r>
        <w:rPr>
          <w:rFonts w:ascii="Arial" w:hAnsi="Arial" w:cs="Arial"/>
          <w:b/>
        </w:rPr>
        <w:t xml:space="preserve"> </w:t>
      </w:r>
      <w:r w:rsidRPr="009B048F">
        <w:rPr>
          <w:rFonts w:ascii="Arial" w:hAnsi="Arial" w:cs="Arial"/>
        </w:rPr>
        <w:t>investigators to establish whether someone is not being truthful (in addition to the SCAN and VAC’s discussed in other answers). Common deception cues are:</w:t>
      </w:r>
    </w:p>
    <w:p w:rsidR="009B048F" w:rsidRPr="009B048F" w:rsidRDefault="009B048F" w:rsidP="009B048F">
      <w:pPr>
        <w:jc w:val="both"/>
        <w:rPr>
          <w:rFonts w:ascii="Arial" w:hAnsi="Arial" w:cs="Arial"/>
        </w:rPr>
      </w:pPr>
      <w:r w:rsidRPr="009B048F">
        <w:rPr>
          <w:rFonts w:ascii="Arial" w:hAnsi="Arial" w:cs="Arial"/>
        </w:rPr>
        <w:t xml:space="preserve">Interpersonal interactions: </w:t>
      </w:r>
      <w:r>
        <w:rPr>
          <w:rFonts w:ascii="Arial" w:hAnsi="Arial" w:cs="Arial"/>
        </w:rPr>
        <w:t>Physical acts contradicting the answer the interviewee is giving. F</w:t>
      </w:r>
      <w:r w:rsidRPr="009B048F">
        <w:rPr>
          <w:rFonts w:ascii="Arial" w:hAnsi="Arial" w:cs="Arial"/>
        </w:rPr>
        <w:t xml:space="preserve">or example, </w:t>
      </w:r>
      <w:r>
        <w:rPr>
          <w:rFonts w:ascii="Arial" w:hAnsi="Arial" w:cs="Arial"/>
        </w:rPr>
        <w:t>shaking their head after asking “yes” or nodding and answering “no”</w:t>
      </w:r>
      <w:r w:rsidRPr="009B048F">
        <w:rPr>
          <w:rFonts w:ascii="Arial" w:hAnsi="Arial" w:cs="Arial"/>
        </w:rPr>
        <w:t xml:space="preserve"> </w:t>
      </w:r>
    </w:p>
    <w:p w:rsidR="009B048F" w:rsidRPr="009B048F" w:rsidRDefault="009B048F" w:rsidP="009B048F">
      <w:pPr>
        <w:jc w:val="both"/>
        <w:rPr>
          <w:rFonts w:ascii="Arial" w:hAnsi="Arial" w:cs="Arial"/>
        </w:rPr>
      </w:pPr>
      <w:r w:rsidRPr="009B048F">
        <w:rPr>
          <w:rFonts w:ascii="Arial" w:hAnsi="Arial" w:cs="Arial"/>
        </w:rPr>
        <w:t>Emotional states: A deceitful person will usually avoid touching the person investigating or questioning him/her.</w:t>
      </w:r>
      <w:r>
        <w:rPr>
          <w:rFonts w:ascii="Arial" w:hAnsi="Arial" w:cs="Arial"/>
        </w:rPr>
        <w:t xml:space="preserve"> This is because a deceitful person will wish to avoid developing any personal relationship with the interviewer which would make being dishonest more difficult</w:t>
      </w:r>
      <w:r w:rsidR="00B35AA5">
        <w:rPr>
          <w:rFonts w:ascii="Arial" w:hAnsi="Arial" w:cs="Arial"/>
        </w:rPr>
        <w:t xml:space="preserve"> for them</w:t>
      </w:r>
      <w:r>
        <w:rPr>
          <w:rFonts w:ascii="Arial" w:hAnsi="Arial" w:cs="Arial"/>
        </w:rPr>
        <w:t xml:space="preserve">. </w:t>
      </w:r>
    </w:p>
    <w:p w:rsidR="009B048F" w:rsidRPr="009B048F" w:rsidRDefault="009B048F" w:rsidP="009B048F">
      <w:pPr>
        <w:jc w:val="both"/>
        <w:rPr>
          <w:rFonts w:ascii="Arial" w:hAnsi="Arial" w:cs="Arial"/>
        </w:rPr>
      </w:pPr>
      <w:r w:rsidRPr="009B048F">
        <w:rPr>
          <w:rFonts w:ascii="Arial" w:hAnsi="Arial" w:cs="Arial"/>
        </w:rPr>
        <w:t>Verbal content: For example, reflecting the question in the answer immediately after the question has been asked. Question. A classic and well known example of this is President Bill Clinton’s answers during the investigation into his relationship with Monica Lewinski.</w:t>
      </w:r>
    </w:p>
    <w:p w:rsidR="009B048F" w:rsidRPr="009B048F" w:rsidRDefault="009B048F" w:rsidP="009B048F">
      <w:pPr>
        <w:jc w:val="both"/>
        <w:rPr>
          <w:rFonts w:ascii="Arial" w:hAnsi="Arial" w:cs="Arial"/>
        </w:rPr>
      </w:pPr>
      <w:r w:rsidRPr="009B048F">
        <w:rPr>
          <w:rFonts w:ascii="Arial" w:hAnsi="Arial" w:cs="Arial"/>
        </w:rPr>
        <w:t>Replacing the pronoun in order to disassociate people or events: for example “we” instead of “I” which indicates that a person wishes to disassociate an act or at the least share culpability.</w:t>
      </w:r>
    </w:p>
    <w:p w:rsidR="009B048F" w:rsidRPr="009B048F" w:rsidRDefault="009B048F" w:rsidP="009B048F">
      <w:pPr>
        <w:jc w:val="both"/>
        <w:rPr>
          <w:rFonts w:ascii="Arial" w:hAnsi="Arial" w:cs="Arial"/>
        </w:rPr>
      </w:pPr>
      <w:r w:rsidRPr="009B048F">
        <w:rPr>
          <w:rFonts w:ascii="Arial" w:hAnsi="Arial" w:cs="Arial"/>
        </w:rPr>
        <w:t xml:space="preserve">Psychological frames: Lies and deceitful statements always leave out details of what went wrong, except for details related to delays and cancellations. </w:t>
      </w:r>
    </w:p>
    <w:p w:rsidR="002F0440" w:rsidRPr="009B048F" w:rsidRDefault="002F0440" w:rsidP="002F0440">
      <w:pPr>
        <w:ind w:left="360"/>
        <w:jc w:val="both"/>
        <w:rPr>
          <w:rFonts w:ascii="Arial" w:hAnsi="Arial" w:cs="Arial"/>
        </w:rPr>
      </w:pPr>
    </w:p>
    <w:p w:rsidR="002F0440" w:rsidRDefault="002F0440" w:rsidP="002F0440">
      <w:pPr>
        <w:ind w:left="709" w:hanging="283"/>
        <w:jc w:val="both"/>
        <w:rPr>
          <w:rFonts w:ascii="Arial" w:hAnsi="Arial" w:cs="Arial"/>
          <w:b/>
        </w:rPr>
      </w:pPr>
      <w:r w:rsidRPr="00405C5A">
        <w:rPr>
          <w:rFonts w:ascii="Arial" w:hAnsi="Arial" w:cs="Arial"/>
          <w:b/>
        </w:rPr>
        <w:t>2. ‘Asking questions in an audit is different from asking questions in fraud investigation.’ Discuss this. (5)</w:t>
      </w:r>
    </w:p>
    <w:p w:rsidR="00405C5A" w:rsidRDefault="00405C5A" w:rsidP="00B35AA5">
      <w:pPr>
        <w:jc w:val="both"/>
        <w:rPr>
          <w:rFonts w:ascii="Arial" w:hAnsi="Arial" w:cs="Arial"/>
        </w:rPr>
      </w:pPr>
      <w:r w:rsidRPr="00405C5A">
        <w:rPr>
          <w:rFonts w:ascii="Arial" w:hAnsi="Arial" w:cs="Arial"/>
        </w:rPr>
        <w:t>According to the Financial Reporting Council</w:t>
      </w:r>
      <w:r w:rsidRPr="00405C5A">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t>
      </w:r>
      <w:r w:rsidRPr="00405C5A">
        <w:rPr>
          <w:rFonts w:ascii="Arial" w:hAnsi="Arial" w:cs="Arial"/>
        </w:rPr>
        <w:t>The auditor’s objectives are to obtain reasonable assurance about whether the financial statements as a whole are free from material misstatement, whether due to fraud or error, and to issue an auditor’s report that includes the auditor’s opinion.</w:t>
      </w:r>
      <w:r>
        <w:rPr>
          <w:rFonts w:ascii="Arial" w:hAnsi="Arial" w:cs="Arial"/>
        </w:rPr>
        <w:t>”</w:t>
      </w:r>
      <w:r w:rsidRPr="00405C5A">
        <w:rPr>
          <w:rFonts w:ascii="Arial" w:hAnsi="Arial" w:cs="Arial"/>
        </w:rPr>
        <w:t xml:space="preserve"> Reasonable assurance i</w:t>
      </w:r>
      <w:r>
        <w:rPr>
          <w:rFonts w:ascii="Arial" w:hAnsi="Arial" w:cs="Arial"/>
        </w:rPr>
        <w:t xml:space="preserve">s a high level assurance. The auditor must exercise professional judgment and maintain professional scepticism throughout, however this falls short of conducting a thorough investigation into potential financial crime. They therefore have a duty to ask questions of the company and its officers, however, provided they get a reasonable answer they are not duty bound to ask follow on questions. </w:t>
      </w:r>
    </w:p>
    <w:p w:rsidR="00405C5A" w:rsidRDefault="00405C5A" w:rsidP="00B35AA5">
      <w:pPr>
        <w:jc w:val="both"/>
        <w:rPr>
          <w:rFonts w:ascii="Arial" w:hAnsi="Arial" w:cs="Arial"/>
        </w:rPr>
      </w:pPr>
      <w:r>
        <w:rPr>
          <w:rFonts w:ascii="Arial" w:hAnsi="Arial" w:cs="Arial"/>
        </w:rPr>
        <w:t xml:space="preserve">In additional, if a fraudster has taken steps to conceal a fraud the auditor may not detect the fraud, and may not reasonably be </w:t>
      </w:r>
      <w:r w:rsidR="005B52E6">
        <w:rPr>
          <w:rFonts w:ascii="Arial" w:hAnsi="Arial" w:cs="Arial"/>
        </w:rPr>
        <w:t xml:space="preserve">assumed to have detected it and therefore asked questions. </w:t>
      </w:r>
    </w:p>
    <w:p w:rsidR="005B52E6" w:rsidRDefault="005B52E6" w:rsidP="00B35AA5">
      <w:pPr>
        <w:jc w:val="both"/>
        <w:rPr>
          <w:rFonts w:ascii="Arial" w:hAnsi="Arial" w:cs="Arial"/>
        </w:rPr>
      </w:pPr>
      <w:r>
        <w:rPr>
          <w:rFonts w:ascii="Arial" w:hAnsi="Arial" w:cs="Arial"/>
        </w:rPr>
        <w:t xml:space="preserve">Questions during a fraud investigation however are meant to get to the bottom of a suspected crime, therefore, an investigator will need to ask far more detailed questions. </w:t>
      </w:r>
      <w:r w:rsidRPr="005B52E6">
        <w:rPr>
          <w:rFonts w:ascii="Arial" w:hAnsi="Arial" w:cs="Arial"/>
        </w:rPr>
        <w:t>Questions asked during an interview might fall into any of the following categories: (i) introductory</w:t>
      </w:r>
      <w:r>
        <w:rPr>
          <w:rFonts w:ascii="Arial" w:hAnsi="Arial" w:cs="Arial"/>
        </w:rPr>
        <w:t xml:space="preserve">  - such as understanding an individual’s role and inter-connection between others in the organisation</w:t>
      </w:r>
      <w:r w:rsidRPr="005B52E6">
        <w:rPr>
          <w:rFonts w:ascii="Arial" w:hAnsi="Arial" w:cs="Arial"/>
        </w:rPr>
        <w:t>,</w:t>
      </w:r>
      <w:r>
        <w:rPr>
          <w:rFonts w:ascii="Arial" w:hAnsi="Arial" w:cs="Arial"/>
        </w:rPr>
        <w:t xml:space="preserve"> the organisation’s structure, reporting lines etc.</w:t>
      </w:r>
      <w:r w:rsidRPr="005B52E6">
        <w:rPr>
          <w:rFonts w:ascii="Arial" w:hAnsi="Arial" w:cs="Arial"/>
        </w:rPr>
        <w:t xml:space="preserve"> (ii) informational</w:t>
      </w:r>
      <w:r>
        <w:rPr>
          <w:rFonts w:ascii="Arial" w:hAnsi="Arial" w:cs="Arial"/>
        </w:rPr>
        <w:t xml:space="preserve"> – asking about specific issues on a general basis (such as the accounting procedures used by a business)</w:t>
      </w:r>
      <w:r w:rsidRPr="005B52E6">
        <w:rPr>
          <w:rFonts w:ascii="Arial" w:hAnsi="Arial" w:cs="Arial"/>
        </w:rPr>
        <w:t>, (iii) assessment</w:t>
      </w:r>
      <w:r>
        <w:rPr>
          <w:rFonts w:ascii="Arial" w:hAnsi="Arial" w:cs="Arial"/>
        </w:rPr>
        <w:t xml:space="preserve"> – questions used to assess or interpret other facts or statements, such as an individual’s understanding, knowledge etc. (iv) closing – questions used to draw a line of enquiry to a close</w:t>
      </w:r>
      <w:r w:rsidRPr="005B52E6">
        <w:rPr>
          <w:rFonts w:ascii="Arial" w:hAnsi="Arial" w:cs="Arial"/>
        </w:rPr>
        <w:t xml:space="preserve"> (v) admission-seeking</w:t>
      </w:r>
      <w:r w:rsidR="00B35AA5">
        <w:rPr>
          <w:rFonts w:ascii="Arial" w:hAnsi="Arial" w:cs="Arial"/>
        </w:rPr>
        <w:t>, trying to get an interviewee to admit certain facts and/or wrongdoing.</w:t>
      </w:r>
      <w:r w:rsidRPr="005B52E6">
        <w:rPr>
          <w:rFonts w:ascii="Arial" w:hAnsi="Arial" w:cs="Arial"/>
        </w:rPr>
        <w:t>.</w:t>
      </w:r>
    </w:p>
    <w:p w:rsidR="005B52E6" w:rsidRPr="00405C5A" w:rsidRDefault="005B52E6" w:rsidP="00B35AA5">
      <w:pPr>
        <w:jc w:val="both"/>
        <w:rPr>
          <w:rFonts w:ascii="Arial" w:hAnsi="Arial" w:cs="Arial"/>
        </w:rPr>
      </w:pPr>
      <w:r>
        <w:rPr>
          <w:rFonts w:ascii="Arial" w:hAnsi="Arial" w:cs="Arial"/>
        </w:rPr>
        <w:t xml:space="preserve">Questions asked during an investigation are therefore asked for different reasons and to a much more detailed level. Additionally, an investigator must bear in mind that answers and questions may end up as evidence in a criminal investigation or prosecution, therefore, the level of probity and the way in which information is dissipated must be born in mind at all times. </w:t>
      </w:r>
      <w:r w:rsidR="00B35AA5">
        <w:rPr>
          <w:rFonts w:ascii="Arial" w:hAnsi="Arial" w:cs="Arial"/>
        </w:rPr>
        <w:t>The interviewer must also bear in mind that he may have to undertake a full investigation and detect others which may be involved in the fraud. They will therefore need to be very careful not to contaminate a potential witnesses evidence by providing information to them which they did not already know of.</w:t>
      </w:r>
    </w:p>
    <w:p w:rsidR="002F0440" w:rsidRPr="00405C5A" w:rsidRDefault="002F0440" w:rsidP="002F0440">
      <w:pPr>
        <w:ind w:left="360"/>
        <w:jc w:val="both"/>
        <w:rPr>
          <w:rFonts w:ascii="Arial" w:hAnsi="Arial" w:cs="Arial"/>
          <w:b/>
        </w:rPr>
      </w:pPr>
    </w:p>
    <w:p w:rsidR="00974F57" w:rsidRPr="00405C5A" w:rsidRDefault="002F0440" w:rsidP="002F0440">
      <w:pPr>
        <w:ind w:left="360"/>
        <w:jc w:val="both"/>
        <w:rPr>
          <w:rFonts w:ascii="Arial" w:hAnsi="Arial" w:cs="Arial"/>
          <w:b/>
        </w:rPr>
      </w:pPr>
      <w:r w:rsidRPr="00405C5A">
        <w:rPr>
          <w:rFonts w:ascii="Arial" w:hAnsi="Arial" w:cs="Arial"/>
          <w:b/>
        </w:rPr>
        <w:t>3. Discuss the interviewing procedure for a financially sophisticated victim. (5)</w:t>
      </w:r>
    </w:p>
    <w:p w:rsidR="002E2439" w:rsidRDefault="002E2439" w:rsidP="00B35AA5">
      <w:pPr>
        <w:jc w:val="both"/>
        <w:rPr>
          <w:rFonts w:ascii="Arial" w:hAnsi="Arial" w:cs="Arial"/>
        </w:rPr>
      </w:pPr>
      <w:r>
        <w:rPr>
          <w:rFonts w:ascii="Arial" w:hAnsi="Arial" w:cs="Arial"/>
        </w:rPr>
        <w:t>Best practice interviews will normally require a) preparation; b) thinking</w:t>
      </w:r>
      <w:r w:rsidRPr="002E2439">
        <w:rPr>
          <w:rFonts w:ascii="Arial" w:hAnsi="Arial" w:cs="Arial"/>
        </w:rPr>
        <w:t xml:space="preserve"> before </w:t>
      </w:r>
      <w:r>
        <w:rPr>
          <w:rFonts w:ascii="Arial" w:hAnsi="Arial" w:cs="Arial"/>
        </w:rPr>
        <w:t>the interview; c) setting the tone of the interview</w:t>
      </w:r>
      <w:r w:rsidRPr="002E2439">
        <w:rPr>
          <w:rFonts w:ascii="Arial" w:hAnsi="Arial" w:cs="Arial"/>
        </w:rPr>
        <w:t xml:space="preserve"> </w:t>
      </w:r>
      <w:r>
        <w:rPr>
          <w:rFonts w:ascii="Arial" w:hAnsi="Arial" w:cs="Arial"/>
        </w:rPr>
        <w:t>(are you trying to put the interviewee at ease or put them under pressure and stress); d) Looking</w:t>
      </w:r>
      <w:r w:rsidRPr="002E2439">
        <w:rPr>
          <w:rFonts w:ascii="Arial" w:hAnsi="Arial" w:cs="Arial"/>
        </w:rPr>
        <w:t xml:space="preserve"> for </w:t>
      </w:r>
      <w:r w:rsidR="00405C5A" w:rsidRPr="002E2439">
        <w:rPr>
          <w:rFonts w:ascii="Arial" w:hAnsi="Arial" w:cs="Arial"/>
        </w:rPr>
        <w:t>non-verbal</w:t>
      </w:r>
      <w:r w:rsidRPr="002E2439">
        <w:rPr>
          <w:rFonts w:ascii="Arial" w:hAnsi="Arial" w:cs="Arial"/>
        </w:rPr>
        <w:t xml:space="preserve"> behaviour</w:t>
      </w:r>
      <w:r>
        <w:rPr>
          <w:rFonts w:ascii="Arial" w:hAnsi="Arial" w:cs="Arial"/>
        </w:rPr>
        <w:t>; e) asking questions in</w:t>
      </w:r>
      <w:r w:rsidRPr="002E2439">
        <w:rPr>
          <w:rFonts w:ascii="Arial" w:hAnsi="Arial" w:cs="Arial"/>
        </w:rPr>
        <w:t xml:space="preserve"> flow</w:t>
      </w:r>
      <w:r>
        <w:rPr>
          <w:rFonts w:ascii="Arial" w:hAnsi="Arial" w:cs="Arial"/>
        </w:rPr>
        <w:t>; f) being d</w:t>
      </w:r>
      <w:r w:rsidRPr="002E2439">
        <w:rPr>
          <w:rFonts w:ascii="Arial" w:hAnsi="Arial" w:cs="Arial"/>
        </w:rPr>
        <w:t xml:space="preserve">irect to the point </w:t>
      </w:r>
      <w:r>
        <w:rPr>
          <w:rFonts w:ascii="Arial" w:hAnsi="Arial" w:cs="Arial"/>
        </w:rPr>
        <w:t xml:space="preserve">g) listening more than </w:t>
      </w:r>
      <w:r w:rsidRPr="002E2439">
        <w:rPr>
          <w:rFonts w:ascii="Arial" w:hAnsi="Arial" w:cs="Arial"/>
        </w:rPr>
        <w:t>talking</w:t>
      </w:r>
      <w:r>
        <w:rPr>
          <w:rFonts w:ascii="Arial" w:hAnsi="Arial" w:cs="Arial"/>
        </w:rPr>
        <w:t>; h) taking your</w:t>
      </w:r>
      <w:r w:rsidRPr="002E2439">
        <w:rPr>
          <w:rFonts w:ascii="Arial" w:hAnsi="Arial" w:cs="Arial"/>
        </w:rPr>
        <w:t xml:space="preserve"> time</w:t>
      </w:r>
      <w:r>
        <w:rPr>
          <w:rFonts w:ascii="Arial" w:hAnsi="Arial" w:cs="Arial"/>
        </w:rPr>
        <w:t>; i)</w:t>
      </w:r>
      <w:r w:rsidRPr="002E2439">
        <w:rPr>
          <w:rFonts w:ascii="Arial" w:hAnsi="Arial" w:cs="Arial"/>
        </w:rPr>
        <w:t xml:space="preserve"> </w:t>
      </w:r>
      <w:r>
        <w:rPr>
          <w:rFonts w:ascii="Arial" w:hAnsi="Arial" w:cs="Arial"/>
        </w:rPr>
        <w:t xml:space="preserve">verifying the evidence (for example checking documents, correspondence etc. which may prove or disprove a version of events); and j) getting the evidence </w:t>
      </w:r>
      <w:r w:rsidRPr="002E2439">
        <w:rPr>
          <w:rFonts w:ascii="Arial" w:hAnsi="Arial" w:cs="Arial"/>
        </w:rPr>
        <w:t>in writing</w:t>
      </w:r>
      <w:r>
        <w:rPr>
          <w:rFonts w:ascii="Arial" w:hAnsi="Arial" w:cs="Arial"/>
        </w:rPr>
        <w:t xml:space="preserve"> (alternatively, one can record the interview or ask the interviewee to sign a transcript or note of the interview). </w:t>
      </w:r>
    </w:p>
    <w:p w:rsidR="002E2439" w:rsidRDefault="002E2439" w:rsidP="00B35AA5">
      <w:pPr>
        <w:jc w:val="both"/>
        <w:rPr>
          <w:rFonts w:ascii="Arial" w:hAnsi="Arial" w:cs="Arial"/>
        </w:rPr>
      </w:pPr>
      <w:r>
        <w:rPr>
          <w:rFonts w:ascii="Arial" w:hAnsi="Arial" w:cs="Arial"/>
        </w:rPr>
        <w:t>T</w:t>
      </w:r>
      <w:r w:rsidRPr="002E2439">
        <w:rPr>
          <w:rFonts w:ascii="Arial" w:hAnsi="Arial" w:cs="Arial"/>
        </w:rPr>
        <w:t xml:space="preserve">he greatest difference in conducting an interview with a financially sophisticated individual is the need for preparation. Often one will have to understand complex business structures, complex ownership structures and interactions between individuals and business entities, accounting procedures etc. some of which may be perfectly legitimate and others may not be. </w:t>
      </w:r>
    </w:p>
    <w:p w:rsidR="002E2439" w:rsidRPr="002E2439" w:rsidRDefault="002E2439" w:rsidP="00B35AA5">
      <w:pPr>
        <w:jc w:val="both"/>
        <w:rPr>
          <w:rFonts w:ascii="Arial" w:hAnsi="Arial" w:cs="Arial"/>
        </w:rPr>
      </w:pPr>
      <w:r w:rsidRPr="002E2439">
        <w:rPr>
          <w:rFonts w:ascii="Arial" w:hAnsi="Arial" w:cs="Arial"/>
        </w:rPr>
        <w:t>Open ended questions</w:t>
      </w:r>
      <w:r>
        <w:rPr>
          <w:rFonts w:ascii="Arial" w:hAnsi="Arial" w:cs="Arial"/>
        </w:rPr>
        <w:t>, while best practice in non-financial crimes</w:t>
      </w:r>
      <w:r w:rsidRPr="002E2439">
        <w:rPr>
          <w:rFonts w:ascii="Arial" w:hAnsi="Arial" w:cs="Arial"/>
        </w:rPr>
        <w:t xml:space="preserve"> are unlikely to yield </w:t>
      </w:r>
      <w:r>
        <w:rPr>
          <w:rFonts w:ascii="Arial" w:hAnsi="Arial" w:cs="Arial"/>
        </w:rPr>
        <w:t>the best</w:t>
      </w:r>
      <w:r w:rsidRPr="002E2439">
        <w:rPr>
          <w:rFonts w:ascii="Arial" w:hAnsi="Arial" w:cs="Arial"/>
        </w:rPr>
        <w:t xml:space="preserve"> results, therefore, details and thought out questions will be required in order to properly undertake an investigation. </w:t>
      </w:r>
      <w:r>
        <w:rPr>
          <w:rFonts w:ascii="Arial" w:hAnsi="Arial" w:cs="Arial"/>
        </w:rPr>
        <w:t>Conversely, an interviewer should avoid closed questions providing a “yes” or “no” answer.</w:t>
      </w:r>
    </w:p>
    <w:p w:rsidR="002F4AAA" w:rsidRDefault="002F4AAA" w:rsidP="00B35AA5">
      <w:pPr>
        <w:jc w:val="both"/>
        <w:rPr>
          <w:rFonts w:ascii="Arial" w:hAnsi="Arial" w:cs="Arial"/>
        </w:rPr>
      </w:pPr>
      <w:r w:rsidRPr="002F4AAA">
        <w:rPr>
          <w:rFonts w:ascii="Arial" w:hAnsi="Arial" w:cs="Arial"/>
        </w:rPr>
        <w:t>It is important to understand the basic concepts of accountancy and finance in order to reduce the language barrier between the interviewer and the interviewee</w:t>
      </w:r>
      <w:r w:rsidRPr="002F4AAA">
        <w:rPr>
          <w:rStyle w:val="FootnoteReference"/>
          <w:rFonts w:ascii="Arial" w:hAnsi="Arial" w:cs="Arial"/>
        </w:rPr>
        <w:footnoteReference w:id="2"/>
      </w:r>
      <w:r w:rsidRPr="002F4AAA">
        <w:rPr>
          <w:rFonts w:ascii="Arial" w:hAnsi="Arial" w:cs="Arial"/>
        </w:rPr>
        <w:t xml:space="preserve">. </w:t>
      </w:r>
      <w:r w:rsidR="002E2439">
        <w:rPr>
          <w:rFonts w:ascii="Arial" w:hAnsi="Arial" w:cs="Arial"/>
        </w:rPr>
        <w:t xml:space="preserve">If the interviewer does not understand the world in which the sophisticated victim operates they are unlikely to gain their trust or be able to effectively ask the questions which will allow the investigation to be properly undertaken. </w:t>
      </w:r>
      <w:r w:rsidR="00B35AA5">
        <w:rPr>
          <w:rFonts w:ascii="Arial" w:hAnsi="Arial" w:cs="Arial"/>
        </w:rPr>
        <w:t>Also, the interviewer will not be able to obtain the information they need from the victim in order to properly plan the investigation.</w:t>
      </w:r>
    </w:p>
    <w:p w:rsidR="002F4AAA" w:rsidRPr="002F4AAA" w:rsidRDefault="002F4AAA" w:rsidP="00B35AA5">
      <w:pPr>
        <w:jc w:val="both"/>
        <w:rPr>
          <w:rFonts w:ascii="Arial" w:hAnsi="Arial" w:cs="Arial"/>
        </w:rPr>
      </w:pPr>
    </w:p>
    <w:sectPr w:rsidR="002F4AAA" w:rsidRPr="002F4AAA" w:rsidSect="00564AE9">
      <w:headerReference w:type="default" r:id="rId10"/>
      <w:pgSz w:w="11906" w:h="16838"/>
      <w:pgMar w:top="1134" w:right="1440" w:bottom="1440" w:left="1440" w:header="709" w:footer="709" w:gutter="0"/>
      <w:paperSrc w:first="260" w:other="26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36C" w:rsidRDefault="00FC536C" w:rsidP="00FC536C">
      <w:pPr>
        <w:spacing w:after="0" w:line="240" w:lineRule="auto"/>
      </w:pPr>
      <w:r>
        <w:separator/>
      </w:r>
    </w:p>
  </w:endnote>
  <w:endnote w:type="continuationSeparator" w:id="0">
    <w:p w:rsidR="00FC536C" w:rsidRDefault="00FC536C" w:rsidP="00FC5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36C" w:rsidRDefault="00FC536C" w:rsidP="00FC536C">
      <w:pPr>
        <w:spacing w:after="0" w:line="240" w:lineRule="auto"/>
      </w:pPr>
      <w:r>
        <w:separator/>
      </w:r>
    </w:p>
  </w:footnote>
  <w:footnote w:type="continuationSeparator" w:id="0">
    <w:p w:rsidR="00FC536C" w:rsidRDefault="00FC536C" w:rsidP="00FC536C">
      <w:pPr>
        <w:spacing w:after="0" w:line="240" w:lineRule="auto"/>
      </w:pPr>
      <w:r>
        <w:continuationSeparator/>
      </w:r>
    </w:p>
  </w:footnote>
  <w:footnote w:id="1">
    <w:p w:rsidR="008B5F21" w:rsidRDefault="008B5F21">
      <w:pPr>
        <w:pStyle w:val="FootnoteText"/>
      </w:pPr>
      <w:r>
        <w:rPr>
          <w:rStyle w:val="FootnoteReference"/>
        </w:rPr>
        <w:footnoteRef/>
      </w:r>
      <w:r>
        <w:t xml:space="preserve"> </w:t>
      </w:r>
      <w:r w:rsidRPr="008B5F21">
        <w:t>https://i-sight.com/resources/ebook-how-to-detect-deception-in-investigation-interviews-body-language/</w:t>
      </w:r>
    </w:p>
  </w:footnote>
  <w:footnote w:id="2">
    <w:p w:rsidR="002F4AAA" w:rsidRDefault="002F4AAA">
      <w:pPr>
        <w:pStyle w:val="FootnoteText"/>
      </w:pPr>
      <w:r>
        <w:rPr>
          <w:rStyle w:val="FootnoteReference"/>
        </w:rPr>
        <w:footnoteRef/>
      </w:r>
      <w:r>
        <w:t xml:space="preserve">P.164 </w:t>
      </w:r>
      <w:r w:rsidRPr="002F4AAA">
        <w:t>Silverstone, H., Sheetz, M. (2006) Forensic Accounting and Fraud Investigation for Non-Experts, 2nd 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6C" w:rsidRDefault="00FC536C">
    <w:pPr>
      <w:pStyle w:val="Header"/>
    </w:pPr>
    <w:r>
      <w:ptab w:relativeTo="margin" w:alignment="right" w:leader="none"/>
    </w:r>
    <w:r>
      <w:t>DAVID PHILLIPS</w:t>
    </w:r>
  </w:p>
  <w:p w:rsidR="00FC536C" w:rsidRDefault="00FC536C" w:rsidP="00FC536C">
    <w:pPr>
      <w:pStyle w:val="Header"/>
      <w:jc w:val="right"/>
    </w:pPr>
    <w:r>
      <w:t>16901</w:t>
    </w:r>
  </w:p>
  <w:p w:rsidR="00FC536C" w:rsidRDefault="008B09B6" w:rsidP="00FC536C">
    <w:pPr>
      <w:pStyle w:val="Header"/>
      <w:jc w:val="right"/>
    </w:pPr>
    <w:r>
      <w:t xml:space="preserve">Assignment </w:t>
    </w:r>
    <w:r w:rsidR="002F0440">
      <w:t>7</w:t>
    </w:r>
  </w:p>
  <w:p w:rsidR="00FC536C" w:rsidRDefault="00FC536C" w:rsidP="00FC536C">
    <w:pPr>
      <w:pStyle w:val="Header"/>
      <w:jc w:val="right"/>
    </w:pPr>
    <w:r w:rsidRPr="00FC536C">
      <w:t>Diploma in Forensic Accounting</w:t>
    </w:r>
  </w:p>
  <w:p w:rsidR="00FC536C" w:rsidRDefault="00FC536C" w:rsidP="00FC536C">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65C0C"/>
    <w:multiLevelType w:val="hybridMultilevel"/>
    <w:tmpl w:val="3C107E4C"/>
    <w:lvl w:ilvl="0" w:tplc="247C04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C64909"/>
    <w:multiLevelType w:val="hybridMultilevel"/>
    <w:tmpl w:val="468615C4"/>
    <w:lvl w:ilvl="0" w:tplc="2E4A18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83066C"/>
    <w:multiLevelType w:val="hybridMultilevel"/>
    <w:tmpl w:val="DD8E1B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F75A29"/>
    <w:multiLevelType w:val="hybridMultilevel"/>
    <w:tmpl w:val="B9A47E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A51A7"/>
    <w:multiLevelType w:val="hybridMultilevel"/>
    <w:tmpl w:val="3744AC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B31F8E"/>
    <w:multiLevelType w:val="hybridMultilevel"/>
    <w:tmpl w:val="1C9A8EE2"/>
    <w:lvl w:ilvl="0" w:tplc="2C5C4D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3437D5"/>
    <w:multiLevelType w:val="hybridMultilevel"/>
    <w:tmpl w:val="3312B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C03AD3"/>
    <w:multiLevelType w:val="hybridMultilevel"/>
    <w:tmpl w:val="C67037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3D0B20"/>
    <w:multiLevelType w:val="hybridMultilevel"/>
    <w:tmpl w:val="F4B090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F1430A"/>
    <w:multiLevelType w:val="hybridMultilevel"/>
    <w:tmpl w:val="2496F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FB5111"/>
    <w:multiLevelType w:val="hybridMultilevel"/>
    <w:tmpl w:val="FF9239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2E5C59"/>
    <w:multiLevelType w:val="hybridMultilevel"/>
    <w:tmpl w:val="941442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9C7265"/>
    <w:multiLevelType w:val="multilevel"/>
    <w:tmpl w:val="970E8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7B4788"/>
    <w:multiLevelType w:val="hybridMultilevel"/>
    <w:tmpl w:val="151056EE"/>
    <w:lvl w:ilvl="0" w:tplc="E3A024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8B6CD7"/>
    <w:multiLevelType w:val="hybridMultilevel"/>
    <w:tmpl w:val="151055A2"/>
    <w:lvl w:ilvl="0" w:tplc="32B82E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4F3EDA"/>
    <w:multiLevelType w:val="hybridMultilevel"/>
    <w:tmpl w:val="6C16F6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F64240"/>
    <w:multiLevelType w:val="hybridMultilevel"/>
    <w:tmpl w:val="5C62B916"/>
    <w:lvl w:ilvl="0" w:tplc="530EB126">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616404"/>
    <w:multiLevelType w:val="multilevel"/>
    <w:tmpl w:val="92207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7F370F"/>
    <w:multiLevelType w:val="hybridMultilevel"/>
    <w:tmpl w:val="C8EEE3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E6276B"/>
    <w:multiLevelType w:val="hybridMultilevel"/>
    <w:tmpl w:val="4504F6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4733AF"/>
    <w:multiLevelType w:val="hybridMultilevel"/>
    <w:tmpl w:val="2F5C5D24"/>
    <w:lvl w:ilvl="0" w:tplc="6B7272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19"/>
  </w:num>
  <w:num w:numId="4">
    <w:abstractNumId w:val="3"/>
  </w:num>
  <w:num w:numId="5">
    <w:abstractNumId w:val="4"/>
  </w:num>
  <w:num w:numId="6">
    <w:abstractNumId w:val="7"/>
  </w:num>
  <w:num w:numId="7">
    <w:abstractNumId w:val="20"/>
  </w:num>
  <w:num w:numId="8">
    <w:abstractNumId w:val="5"/>
  </w:num>
  <w:num w:numId="9">
    <w:abstractNumId w:val="16"/>
  </w:num>
  <w:num w:numId="10">
    <w:abstractNumId w:val="12"/>
  </w:num>
  <w:num w:numId="11">
    <w:abstractNumId w:val="6"/>
  </w:num>
  <w:num w:numId="12">
    <w:abstractNumId w:val="8"/>
  </w:num>
  <w:num w:numId="13">
    <w:abstractNumId w:val="1"/>
  </w:num>
  <w:num w:numId="14">
    <w:abstractNumId w:val="15"/>
  </w:num>
  <w:num w:numId="15">
    <w:abstractNumId w:val="14"/>
  </w:num>
  <w:num w:numId="16">
    <w:abstractNumId w:val="0"/>
  </w:num>
  <w:num w:numId="17">
    <w:abstractNumId w:val="18"/>
  </w:num>
  <w:num w:numId="18">
    <w:abstractNumId w:val="9"/>
  </w:num>
  <w:num w:numId="19">
    <w:abstractNumId w:val="10"/>
  </w:num>
  <w:num w:numId="20">
    <w:abstractNumId w:val="1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8C"/>
    <w:rsid w:val="0003028D"/>
    <w:rsid w:val="00044892"/>
    <w:rsid w:val="00050361"/>
    <w:rsid w:val="000751D3"/>
    <w:rsid w:val="00076C54"/>
    <w:rsid w:val="000A75EF"/>
    <w:rsid w:val="000B3F04"/>
    <w:rsid w:val="000D1D1A"/>
    <w:rsid w:val="000E0975"/>
    <w:rsid w:val="000F6F8F"/>
    <w:rsid w:val="000F78FE"/>
    <w:rsid w:val="0011618C"/>
    <w:rsid w:val="00140770"/>
    <w:rsid w:val="00166FCF"/>
    <w:rsid w:val="0017053C"/>
    <w:rsid w:val="001A6293"/>
    <w:rsid w:val="001B7E3B"/>
    <w:rsid w:val="0020046B"/>
    <w:rsid w:val="00217BE5"/>
    <w:rsid w:val="002274A8"/>
    <w:rsid w:val="00227F5A"/>
    <w:rsid w:val="002622F6"/>
    <w:rsid w:val="002961B9"/>
    <w:rsid w:val="002B4106"/>
    <w:rsid w:val="002B757A"/>
    <w:rsid w:val="002E2439"/>
    <w:rsid w:val="002E68E9"/>
    <w:rsid w:val="002F0440"/>
    <w:rsid w:val="002F4AAA"/>
    <w:rsid w:val="002F74F7"/>
    <w:rsid w:val="003077D6"/>
    <w:rsid w:val="00315C91"/>
    <w:rsid w:val="00373B99"/>
    <w:rsid w:val="00380260"/>
    <w:rsid w:val="003C75EA"/>
    <w:rsid w:val="003F6FB2"/>
    <w:rsid w:val="00405804"/>
    <w:rsid w:val="00405C5A"/>
    <w:rsid w:val="004213DD"/>
    <w:rsid w:val="004234C6"/>
    <w:rsid w:val="00430FB5"/>
    <w:rsid w:val="004E7599"/>
    <w:rsid w:val="00564AE9"/>
    <w:rsid w:val="005B3072"/>
    <w:rsid w:val="005B404C"/>
    <w:rsid w:val="005B52E6"/>
    <w:rsid w:val="005C73D4"/>
    <w:rsid w:val="005D3819"/>
    <w:rsid w:val="005E3BBB"/>
    <w:rsid w:val="005E7EAA"/>
    <w:rsid w:val="00607C0E"/>
    <w:rsid w:val="00630EA3"/>
    <w:rsid w:val="00660BE0"/>
    <w:rsid w:val="00693904"/>
    <w:rsid w:val="006E0A8C"/>
    <w:rsid w:val="006F14B3"/>
    <w:rsid w:val="006F3B6D"/>
    <w:rsid w:val="006F6C88"/>
    <w:rsid w:val="00714417"/>
    <w:rsid w:val="007973E0"/>
    <w:rsid w:val="007A221D"/>
    <w:rsid w:val="007A26F9"/>
    <w:rsid w:val="007B3DB1"/>
    <w:rsid w:val="007E3F4B"/>
    <w:rsid w:val="007E7DBA"/>
    <w:rsid w:val="008120CE"/>
    <w:rsid w:val="0082697D"/>
    <w:rsid w:val="00890DC7"/>
    <w:rsid w:val="008B09B6"/>
    <w:rsid w:val="008B5F21"/>
    <w:rsid w:val="008C188D"/>
    <w:rsid w:val="00907683"/>
    <w:rsid w:val="009166F5"/>
    <w:rsid w:val="00922349"/>
    <w:rsid w:val="00941447"/>
    <w:rsid w:val="00974F57"/>
    <w:rsid w:val="009B048F"/>
    <w:rsid w:val="00B3300C"/>
    <w:rsid w:val="00B35AA5"/>
    <w:rsid w:val="00B538D1"/>
    <w:rsid w:val="00B570CB"/>
    <w:rsid w:val="00B70D98"/>
    <w:rsid w:val="00B80C14"/>
    <w:rsid w:val="00B84A67"/>
    <w:rsid w:val="00BE746C"/>
    <w:rsid w:val="00C157B5"/>
    <w:rsid w:val="00C26D10"/>
    <w:rsid w:val="00C32350"/>
    <w:rsid w:val="00C56B82"/>
    <w:rsid w:val="00C612B7"/>
    <w:rsid w:val="00C83B4F"/>
    <w:rsid w:val="00C8516E"/>
    <w:rsid w:val="00CA1742"/>
    <w:rsid w:val="00CA660B"/>
    <w:rsid w:val="00D06209"/>
    <w:rsid w:val="00D17007"/>
    <w:rsid w:val="00D240BD"/>
    <w:rsid w:val="00D44947"/>
    <w:rsid w:val="00D6782C"/>
    <w:rsid w:val="00DC5D46"/>
    <w:rsid w:val="00DF3812"/>
    <w:rsid w:val="00E24FDA"/>
    <w:rsid w:val="00E257FF"/>
    <w:rsid w:val="00E544E3"/>
    <w:rsid w:val="00E92D2D"/>
    <w:rsid w:val="00EA21BB"/>
    <w:rsid w:val="00EA2A82"/>
    <w:rsid w:val="00EE26AC"/>
    <w:rsid w:val="00EF5D27"/>
    <w:rsid w:val="00F11BA7"/>
    <w:rsid w:val="00F24C55"/>
    <w:rsid w:val="00F62F29"/>
    <w:rsid w:val="00F649D7"/>
    <w:rsid w:val="00FB5C33"/>
    <w:rsid w:val="00FC536C"/>
    <w:rsid w:val="00FD55EE"/>
    <w:rsid w:val="00FE3CCD"/>
    <w:rsid w:val="00FF5A98"/>
    <w:rsid w:val="00FF5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20E25-6F3F-4FE7-81D9-309F23C66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07C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0F78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A8C"/>
    <w:pPr>
      <w:ind w:left="720"/>
      <w:contextualSpacing/>
    </w:pPr>
  </w:style>
  <w:style w:type="paragraph" w:styleId="Header">
    <w:name w:val="header"/>
    <w:basedOn w:val="Normal"/>
    <w:link w:val="HeaderChar"/>
    <w:uiPriority w:val="99"/>
    <w:unhideWhenUsed/>
    <w:rsid w:val="00FC53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36C"/>
  </w:style>
  <w:style w:type="paragraph" w:styleId="Footer">
    <w:name w:val="footer"/>
    <w:basedOn w:val="Normal"/>
    <w:link w:val="FooterChar"/>
    <w:uiPriority w:val="99"/>
    <w:unhideWhenUsed/>
    <w:rsid w:val="00FC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36C"/>
  </w:style>
  <w:style w:type="paragraph" w:customStyle="1" w:styleId="Default">
    <w:name w:val="Default"/>
    <w:rsid w:val="004234C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234C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0F78FE"/>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D6782C"/>
    <w:rPr>
      <w:color w:val="0563C1" w:themeColor="hyperlink"/>
      <w:u w:val="single"/>
    </w:rPr>
  </w:style>
  <w:style w:type="paragraph" w:styleId="FootnoteText">
    <w:name w:val="footnote text"/>
    <w:basedOn w:val="Normal"/>
    <w:link w:val="FootnoteTextChar"/>
    <w:uiPriority w:val="99"/>
    <w:semiHidden/>
    <w:unhideWhenUsed/>
    <w:rsid w:val="001A62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6293"/>
    <w:rPr>
      <w:sz w:val="20"/>
      <w:szCs w:val="20"/>
    </w:rPr>
  </w:style>
  <w:style w:type="character" w:styleId="FootnoteReference">
    <w:name w:val="footnote reference"/>
    <w:basedOn w:val="DefaultParagraphFont"/>
    <w:uiPriority w:val="99"/>
    <w:semiHidden/>
    <w:unhideWhenUsed/>
    <w:rsid w:val="001A6293"/>
    <w:rPr>
      <w:vertAlign w:val="superscript"/>
    </w:rPr>
  </w:style>
  <w:style w:type="character" w:customStyle="1" w:styleId="Heading2Char">
    <w:name w:val="Heading 2 Char"/>
    <w:basedOn w:val="DefaultParagraphFont"/>
    <w:link w:val="Heading2"/>
    <w:uiPriority w:val="9"/>
    <w:semiHidden/>
    <w:rsid w:val="00607C0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142461">
      <w:bodyDiv w:val="1"/>
      <w:marLeft w:val="0"/>
      <w:marRight w:val="0"/>
      <w:marTop w:val="0"/>
      <w:marBottom w:val="0"/>
      <w:divBdr>
        <w:top w:val="none" w:sz="0" w:space="0" w:color="auto"/>
        <w:left w:val="none" w:sz="0" w:space="0" w:color="auto"/>
        <w:bottom w:val="none" w:sz="0" w:space="0" w:color="auto"/>
        <w:right w:val="none" w:sz="0" w:space="0" w:color="auto"/>
      </w:divBdr>
    </w:div>
    <w:div w:id="787042537">
      <w:bodyDiv w:val="1"/>
      <w:marLeft w:val="0"/>
      <w:marRight w:val="0"/>
      <w:marTop w:val="0"/>
      <w:marBottom w:val="0"/>
      <w:divBdr>
        <w:top w:val="none" w:sz="0" w:space="0" w:color="auto"/>
        <w:left w:val="none" w:sz="0" w:space="0" w:color="auto"/>
        <w:bottom w:val="none" w:sz="0" w:space="0" w:color="auto"/>
        <w:right w:val="none" w:sz="0" w:space="0" w:color="auto"/>
      </w:divBdr>
    </w:div>
    <w:div w:id="1992978353">
      <w:bodyDiv w:val="1"/>
      <w:marLeft w:val="0"/>
      <w:marRight w:val="0"/>
      <w:marTop w:val="0"/>
      <w:marBottom w:val="0"/>
      <w:divBdr>
        <w:top w:val="none" w:sz="0" w:space="0" w:color="auto"/>
        <w:left w:val="none" w:sz="0" w:space="0" w:color="auto"/>
        <w:bottom w:val="none" w:sz="0" w:space="0" w:color="auto"/>
        <w:right w:val="none" w:sz="0" w:space="0" w:color="auto"/>
      </w:divBdr>
    </w:div>
    <w:div w:id="212920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4766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59EC5-41F7-4363-AB5A-22785458C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1898</Words>
  <Characters>10821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SM&amp;B</Company>
  <LinksUpToDate>false</LinksUpToDate>
  <CharactersWithSpaces>12694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Phillips</dc:creator>
  <cp:keywords/>
  <dc:description/>
  <cp:lastModifiedBy>David Phillips</cp:lastModifiedBy>
  <cp:revision>3</cp:revision>
  <dcterms:created xsi:type="dcterms:W3CDTF">2018-05-20T09:26:00Z</dcterms:created>
  <dcterms:modified xsi:type="dcterms:W3CDTF">2018-05-20T09:27:00Z</dcterms:modified>
</cp:coreProperties>
</file>