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2D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2D12">
            <w:pPr>
              <w:pStyle w:val="Default"/>
              <w:rPr>
                <w:rFonts w:asciiTheme="minorHAnsi" w:hAnsiTheme="minorHAnsi"/>
              </w:rPr>
            </w:pPr>
            <w:r>
              <w:rPr>
                <w:rFonts w:asciiTheme="minorHAnsi" w:hAnsiTheme="minorHAnsi"/>
              </w:rPr>
              <w:t>Chinmay Vaze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44A92">
            <w:pPr>
              <w:pStyle w:val="Default"/>
              <w:rPr>
                <w:rFonts w:asciiTheme="minorHAnsi" w:hAnsiTheme="minorHAnsi"/>
              </w:rPr>
            </w:pPr>
            <w:r>
              <w:rPr>
                <w:rFonts w:asciiTheme="minorHAnsi" w:hAnsiTheme="minorHAnsi"/>
              </w:rPr>
              <w:t>23243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92D12" w:rsidRDefault="00444A92">
            <w:pPr>
              <w:pStyle w:val="Default"/>
              <w:rPr>
                <w:rFonts w:asciiTheme="minorHAnsi" w:hAnsiTheme="minorHAnsi"/>
                <w:color w:val="auto"/>
              </w:rPr>
            </w:pPr>
            <w:r>
              <w:rPr>
                <w:rFonts w:ascii="Verdana" w:hAnsi="Verdana" w:cs="Verdana"/>
                <w:color w:val="auto"/>
                <w:sz w:val="20"/>
                <w:szCs w:val="20"/>
              </w:rPr>
              <w:t>DIPLOMA</w:t>
            </w:r>
            <w:r w:rsidR="00492D12" w:rsidRPr="00492D12">
              <w:rPr>
                <w:rFonts w:ascii="Verdana" w:hAnsi="Verdana" w:cs="Verdana"/>
                <w:color w:val="auto"/>
                <w:sz w:val="20"/>
                <w:szCs w:val="20"/>
              </w:rPr>
              <w:t xml:space="preserve"> IN ENVIRONMENTAL </w:t>
            </w:r>
            <w:r>
              <w:rPr>
                <w:rFonts w:ascii="Verdana" w:hAnsi="Verdana" w:cs="Verdana"/>
                <w:color w:val="auto"/>
                <w:sz w:val="20"/>
                <w:szCs w:val="20"/>
              </w:rPr>
              <w:t>MANAGEMENT (Level 4</w:t>
            </w:r>
            <w:r w:rsidR="00492D12" w:rsidRPr="00492D12">
              <w:rPr>
                <w:rFonts w:ascii="Verdana" w:hAnsi="Verdana" w:cs="Verdana"/>
                <w:color w:val="auto"/>
                <w:sz w:val="20"/>
                <w:szCs w:val="20"/>
              </w:rPr>
              <w: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4A92">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92D12" w:rsidRDefault="00492D12" w:rsidP="00492D12">
            <w:pPr>
              <w:pStyle w:val="ListParagraph"/>
              <w:numPr>
                <w:ilvl w:val="0"/>
                <w:numId w:val="2"/>
              </w:numPr>
              <w:autoSpaceDE w:val="0"/>
              <w:autoSpaceDN w:val="0"/>
              <w:adjustRightInd w:val="0"/>
              <w:jc w:val="both"/>
              <w:rPr>
                <w:rFonts w:ascii="Arial" w:hAnsi="Arial" w:cs="Arial"/>
                <w:color w:val="548DD4" w:themeColor="text2" w:themeTint="99"/>
                <w:sz w:val="24"/>
                <w:szCs w:val="24"/>
              </w:rPr>
            </w:pPr>
            <w:r>
              <w:rPr>
                <w:rFonts w:ascii="Arial" w:hAnsi="Arial" w:cs="Arial"/>
                <w:color w:val="548DD4" w:themeColor="text2" w:themeTint="99"/>
                <w:sz w:val="24"/>
                <w:szCs w:val="24"/>
              </w:rPr>
              <w:t xml:space="preserve">What is the environmental regulatory framework in the UK? </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Answer: </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A significant proportion of environmental legislation in England and Wales originates from EU law, which is directly applicable or implemented through national legislation. </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The principal environmental regimes are:</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Environmental Permitting Regime (EPR), combining the pollution prevention and control (PPC) regime and waste management licensing and industrial emissions.</w:t>
            </w:r>
          </w:p>
          <w:p w:rsidR="00492D12" w:rsidRDefault="00492D12" w:rsidP="00492D12">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Water</w:t>
            </w:r>
          </w:p>
          <w:p w:rsidR="00492D12" w:rsidRDefault="00492D12" w:rsidP="00492D12">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Waste</w:t>
            </w:r>
          </w:p>
          <w:p w:rsidR="00492D12" w:rsidRDefault="00492D12" w:rsidP="00492D12">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Contaminated land</w:t>
            </w:r>
          </w:p>
          <w:p w:rsidR="00492D12" w:rsidRDefault="00492D12" w:rsidP="00492D12">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Conservation of nature, wildlife and habitats.</w:t>
            </w:r>
          </w:p>
          <w:p w:rsidR="00492D12" w:rsidRDefault="00492D12" w:rsidP="00492D12">
            <w:pPr>
              <w:pStyle w:val="ListParagraph"/>
              <w:numPr>
                <w:ilvl w:val="0"/>
                <w:numId w:val="3"/>
              </w:numPr>
              <w:autoSpaceDE w:val="0"/>
              <w:autoSpaceDN w:val="0"/>
              <w:adjustRightInd w:val="0"/>
              <w:jc w:val="both"/>
              <w:rPr>
                <w:rFonts w:ascii="Arial" w:hAnsi="Arial" w:cs="Arial"/>
                <w:color w:val="000000"/>
                <w:sz w:val="24"/>
                <w:szCs w:val="24"/>
              </w:rPr>
            </w:pPr>
            <w:r>
              <w:rPr>
                <w:rFonts w:ascii="Arial" w:hAnsi="Arial" w:cs="Arial"/>
                <w:color w:val="000000"/>
                <w:sz w:val="24"/>
                <w:szCs w:val="24"/>
              </w:rPr>
              <w:t>Environmental impact assessments (EIAs)</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Health and safety and planning matters are regulated separately from environmental matters, but are interlinked. For example, the clean-up of contaminated land is generally required under the planning regime (during redevelopment) rather than the contaminated land regime.</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The UK government passes legislation for England, and on some matters in Wales. For all remaining matters in Wales, the National Assembly for Wales has powers to legislate. In England the main body responsible for developing environmental policy and drafting environmental legislation is the Department for Environment, Food and Rural Affairs (DEFRA) although the Department of Energy and Climate Change (DECC) generally handles issues relating to climate change . Apart from where the UK government has competence, the Welsh government develops environmental policy for Wales.</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Environment Agency (EA) (in Wales, Natural Resources Wales (NRW) is the main body responsible for issuing permits and enforcement, although in some cases </w:t>
            </w:r>
            <w:r>
              <w:rPr>
                <w:rFonts w:ascii="Arial" w:hAnsi="Arial" w:cs="Arial"/>
                <w:color w:val="000000"/>
                <w:sz w:val="24"/>
                <w:szCs w:val="24"/>
              </w:rPr>
              <w:lastRenderedPageBreak/>
              <w:t>the local authority (LA) carries out these functions.</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Environmental liability can arise under:</w:t>
            </w:r>
          </w:p>
          <w:p w:rsidR="00492D12" w:rsidRDefault="00492D12" w:rsidP="00492D12">
            <w:pPr>
              <w:pStyle w:val="ListParagraph"/>
              <w:numPr>
                <w:ilvl w:val="0"/>
                <w:numId w:val="4"/>
              </w:numPr>
              <w:autoSpaceDE w:val="0"/>
              <w:autoSpaceDN w:val="0"/>
              <w:adjustRightInd w:val="0"/>
              <w:jc w:val="both"/>
              <w:rPr>
                <w:rFonts w:ascii="Arial" w:hAnsi="Arial" w:cs="Arial"/>
                <w:color w:val="548DD4" w:themeColor="text2" w:themeTint="99"/>
                <w:sz w:val="24"/>
                <w:szCs w:val="24"/>
              </w:rPr>
            </w:pPr>
            <w:r>
              <w:rPr>
                <w:rFonts w:ascii="Arial" w:hAnsi="Arial" w:cs="Arial"/>
                <w:color w:val="548DD4" w:themeColor="text2" w:themeTint="99"/>
                <w:sz w:val="24"/>
                <w:szCs w:val="24"/>
              </w:rPr>
              <w:t>Criminal law:</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The sanction for breach of most environmental laws is prosecution of an individual or company by the relevant regulator in the criminal courts. The maximum penalties are usually as follows:</w:t>
            </w:r>
          </w:p>
          <w:p w:rsidR="00492D12" w:rsidRDefault="00492D12" w:rsidP="00492D12">
            <w:pPr>
              <w:pStyle w:val="ListParagraph"/>
              <w:numPr>
                <w:ilvl w:val="1"/>
                <w:numId w:val="4"/>
              </w:numPr>
              <w:autoSpaceDE w:val="0"/>
              <w:autoSpaceDN w:val="0"/>
              <w:adjustRightInd w:val="0"/>
              <w:jc w:val="both"/>
              <w:rPr>
                <w:rFonts w:ascii="Arial" w:hAnsi="Arial" w:cs="Arial"/>
                <w:color w:val="000000"/>
                <w:sz w:val="24"/>
                <w:szCs w:val="24"/>
              </w:rPr>
            </w:pPr>
            <w:r>
              <w:rPr>
                <w:rFonts w:ascii="Arial" w:hAnsi="Arial" w:cs="Arial"/>
                <w:color w:val="000000"/>
                <w:sz w:val="24"/>
                <w:szCs w:val="24"/>
              </w:rPr>
              <w:t>Lower courts: GB£50,000 and/or 12 months' imprisonment. Unlimited fine for offences committed after 12 March 2015.</w:t>
            </w:r>
          </w:p>
          <w:p w:rsidR="00492D12" w:rsidRDefault="00492D12" w:rsidP="00492D12">
            <w:pPr>
              <w:pStyle w:val="ListParagraph"/>
              <w:numPr>
                <w:ilvl w:val="1"/>
                <w:numId w:val="4"/>
              </w:numPr>
              <w:autoSpaceDE w:val="0"/>
              <w:autoSpaceDN w:val="0"/>
              <w:adjustRightInd w:val="0"/>
              <w:jc w:val="both"/>
              <w:rPr>
                <w:rFonts w:ascii="Arial" w:hAnsi="Arial" w:cs="Arial"/>
                <w:color w:val="000000"/>
                <w:sz w:val="24"/>
                <w:szCs w:val="24"/>
              </w:rPr>
            </w:pPr>
            <w:r>
              <w:rPr>
                <w:rFonts w:ascii="Arial" w:hAnsi="Arial" w:cs="Arial"/>
                <w:color w:val="000000"/>
                <w:sz w:val="24"/>
                <w:szCs w:val="24"/>
              </w:rPr>
              <w:t>Higher courts: unlimited fine and/or five years' imprisonment.</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Company directors and officers can be prosecuted if the criminal offence was committed with their consent or connivance, or was attributable to their neglect.</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The Legal Aid, Sentencing and Punishment of Offenders Act 2012 </w:t>
            </w:r>
            <w:r w:rsidR="00280915">
              <w:rPr>
                <w:rFonts w:ascii="Arial" w:hAnsi="Arial" w:cs="Arial"/>
                <w:color w:val="000000"/>
                <w:sz w:val="24"/>
                <w:szCs w:val="24"/>
              </w:rPr>
              <w:t>were</w:t>
            </w:r>
            <w:r>
              <w:rPr>
                <w:rFonts w:ascii="Arial" w:hAnsi="Arial" w:cs="Arial"/>
                <w:color w:val="000000"/>
                <w:sz w:val="24"/>
                <w:szCs w:val="24"/>
              </w:rPr>
              <w:t xml:space="preserve"> passed in May 2012. It provides that wherever a statute or common law offence could result in a fine of GB£5,000 or more (the current amount established as level five on the standard scale), magistrates can now apply a fine of any amount (that is, unlimited).</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In July 2014, the Independent Sentencing Council issued guidelines for sentencing those found guilty of environmental crimes. The guidelines introduce a 12 step sentencing process for </w:t>
            </w:r>
            <w:r w:rsidR="00280915">
              <w:rPr>
                <w:rFonts w:ascii="Arial" w:hAnsi="Arial" w:cs="Arial"/>
                <w:color w:val="000000"/>
                <w:sz w:val="24"/>
                <w:szCs w:val="24"/>
              </w:rPr>
              <w:t>organizations</w:t>
            </w:r>
            <w:r>
              <w:rPr>
                <w:rFonts w:ascii="Arial" w:hAnsi="Arial" w:cs="Arial"/>
                <w:color w:val="000000"/>
                <w:sz w:val="24"/>
                <w:szCs w:val="24"/>
              </w:rPr>
              <w:t xml:space="preserve"> intended to reduce inconsistencies in sentencing and ensure that sentences match the seriousness of the offence, the harm caused, </w:t>
            </w:r>
            <w:r w:rsidR="00280915">
              <w:rPr>
                <w:rFonts w:ascii="Arial" w:hAnsi="Arial" w:cs="Arial"/>
                <w:color w:val="000000"/>
                <w:sz w:val="24"/>
                <w:szCs w:val="24"/>
              </w:rPr>
              <w:t>and the</w:t>
            </w:r>
            <w:r>
              <w:rPr>
                <w:rFonts w:ascii="Arial" w:hAnsi="Arial" w:cs="Arial"/>
                <w:color w:val="000000"/>
                <w:sz w:val="24"/>
                <w:szCs w:val="24"/>
              </w:rPr>
              <w:t xml:space="preserve"> culpability and will seek to remove any gain </w:t>
            </w:r>
            <w:r w:rsidR="00280915">
              <w:rPr>
                <w:rFonts w:ascii="Arial" w:hAnsi="Arial" w:cs="Arial"/>
                <w:color w:val="000000"/>
                <w:sz w:val="24"/>
                <w:szCs w:val="24"/>
              </w:rPr>
              <w:t>realized</w:t>
            </w:r>
            <w:r>
              <w:rPr>
                <w:rFonts w:ascii="Arial" w:hAnsi="Arial" w:cs="Arial"/>
                <w:color w:val="000000"/>
                <w:sz w:val="24"/>
                <w:szCs w:val="24"/>
              </w:rPr>
              <w:t xml:space="preserve"> through commission of the offence. In particular, "starting points" for sentences will distinguish between:</w:t>
            </w:r>
          </w:p>
          <w:p w:rsidR="00492D12" w:rsidRDefault="00492D12" w:rsidP="00492D12">
            <w:pPr>
              <w:pStyle w:val="ListParagraph"/>
              <w:numPr>
                <w:ilvl w:val="1"/>
                <w:numId w:val="4"/>
              </w:numPr>
              <w:autoSpaceDE w:val="0"/>
              <w:autoSpaceDN w:val="0"/>
              <w:adjustRightInd w:val="0"/>
              <w:jc w:val="both"/>
              <w:rPr>
                <w:rFonts w:ascii="Arial" w:hAnsi="Arial" w:cs="Arial"/>
                <w:color w:val="000000"/>
                <w:sz w:val="24"/>
                <w:szCs w:val="24"/>
              </w:rPr>
            </w:pPr>
            <w:r>
              <w:rPr>
                <w:rFonts w:ascii="Arial" w:hAnsi="Arial" w:cs="Arial"/>
                <w:color w:val="000000"/>
                <w:sz w:val="24"/>
                <w:szCs w:val="24"/>
              </w:rPr>
              <w:t>Micro companies (annual turnover up to GB£2 million).</w:t>
            </w:r>
          </w:p>
          <w:p w:rsidR="00492D12" w:rsidRDefault="00492D12" w:rsidP="00492D12">
            <w:pPr>
              <w:pStyle w:val="ListParagraph"/>
              <w:numPr>
                <w:ilvl w:val="1"/>
                <w:numId w:val="4"/>
              </w:numPr>
              <w:autoSpaceDE w:val="0"/>
              <w:autoSpaceDN w:val="0"/>
              <w:adjustRightInd w:val="0"/>
              <w:jc w:val="both"/>
              <w:rPr>
                <w:rFonts w:ascii="Arial" w:hAnsi="Arial" w:cs="Arial"/>
                <w:color w:val="000000"/>
                <w:sz w:val="24"/>
                <w:szCs w:val="24"/>
              </w:rPr>
            </w:pPr>
            <w:r>
              <w:rPr>
                <w:rFonts w:ascii="Arial" w:hAnsi="Arial" w:cs="Arial"/>
                <w:color w:val="000000"/>
                <w:sz w:val="24"/>
                <w:szCs w:val="24"/>
              </w:rPr>
              <w:t>Small companies (annual turnover of between GB£2 million and GB£10 million).</w:t>
            </w:r>
          </w:p>
          <w:p w:rsidR="00492D12" w:rsidRDefault="00492D12" w:rsidP="00492D12">
            <w:pPr>
              <w:pStyle w:val="ListParagraph"/>
              <w:numPr>
                <w:ilvl w:val="1"/>
                <w:numId w:val="4"/>
              </w:numPr>
              <w:autoSpaceDE w:val="0"/>
              <w:autoSpaceDN w:val="0"/>
              <w:adjustRightInd w:val="0"/>
              <w:jc w:val="both"/>
              <w:rPr>
                <w:rFonts w:ascii="Arial" w:hAnsi="Arial" w:cs="Arial"/>
                <w:color w:val="000000"/>
                <w:sz w:val="24"/>
                <w:szCs w:val="24"/>
              </w:rPr>
            </w:pPr>
            <w:r>
              <w:rPr>
                <w:rFonts w:ascii="Arial" w:hAnsi="Arial" w:cs="Arial"/>
                <w:color w:val="000000"/>
                <w:sz w:val="24"/>
                <w:szCs w:val="24"/>
              </w:rPr>
              <w:t>Medium companies (annual turnover of between GB£10million and GB£50 million).</w:t>
            </w:r>
          </w:p>
          <w:p w:rsidR="00492D12" w:rsidRDefault="00492D12" w:rsidP="00492D12">
            <w:pPr>
              <w:pStyle w:val="ListParagraph"/>
              <w:numPr>
                <w:ilvl w:val="1"/>
                <w:numId w:val="4"/>
              </w:numPr>
              <w:autoSpaceDE w:val="0"/>
              <w:autoSpaceDN w:val="0"/>
              <w:adjustRightInd w:val="0"/>
              <w:jc w:val="both"/>
              <w:rPr>
                <w:rFonts w:ascii="Arial" w:hAnsi="Arial" w:cs="Arial"/>
                <w:color w:val="000000"/>
                <w:sz w:val="24"/>
                <w:szCs w:val="24"/>
              </w:rPr>
            </w:pPr>
            <w:r>
              <w:rPr>
                <w:rFonts w:ascii="Arial" w:hAnsi="Arial" w:cs="Arial"/>
                <w:color w:val="000000"/>
                <w:sz w:val="24"/>
                <w:szCs w:val="24"/>
              </w:rPr>
              <w:t>Large companies (annual turnover of GB£50 million and over).</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pStyle w:val="ListParagraph"/>
              <w:numPr>
                <w:ilvl w:val="0"/>
                <w:numId w:val="4"/>
              </w:numPr>
              <w:autoSpaceDE w:val="0"/>
              <w:autoSpaceDN w:val="0"/>
              <w:adjustRightInd w:val="0"/>
              <w:jc w:val="both"/>
              <w:rPr>
                <w:rFonts w:ascii="Arial" w:hAnsi="Arial" w:cs="Arial"/>
                <w:color w:val="548DD4" w:themeColor="text2" w:themeTint="99"/>
                <w:sz w:val="24"/>
                <w:szCs w:val="24"/>
              </w:rPr>
            </w:pPr>
            <w:r>
              <w:rPr>
                <w:rFonts w:ascii="Arial" w:hAnsi="Arial" w:cs="Arial"/>
                <w:color w:val="548DD4" w:themeColor="text2" w:themeTint="99"/>
                <w:sz w:val="24"/>
                <w:szCs w:val="24"/>
              </w:rPr>
              <w:t>Civil law:</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sz w:val="24"/>
                <w:szCs w:val="24"/>
              </w:rPr>
              <w:t>Private persons can bring civil law claims for harm caused by environmental matters, usually under the common law of nuisance or negligence. Claims are usually for damages, but the courts can also grant an injunction.</w:t>
            </w:r>
          </w:p>
          <w:p w:rsidR="00492D12" w:rsidRDefault="00492D12" w:rsidP="00492D12">
            <w:pPr>
              <w:autoSpaceDE w:val="0"/>
              <w:autoSpaceDN w:val="0"/>
              <w:adjustRightInd w:val="0"/>
              <w:jc w:val="both"/>
              <w:rPr>
                <w:rFonts w:ascii="Arial" w:hAnsi="Arial" w:cs="Arial"/>
                <w:b/>
                <w:bCs/>
                <w:color w:val="EE7D31"/>
                <w:sz w:val="24"/>
                <w:szCs w:val="24"/>
              </w:rPr>
            </w:pPr>
          </w:p>
          <w:p w:rsidR="00492D12" w:rsidRDefault="00492D12" w:rsidP="00492D12">
            <w:pPr>
              <w:pStyle w:val="ListParagraph"/>
              <w:numPr>
                <w:ilvl w:val="0"/>
                <w:numId w:val="5"/>
              </w:numPr>
              <w:autoSpaceDE w:val="0"/>
              <w:autoSpaceDN w:val="0"/>
              <w:adjustRightInd w:val="0"/>
              <w:jc w:val="both"/>
              <w:rPr>
                <w:rFonts w:ascii="Arial" w:hAnsi="Arial" w:cs="Arial"/>
                <w:color w:val="548DD4" w:themeColor="text2" w:themeTint="99"/>
                <w:sz w:val="24"/>
                <w:szCs w:val="24"/>
              </w:rPr>
            </w:pPr>
            <w:r>
              <w:rPr>
                <w:rFonts w:ascii="Arial" w:hAnsi="Arial" w:cs="Arial"/>
                <w:color w:val="548DD4" w:themeColor="text2" w:themeTint="99"/>
                <w:sz w:val="24"/>
                <w:szCs w:val="24"/>
              </w:rPr>
              <w:t>Public or administrative law:</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Regulators can serve enforcement notices on operators requiring them to rectify breaches of environmental law. Failure to comply with enforcement notices can constitute a criminal offence. In some cases, regulators can shut down an operator's activities until the breach has been rectified.</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Third parties, including non-governmental </w:t>
            </w:r>
            <w:r w:rsidR="00280915">
              <w:rPr>
                <w:rFonts w:ascii="Arial" w:hAnsi="Arial" w:cs="Arial"/>
                <w:color w:val="000000"/>
                <w:sz w:val="24"/>
                <w:szCs w:val="24"/>
              </w:rPr>
              <w:t>organizations</w:t>
            </w:r>
            <w:r>
              <w:rPr>
                <w:rFonts w:ascii="Arial" w:hAnsi="Arial" w:cs="Arial"/>
                <w:color w:val="000000"/>
                <w:sz w:val="24"/>
                <w:szCs w:val="24"/>
              </w:rPr>
              <w:t xml:space="preserve"> (NGOs), can challenge the validity of a public authority's decision through judicial review and have an express right to request that regulators take action if either:</w:t>
            </w:r>
          </w:p>
          <w:p w:rsidR="00492D12" w:rsidRDefault="00492D12" w:rsidP="00492D12">
            <w:pPr>
              <w:pStyle w:val="ListParagraph"/>
              <w:numPr>
                <w:ilvl w:val="1"/>
                <w:numId w:val="5"/>
              </w:numPr>
              <w:autoSpaceDE w:val="0"/>
              <w:autoSpaceDN w:val="0"/>
              <w:adjustRightInd w:val="0"/>
              <w:jc w:val="both"/>
              <w:rPr>
                <w:rFonts w:ascii="Arial" w:hAnsi="Arial" w:cs="Arial"/>
                <w:color w:val="000000"/>
                <w:sz w:val="24"/>
                <w:szCs w:val="24"/>
              </w:rPr>
            </w:pPr>
            <w:r>
              <w:rPr>
                <w:rFonts w:ascii="Arial" w:hAnsi="Arial" w:cs="Arial"/>
                <w:color w:val="000000"/>
                <w:sz w:val="24"/>
                <w:szCs w:val="24"/>
              </w:rPr>
              <w:t>Environmental damage is occurring.</w:t>
            </w:r>
          </w:p>
          <w:p w:rsidR="00492D12" w:rsidRDefault="00492D12" w:rsidP="00492D12">
            <w:pPr>
              <w:pStyle w:val="ListParagraph"/>
              <w:numPr>
                <w:ilvl w:val="1"/>
                <w:numId w:val="5"/>
              </w:numPr>
              <w:autoSpaceDE w:val="0"/>
              <w:autoSpaceDN w:val="0"/>
              <w:adjustRightInd w:val="0"/>
              <w:jc w:val="both"/>
              <w:rPr>
                <w:rFonts w:ascii="Arial" w:hAnsi="Arial" w:cs="Arial"/>
                <w:color w:val="000000"/>
                <w:sz w:val="24"/>
                <w:szCs w:val="24"/>
              </w:rPr>
            </w:pPr>
            <w:r>
              <w:rPr>
                <w:rFonts w:ascii="Arial" w:hAnsi="Arial" w:cs="Arial"/>
                <w:color w:val="000000"/>
                <w:sz w:val="24"/>
                <w:szCs w:val="24"/>
              </w:rPr>
              <w:t>There is an imminent threat of environmental damage.</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pStyle w:val="ListParagraph"/>
              <w:numPr>
                <w:ilvl w:val="0"/>
                <w:numId w:val="5"/>
              </w:numPr>
              <w:autoSpaceDE w:val="0"/>
              <w:autoSpaceDN w:val="0"/>
              <w:adjustRightInd w:val="0"/>
              <w:jc w:val="both"/>
              <w:rPr>
                <w:rFonts w:ascii="Arial" w:hAnsi="Arial" w:cs="Arial"/>
                <w:color w:val="548DD4" w:themeColor="text2" w:themeTint="99"/>
                <w:sz w:val="24"/>
                <w:szCs w:val="24"/>
              </w:rPr>
            </w:pPr>
            <w:r>
              <w:rPr>
                <w:rFonts w:ascii="Arial" w:hAnsi="Arial" w:cs="Arial"/>
                <w:color w:val="548DD4" w:themeColor="text2" w:themeTint="99"/>
                <w:sz w:val="24"/>
                <w:szCs w:val="24"/>
              </w:rPr>
              <w:lastRenderedPageBreak/>
              <w:t>Company law:</w:t>
            </w: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sz w:val="24"/>
                <w:szCs w:val="24"/>
              </w:rPr>
              <w:t>Company law imposes a duty on directors to promote the company's success for the benefit of its members as a whole, taking into account the effect of the company's operations on the community and the environment. If a director breaches this duty, shareholders may be able to bring a derivative action on behalf of the company against the director, even if he has not benefitted from the breach.</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pStyle w:val="ListParagraph"/>
              <w:numPr>
                <w:ilvl w:val="0"/>
                <w:numId w:val="2"/>
              </w:numPr>
              <w:autoSpaceDE w:val="0"/>
              <w:autoSpaceDN w:val="0"/>
              <w:adjustRightInd w:val="0"/>
              <w:jc w:val="both"/>
              <w:rPr>
                <w:rFonts w:ascii="Arial" w:hAnsi="Arial" w:cs="Arial"/>
                <w:color w:val="548DD4" w:themeColor="text2" w:themeTint="99"/>
                <w:sz w:val="24"/>
                <w:szCs w:val="24"/>
              </w:rPr>
            </w:pPr>
            <w:r>
              <w:rPr>
                <w:rFonts w:ascii="Arial" w:hAnsi="Arial" w:cs="Arial"/>
                <w:color w:val="548DD4" w:themeColor="text2" w:themeTint="99"/>
                <w:sz w:val="24"/>
                <w:szCs w:val="24"/>
              </w:rPr>
              <w:lastRenderedPageBreak/>
              <w:t>Briefly explain the environmental permitting regime (EPR)?</w:t>
            </w:r>
          </w:p>
          <w:p w:rsidR="00492D12" w:rsidRDefault="00492D12" w:rsidP="00492D12">
            <w:pPr>
              <w:autoSpaceDE w:val="0"/>
              <w:autoSpaceDN w:val="0"/>
              <w:adjustRightInd w:val="0"/>
              <w:jc w:val="both"/>
              <w:rPr>
                <w:rFonts w:ascii="Arial" w:hAnsi="Arial" w:cs="Arial"/>
                <w:color w:val="548DD4" w:themeColor="text2" w:themeTint="99"/>
                <w:sz w:val="24"/>
                <w:szCs w:val="24"/>
              </w:rPr>
            </w:pPr>
            <w:r>
              <w:rPr>
                <w:rFonts w:ascii="Arial" w:hAnsi="Arial" w:cs="Arial"/>
                <w:color w:val="548DD4" w:themeColor="text2" w:themeTint="99"/>
                <w:sz w:val="24"/>
                <w:szCs w:val="24"/>
              </w:rPr>
              <w:t>Answer:</w:t>
            </w:r>
          </w:p>
          <w:p w:rsidR="00492D12" w:rsidRDefault="00492D12" w:rsidP="00492D12">
            <w:pPr>
              <w:autoSpaceDE w:val="0"/>
              <w:autoSpaceDN w:val="0"/>
              <w:adjustRightInd w:val="0"/>
              <w:jc w:val="both"/>
              <w:rPr>
                <w:rFonts w:ascii="Arial" w:hAnsi="Arial" w:cs="Arial"/>
                <w:sz w:val="24"/>
                <w:szCs w:val="24"/>
              </w:rPr>
            </w:pPr>
            <w:r>
              <w:rPr>
                <w:rFonts w:ascii="Arial" w:hAnsi="Arial" w:cs="Arial"/>
                <w:sz w:val="24"/>
                <w:szCs w:val="24"/>
              </w:rPr>
              <w:t xml:space="preserve">There is an integrated environmental permitting regime (EPR) which came into force on 6 April 2008. On that date it automatically converted the previous PPC regime permits and waste management </w:t>
            </w:r>
            <w:r w:rsidR="00280915">
              <w:rPr>
                <w:rFonts w:ascii="Arial" w:hAnsi="Arial" w:cs="Arial"/>
                <w:sz w:val="24"/>
                <w:szCs w:val="24"/>
              </w:rPr>
              <w:t>licenses</w:t>
            </w:r>
            <w:r>
              <w:rPr>
                <w:rFonts w:ascii="Arial" w:hAnsi="Arial" w:cs="Arial"/>
                <w:sz w:val="24"/>
                <w:szCs w:val="24"/>
              </w:rPr>
              <w:t xml:space="preserve"> into Environmental Permits (EP). On 6 April 2010, water discharge activities, groundwater discharge activities and radioactive substances registration and </w:t>
            </w:r>
            <w:r w:rsidR="00280915">
              <w:rPr>
                <w:rFonts w:ascii="Arial" w:hAnsi="Arial" w:cs="Arial"/>
                <w:sz w:val="24"/>
                <w:szCs w:val="24"/>
              </w:rPr>
              <w:t>authorization</w:t>
            </w:r>
            <w:r>
              <w:rPr>
                <w:rFonts w:ascii="Arial" w:hAnsi="Arial" w:cs="Arial"/>
                <w:sz w:val="24"/>
                <w:szCs w:val="24"/>
              </w:rPr>
              <w:t xml:space="preserve"> were also brought under the EPR and existing consents were automatically converted.</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In 2013, the EPR was amended to implement Directive 2010/75/EU on industrial emissions (integrated pollution prevention and control) (Industrial Emissions Directive) (IED), which consolidated a number of earlier EU Directives and requirements. In 2015, the EP Amendment Regulations 2015 (SI 2015/918) amended the EPR, transposing requirements under the Energy Efficiency Directive 2012</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The key activities regulated under the EPR are:</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Activities or specified installations listed in Schedule 1 to the EPR (these cover a wide range of industrial and power generation activities and include installations covered by the Integrated Pollution Prevention and Control (IPPC) regime under the IED).</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Waste operations.</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Mobile plant (used to carry on either one of the Schedule 1 activities or a waste operation).</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Mining waste operations.</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Water discharge activities.</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Radioactive substances activities.</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Groundwater activity.</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Small waste incineration plant.</w:t>
            </w:r>
          </w:p>
          <w:p w:rsidR="00492D12" w:rsidRDefault="00492D12" w:rsidP="00492D12">
            <w:pPr>
              <w:pStyle w:val="ListParagraph"/>
              <w:numPr>
                <w:ilvl w:val="0"/>
                <w:numId w:val="6"/>
              </w:numPr>
              <w:autoSpaceDE w:val="0"/>
              <w:autoSpaceDN w:val="0"/>
              <w:adjustRightInd w:val="0"/>
              <w:jc w:val="both"/>
              <w:rPr>
                <w:rFonts w:ascii="Arial" w:hAnsi="Arial" w:cs="Arial"/>
                <w:color w:val="000000"/>
                <w:sz w:val="24"/>
                <w:szCs w:val="24"/>
              </w:rPr>
            </w:pPr>
            <w:r>
              <w:rPr>
                <w:rFonts w:ascii="Arial" w:hAnsi="Arial" w:cs="Arial"/>
                <w:color w:val="000000"/>
                <w:sz w:val="24"/>
                <w:szCs w:val="24"/>
              </w:rPr>
              <w:t>Solvent emission activity.</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The activities are regulated to differing degrees. The more polluting industries (known as Part A (1) and Part A (2) installations), including some waste management operations such as landfills and large incinerators are regulated in terms of all their emissions and energy efficiency, while lesser-polluting activities (known as Part B installations) are regulated only in relation to their air emissions.</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pStyle w:val="ListParagraph"/>
              <w:numPr>
                <w:ilvl w:val="0"/>
                <w:numId w:val="2"/>
              </w:numPr>
              <w:jc w:val="both"/>
              <w:rPr>
                <w:rFonts w:ascii="Arial" w:hAnsi="Arial" w:cs="Arial"/>
                <w:color w:val="548DD4" w:themeColor="text2" w:themeTint="99"/>
                <w:sz w:val="24"/>
                <w:szCs w:val="24"/>
              </w:rPr>
            </w:pPr>
            <w:r>
              <w:rPr>
                <w:rFonts w:ascii="Arial" w:hAnsi="Arial" w:cs="Arial"/>
                <w:color w:val="548DD4" w:themeColor="text2" w:themeTint="99"/>
                <w:sz w:val="24"/>
                <w:szCs w:val="24"/>
              </w:rPr>
              <w:t>What are various regulations and legislation for cleaning up contaminated land?</w:t>
            </w:r>
          </w:p>
          <w:p w:rsidR="00492D12" w:rsidRDefault="00492D12" w:rsidP="00492D12">
            <w:pPr>
              <w:jc w:val="both"/>
              <w:rPr>
                <w:rFonts w:ascii="Arial" w:hAnsi="Arial" w:cs="Arial"/>
                <w:color w:val="548DD4" w:themeColor="text2" w:themeTint="99"/>
                <w:sz w:val="24"/>
                <w:szCs w:val="24"/>
              </w:rPr>
            </w:pPr>
            <w:r>
              <w:rPr>
                <w:rFonts w:ascii="Arial" w:hAnsi="Arial" w:cs="Arial"/>
                <w:color w:val="548DD4" w:themeColor="text2" w:themeTint="99"/>
                <w:sz w:val="24"/>
                <w:szCs w:val="24"/>
              </w:rPr>
              <w:t>Answer:</w:t>
            </w:r>
          </w:p>
          <w:p w:rsidR="00492D12" w:rsidRDefault="00492D12" w:rsidP="00492D12">
            <w:pPr>
              <w:autoSpaceDE w:val="0"/>
              <w:autoSpaceDN w:val="0"/>
              <w:adjustRightInd w:val="0"/>
              <w:jc w:val="both"/>
              <w:rPr>
                <w:rFonts w:ascii="Arial" w:hAnsi="Arial" w:cs="Arial"/>
                <w:bCs/>
                <w:sz w:val="24"/>
                <w:szCs w:val="24"/>
              </w:rPr>
            </w:pPr>
            <w:r>
              <w:rPr>
                <w:rFonts w:ascii="Arial" w:hAnsi="Arial" w:cs="Arial"/>
                <w:bCs/>
                <w:sz w:val="24"/>
                <w:szCs w:val="24"/>
              </w:rPr>
              <w:t>Regulator and Legislation</w:t>
            </w:r>
          </w:p>
          <w:p w:rsidR="00492D12" w:rsidRDefault="00492D12" w:rsidP="00492D12">
            <w:pPr>
              <w:autoSpaceDE w:val="0"/>
              <w:autoSpaceDN w:val="0"/>
              <w:adjustRightInd w:val="0"/>
              <w:jc w:val="both"/>
              <w:rPr>
                <w:rFonts w:ascii="Arial" w:hAnsi="Arial" w:cs="Arial"/>
                <w:sz w:val="24"/>
                <w:szCs w:val="24"/>
              </w:rPr>
            </w:pPr>
            <w:r>
              <w:rPr>
                <w:rFonts w:ascii="Arial" w:hAnsi="Arial" w:cs="Arial"/>
                <w:sz w:val="24"/>
                <w:szCs w:val="24"/>
              </w:rPr>
              <w:t>There is an overlap of legislation related to the clean-up of contaminated land between the</w:t>
            </w:r>
          </w:p>
          <w:p w:rsidR="00492D12" w:rsidRDefault="00492D12" w:rsidP="00492D12">
            <w:pPr>
              <w:autoSpaceDE w:val="0"/>
              <w:autoSpaceDN w:val="0"/>
              <w:adjustRightInd w:val="0"/>
              <w:jc w:val="both"/>
              <w:rPr>
                <w:rFonts w:ascii="Arial" w:hAnsi="Arial" w:cs="Arial"/>
                <w:sz w:val="24"/>
                <w:szCs w:val="24"/>
              </w:rPr>
            </w:pPr>
            <w:r>
              <w:rPr>
                <w:rFonts w:ascii="Arial" w:hAnsi="Arial" w:cs="Arial"/>
                <w:sz w:val="24"/>
                <w:szCs w:val="24"/>
              </w:rPr>
              <w:t>Environmental Protection Act 1990 and the Environmental Damage (Prevention and Remediation) (England) Regulations 2015 (ED Regulations).</w:t>
            </w:r>
          </w:p>
          <w:p w:rsidR="00492D12" w:rsidRDefault="00492D12" w:rsidP="00492D12">
            <w:pPr>
              <w:autoSpaceDE w:val="0"/>
              <w:autoSpaceDN w:val="0"/>
              <w:adjustRightInd w:val="0"/>
              <w:jc w:val="both"/>
              <w:rPr>
                <w:rFonts w:ascii="Arial" w:hAnsi="Arial" w:cs="Arial"/>
                <w:sz w:val="24"/>
                <w:szCs w:val="24"/>
              </w:rPr>
            </w:pPr>
          </w:p>
          <w:p w:rsidR="00492D12" w:rsidRDefault="00492D12" w:rsidP="00492D12">
            <w:pPr>
              <w:autoSpaceDE w:val="0"/>
              <w:autoSpaceDN w:val="0"/>
              <w:adjustRightInd w:val="0"/>
              <w:jc w:val="both"/>
              <w:rPr>
                <w:rFonts w:ascii="Arial" w:hAnsi="Arial" w:cs="Arial"/>
                <w:sz w:val="24"/>
                <w:szCs w:val="24"/>
              </w:rPr>
            </w:pPr>
            <w:r>
              <w:rPr>
                <w:rFonts w:ascii="Arial" w:hAnsi="Arial" w:cs="Arial"/>
                <w:sz w:val="24"/>
                <w:szCs w:val="24"/>
              </w:rPr>
              <w:t>Part IIA of the Environmental Protection Act 1990 aims to ensure that contaminated land identified and remediate where it poses unacceptable levels of risk. It is not an offence under the Part IIA regime to pollute or contaminate land.</w:t>
            </w:r>
          </w:p>
          <w:p w:rsidR="00492D12" w:rsidRDefault="00492D12" w:rsidP="00492D12">
            <w:pPr>
              <w:autoSpaceDE w:val="0"/>
              <w:autoSpaceDN w:val="0"/>
              <w:adjustRightInd w:val="0"/>
              <w:jc w:val="both"/>
              <w:rPr>
                <w:rFonts w:ascii="Arial" w:hAnsi="Arial" w:cs="Arial"/>
                <w:sz w:val="24"/>
                <w:szCs w:val="24"/>
              </w:rPr>
            </w:pPr>
            <w:r>
              <w:rPr>
                <w:rFonts w:ascii="Arial" w:hAnsi="Arial" w:cs="Arial"/>
                <w:sz w:val="24"/>
                <w:szCs w:val="24"/>
              </w:rPr>
              <w:t>The ED Regulations relate to the prevention and remediation of environmental damage, being damage to species, habitats, sites of special scientific interest, surface water or groundwater, and land. The ED Regulations only apply to the most serious cases of environmental damage. The ED Regulations were extended to cover marine waters from 19 July 2015, through the implementation of the Offshore Safety Directive 2013 (2013/30/EU).</w:t>
            </w:r>
          </w:p>
          <w:p w:rsidR="00492D12" w:rsidRDefault="00492D12" w:rsidP="00492D12">
            <w:pPr>
              <w:autoSpaceDE w:val="0"/>
              <w:autoSpaceDN w:val="0"/>
              <w:adjustRightInd w:val="0"/>
              <w:jc w:val="both"/>
              <w:rPr>
                <w:rFonts w:ascii="Arial" w:hAnsi="Arial" w:cs="Arial"/>
                <w:sz w:val="24"/>
                <w:szCs w:val="24"/>
              </w:rPr>
            </w:pPr>
          </w:p>
          <w:p w:rsidR="00492D12" w:rsidRDefault="00492D12" w:rsidP="00492D12">
            <w:pPr>
              <w:autoSpaceDE w:val="0"/>
              <w:autoSpaceDN w:val="0"/>
              <w:adjustRightInd w:val="0"/>
              <w:jc w:val="both"/>
              <w:rPr>
                <w:rFonts w:ascii="Arial" w:hAnsi="Arial" w:cs="Arial"/>
                <w:sz w:val="24"/>
                <w:szCs w:val="24"/>
              </w:rPr>
            </w:pPr>
            <w:r>
              <w:rPr>
                <w:rFonts w:ascii="Arial" w:hAnsi="Arial" w:cs="Arial"/>
                <w:sz w:val="24"/>
                <w:szCs w:val="24"/>
              </w:rPr>
              <w:t xml:space="preserve">The principal enforcement authority is the relevant local authority (LA). However, certain types of sites or offences are regulated by the Environment Agency (EA)/Natural Resources Wales (NRW). In addition, Natural England (which is an executive non-departmental public body responsible to the Secretary of State for Environment, Food and Rural Affairs) also has enforcement powers. In English marine waters, the enforcement authority is allocated to the EA, Marine Management </w:t>
            </w:r>
            <w:r w:rsidR="00280915">
              <w:rPr>
                <w:rFonts w:ascii="Arial" w:hAnsi="Arial" w:cs="Arial"/>
                <w:sz w:val="24"/>
                <w:szCs w:val="24"/>
              </w:rPr>
              <w:t>Organization</w:t>
            </w:r>
            <w:r>
              <w:rPr>
                <w:rFonts w:ascii="Arial" w:hAnsi="Arial" w:cs="Arial"/>
                <w:sz w:val="24"/>
                <w:szCs w:val="24"/>
              </w:rPr>
              <w:t xml:space="preserve"> and the Secretary of State. The enforcing authority responsible for dealing with environmental damage to Welsh marine waters is the Welsh Ministry.</w:t>
            </w:r>
          </w:p>
          <w:p w:rsidR="00492D12" w:rsidRDefault="00492D12" w:rsidP="00492D12">
            <w:pPr>
              <w:autoSpaceDE w:val="0"/>
              <w:autoSpaceDN w:val="0"/>
              <w:adjustRightInd w:val="0"/>
              <w:jc w:val="both"/>
              <w:rPr>
                <w:rFonts w:ascii="Arial" w:hAnsi="Arial" w:cs="Arial"/>
                <w:sz w:val="24"/>
                <w:szCs w:val="24"/>
              </w:rPr>
            </w:pPr>
          </w:p>
          <w:p w:rsidR="00492D12" w:rsidRDefault="00492D12" w:rsidP="00492D12">
            <w:pPr>
              <w:autoSpaceDE w:val="0"/>
              <w:autoSpaceDN w:val="0"/>
              <w:adjustRightInd w:val="0"/>
              <w:jc w:val="both"/>
              <w:rPr>
                <w:rFonts w:ascii="Arial" w:hAnsi="Arial" w:cs="Arial"/>
                <w:bCs/>
                <w:sz w:val="24"/>
                <w:szCs w:val="24"/>
              </w:rPr>
            </w:pPr>
            <w:r>
              <w:rPr>
                <w:rFonts w:ascii="Arial" w:hAnsi="Arial" w:cs="Arial"/>
                <w:bCs/>
                <w:sz w:val="24"/>
                <w:szCs w:val="24"/>
              </w:rPr>
              <w:t>Investigation and Clean-Up</w:t>
            </w:r>
          </w:p>
          <w:p w:rsidR="00492D12" w:rsidRDefault="00492D12" w:rsidP="00492D12">
            <w:pPr>
              <w:autoSpaceDE w:val="0"/>
              <w:autoSpaceDN w:val="0"/>
              <w:adjustRightInd w:val="0"/>
              <w:jc w:val="both"/>
              <w:rPr>
                <w:rFonts w:ascii="Arial" w:hAnsi="Arial" w:cs="Arial"/>
                <w:sz w:val="24"/>
                <w:szCs w:val="24"/>
              </w:rPr>
            </w:pPr>
            <w:r>
              <w:rPr>
                <w:rFonts w:ascii="Arial" w:hAnsi="Arial" w:cs="Arial"/>
                <w:sz w:val="24"/>
                <w:szCs w:val="24"/>
              </w:rPr>
              <w:t>Under the Part IIA regime, contaminated land is land that is in such a condition that significant harm is being caused, or there is a significant possibility of such harm being caused to the environment (including human health). Harm is assessed by reference to the land's current use. The mere presence of contaminants on a site does not necessarily mean that it is contaminated land.</w:t>
            </w:r>
          </w:p>
          <w:p w:rsidR="00492D12" w:rsidRDefault="00492D12" w:rsidP="00492D12">
            <w:pPr>
              <w:autoSpaceDE w:val="0"/>
              <w:autoSpaceDN w:val="0"/>
              <w:adjustRightInd w:val="0"/>
              <w:jc w:val="both"/>
              <w:rPr>
                <w:rFonts w:ascii="Arial" w:hAnsi="Arial" w:cs="Arial"/>
                <w:sz w:val="24"/>
                <w:szCs w:val="24"/>
              </w:rPr>
            </w:pPr>
          </w:p>
          <w:p w:rsidR="00492D12" w:rsidRDefault="00492D12" w:rsidP="00492D12">
            <w:pPr>
              <w:autoSpaceDE w:val="0"/>
              <w:autoSpaceDN w:val="0"/>
              <w:adjustRightInd w:val="0"/>
              <w:jc w:val="both"/>
              <w:rPr>
                <w:rFonts w:ascii="Arial" w:hAnsi="Arial" w:cs="Arial"/>
                <w:sz w:val="24"/>
                <w:szCs w:val="24"/>
              </w:rPr>
            </w:pPr>
            <w:r>
              <w:rPr>
                <w:rFonts w:ascii="Arial" w:hAnsi="Arial" w:cs="Arial"/>
                <w:sz w:val="24"/>
                <w:szCs w:val="24"/>
              </w:rPr>
              <w:t>Land also qualifies as contaminated if contaminants present on the land are causing or are likely to cause significant water pollution or the significant possibility of such pollution. LAs must inspect their areas to identify any contaminated land. LAs and the EA/NRW must keep public registers of contaminated land. If an LA or the EA/NRW identifies any contaminated land, it must serve a remediation notice on the appropriate persons requiring them to remediate the contamination, unless those persons are willing to carry out the remediation voluntarily.</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Under the ED Regulations, an operator must take all practicable steps to prevent environmental damage if that operator causes an imminent threat of damage. If environmental damage has already occurred, the operator must take all practicable steps to prevent further damage. If the regulator considers that environmental damage has occurred, it can serve a remediation notice on the responsible operator setting out the measures that must be taken.</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For damage to sites of special scientific interest (SSSIs), EU species and habitats, and water, steps required to be taken can include:</w:t>
            </w:r>
          </w:p>
          <w:p w:rsidR="00492D12" w:rsidRDefault="00492D12" w:rsidP="00492D12">
            <w:pPr>
              <w:pStyle w:val="ListParagraph"/>
              <w:numPr>
                <w:ilvl w:val="0"/>
                <w:numId w:val="7"/>
              </w:numPr>
              <w:autoSpaceDE w:val="0"/>
              <w:autoSpaceDN w:val="0"/>
              <w:adjustRightInd w:val="0"/>
              <w:jc w:val="both"/>
              <w:rPr>
                <w:rFonts w:ascii="Arial" w:hAnsi="Arial" w:cs="Arial"/>
                <w:color w:val="000000"/>
                <w:sz w:val="24"/>
                <w:szCs w:val="24"/>
              </w:rPr>
            </w:pPr>
            <w:r>
              <w:rPr>
                <w:rFonts w:ascii="Arial" w:hAnsi="Arial" w:cs="Arial"/>
                <w:color w:val="000000"/>
                <w:sz w:val="24"/>
                <w:szCs w:val="24"/>
              </w:rPr>
              <w:t>Remediation of the resource.</w:t>
            </w:r>
          </w:p>
          <w:p w:rsidR="00492D12" w:rsidRDefault="00492D12" w:rsidP="00492D12">
            <w:pPr>
              <w:pStyle w:val="ListParagraph"/>
              <w:numPr>
                <w:ilvl w:val="0"/>
                <w:numId w:val="7"/>
              </w:num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Other measures which </w:t>
            </w:r>
            <w:r w:rsidR="00280915">
              <w:rPr>
                <w:rFonts w:ascii="Arial" w:hAnsi="Arial" w:cs="Arial"/>
                <w:color w:val="000000"/>
                <w:sz w:val="24"/>
                <w:szCs w:val="24"/>
              </w:rPr>
              <w:t>recognize</w:t>
            </w:r>
            <w:r>
              <w:rPr>
                <w:rFonts w:ascii="Arial" w:hAnsi="Arial" w:cs="Arial"/>
                <w:color w:val="000000"/>
                <w:sz w:val="24"/>
                <w:szCs w:val="24"/>
              </w:rPr>
              <w:t xml:space="preserve"> that actual remediation of the resource is not possible or that compensation should be made to account for temporary loss of a resource, complementary remediation and/or compensatory remediation.</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For land contamination, remediation requires the removal or control of contaminants so that risks are reduced to below an unacceptable level, and/or to take reasonable measures to remedy harm or pollution that has been caused by a significant contaminant linkage.</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If a planning application is made to develop a site with contaminated land, planning authorities can impose conditions in the planning permission requiring remediation to be carried out before the development starts. This is how most contaminated sites are dealt with.</w:t>
            </w:r>
          </w:p>
          <w:p w:rsidR="00492D12" w:rsidRDefault="00492D12" w:rsidP="00492D12">
            <w:pPr>
              <w:autoSpaceDE w:val="0"/>
              <w:autoSpaceDN w:val="0"/>
              <w:adjustRightInd w:val="0"/>
              <w:jc w:val="both"/>
              <w:rPr>
                <w:rFonts w:ascii="Arial" w:hAnsi="Arial" w:cs="Arial"/>
                <w:color w:val="000000"/>
                <w:sz w:val="24"/>
                <w:szCs w:val="24"/>
              </w:rPr>
            </w:pPr>
          </w:p>
          <w:p w:rsidR="00492D12" w:rsidRDefault="00492D12" w:rsidP="00492D12">
            <w:pPr>
              <w:autoSpaceDE w:val="0"/>
              <w:autoSpaceDN w:val="0"/>
              <w:adjustRightInd w:val="0"/>
              <w:jc w:val="both"/>
              <w:rPr>
                <w:rFonts w:ascii="Arial" w:hAnsi="Arial" w:cs="Arial"/>
                <w:color w:val="000000"/>
                <w:sz w:val="24"/>
                <w:szCs w:val="24"/>
              </w:rPr>
            </w:pPr>
            <w:r>
              <w:rPr>
                <w:rFonts w:ascii="Arial" w:hAnsi="Arial" w:cs="Arial"/>
                <w:color w:val="000000"/>
                <w:sz w:val="24"/>
                <w:szCs w:val="24"/>
              </w:rPr>
              <w:t>Statutory Guidance for England on dealing with contaminated land and radioactive contaminated land was published by the Department for Environment, Food and Rural Affairs (DEFRA) in 2012. Statutory Guidance was published by the Welsh Government in the same year in relation to contaminated land in Wales.</w:t>
            </w:r>
          </w:p>
          <w:p w:rsidR="00492D12" w:rsidRDefault="00492D12" w:rsidP="00492D12">
            <w:pPr>
              <w:autoSpaceDE w:val="0"/>
              <w:autoSpaceDN w:val="0"/>
              <w:adjustRightInd w:val="0"/>
              <w:jc w:val="both"/>
              <w:rPr>
                <w:rFonts w:ascii="Arial" w:hAnsi="Arial" w:cs="Arial"/>
                <w:b/>
                <w:bCs/>
                <w:color w:val="000000"/>
                <w:sz w:val="24"/>
                <w:szCs w:val="24"/>
              </w:rPr>
            </w:pPr>
          </w:p>
          <w:p w:rsidR="00492D12" w:rsidRDefault="00492D12" w:rsidP="00492D12">
            <w:pPr>
              <w:autoSpaceDE w:val="0"/>
              <w:autoSpaceDN w:val="0"/>
              <w:adjustRightInd w:val="0"/>
              <w:jc w:val="both"/>
              <w:rPr>
                <w:rFonts w:ascii="Arial" w:hAnsi="Arial" w:cs="Arial"/>
                <w:bCs/>
                <w:color w:val="000000"/>
                <w:sz w:val="24"/>
                <w:szCs w:val="24"/>
              </w:rPr>
            </w:pPr>
            <w:r>
              <w:rPr>
                <w:rFonts w:ascii="Arial" w:hAnsi="Arial" w:cs="Arial"/>
                <w:bCs/>
                <w:color w:val="000000"/>
                <w:sz w:val="24"/>
                <w:szCs w:val="24"/>
              </w:rPr>
              <w:t>Penalties</w:t>
            </w:r>
          </w:p>
          <w:p w:rsidR="00CC2FB3" w:rsidRDefault="00492D12" w:rsidP="00492D12">
            <w:pPr>
              <w:autoSpaceDE w:val="0"/>
              <w:autoSpaceDN w:val="0"/>
              <w:adjustRightInd w:val="0"/>
              <w:jc w:val="both"/>
              <w:rPr>
                <w:b/>
              </w:rPr>
            </w:pPr>
            <w:r>
              <w:rPr>
                <w:rFonts w:ascii="Arial" w:hAnsi="Arial" w:cs="Arial"/>
                <w:color w:val="000000"/>
                <w:sz w:val="24"/>
                <w:szCs w:val="24"/>
              </w:rPr>
              <w:t>Failure to comply with a remediation notice without a reasonable excuse is a criminal offence punishable by a fine. The regulator can carry out the remediation itself and recover the costs from the relevant parties.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2D12" w:rsidP="00A851DA">
            <w:pPr>
              <w:rPr>
                <w:rFonts w:cs="Bliss-Regular"/>
                <w:color w:val="000000"/>
              </w:rPr>
            </w:pPr>
            <w:r>
              <w:rPr>
                <w:rFonts w:cs="Bliss-Regular"/>
                <w:color w:val="000000"/>
              </w:rPr>
              <w:t xml:space="preserve">Chinmay Vaze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4A92" w:rsidP="00A851DA">
            <w:pPr>
              <w:rPr>
                <w:rFonts w:cs="Bliss-Regular"/>
                <w:color w:val="000000"/>
              </w:rPr>
            </w:pPr>
            <w:r>
              <w:rPr>
                <w:rFonts w:cs="Bliss-Regular"/>
                <w:color w:val="000000"/>
              </w:rPr>
              <w:t>23</w:t>
            </w:r>
            <w:bookmarkStart w:id="0" w:name="_GoBack"/>
            <w:bookmarkEnd w:id="0"/>
            <w:r>
              <w:rPr>
                <w:rFonts w:cs="Bliss-Regular"/>
                <w:color w:val="000000"/>
              </w:rPr>
              <w:t>/8</w:t>
            </w:r>
            <w:r w:rsidR="00492D12">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92D1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7F2E"/>
    <w:multiLevelType w:val="hybridMultilevel"/>
    <w:tmpl w:val="CDCC927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37561AB3"/>
    <w:multiLevelType w:val="hybridMultilevel"/>
    <w:tmpl w:val="D6AAB4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4EF25928"/>
    <w:multiLevelType w:val="hybridMultilevel"/>
    <w:tmpl w:val="517C6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7B0F71"/>
    <w:multiLevelType w:val="hybridMultilevel"/>
    <w:tmpl w:val="EC5634EC"/>
    <w:lvl w:ilvl="0" w:tplc="9E5EE59E">
      <w:start w:val="1"/>
      <w:numFmt w:val="decimal"/>
      <w:lvlText w:val="%1."/>
      <w:lvlJc w:val="left"/>
      <w:pPr>
        <w:ind w:left="720" w:hanging="360"/>
      </w:pPr>
      <w:rPr>
        <w:rFonts w:ascii="Calibri,Bold" w:hAnsi="Calibri,Bold" w:cs="Calibri,Bold" w:hint="default"/>
        <w:b/>
        <w:color w:val="548DD4" w:themeColor="text2" w:themeTint="99"/>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5DEF5881"/>
    <w:multiLevelType w:val="hybridMultilevel"/>
    <w:tmpl w:val="4BA0AAA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6CC0542F"/>
    <w:multiLevelType w:val="hybridMultilevel"/>
    <w:tmpl w:val="98CE7F84"/>
    <w:lvl w:ilvl="0" w:tplc="08090001">
      <w:start w:val="1"/>
      <w:numFmt w:val="bullet"/>
      <w:lvlText w:val=""/>
      <w:lvlJc w:val="left"/>
      <w:pPr>
        <w:ind w:left="720" w:hanging="360"/>
      </w:pPr>
      <w:rPr>
        <w:rFonts w:ascii="Symbol" w:hAnsi="Symbol" w:hint="default"/>
        <w:b/>
        <w:color w:val="C1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0915"/>
    <w:rsid w:val="002B0BD7"/>
    <w:rsid w:val="002B573D"/>
    <w:rsid w:val="002C5CB2"/>
    <w:rsid w:val="002F779F"/>
    <w:rsid w:val="00371885"/>
    <w:rsid w:val="003E2B87"/>
    <w:rsid w:val="00402786"/>
    <w:rsid w:val="00405895"/>
    <w:rsid w:val="004058DF"/>
    <w:rsid w:val="00443E6F"/>
    <w:rsid w:val="00444A92"/>
    <w:rsid w:val="00486F1A"/>
    <w:rsid w:val="00490CB9"/>
    <w:rsid w:val="00492D12"/>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4AF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43770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7EBBD-24F3-4EB2-9200-52F90722C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Chinmay Vaze</cp:lastModifiedBy>
  <cp:revision>3</cp:revision>
  <dcterms:created xsi:type="dcterms:W3CDTF">2018-08-23T22:12:00Z</dcterms:created>
  <dcterms:modified xsi:type="dcterms:W3CDTF">2018-08-23T22:12:00Z</dcterms:modified>
</cp:coreProperties>
</file>