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71A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B71AF" w:rsidRDefault="009B71AF">
            <w:pPr>
              <w:pStyle w:val="Default"/>
              <w:rPr>
                <w:rFonts w:ascii="Arial" w:hAnsi="Arial" w:cs="Arial"/>
              </w:rPr>
            </w:pPr>
            <w:r>
              <w:rPr>
                <w:rFonts w:ascii="Arial" w:hAnsi="Arial" w:cs="Arial"/>
              </w:rPr>
              <w:t>CHRISTIAN SIMONE CHRISTIAN SOELLIE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B71AF" w:rsidRDefault="009B71AF">
            <w:pPr>
              <w:pStyle w:val="Default"/>
              <w:rPr>
                <w:rFonts w:ascii="Arial" w:hAnsi="Arial" w:cs="Arial"/>
              </w:rPr>
            </w:pPr>
            <w:r>
              <w:rPr>
                <w:rFonts w:ascii="Arial" w:hAnsi="Arial" w:cs="Arial"/>
              </w:rPr>
              <w:t>1538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B71AF" w:rsidRDefault="009B71AF">
            <w:pPr>
              <w:pStyle w:val="Default"/>
              <w:rPr>
                <w:rFonts w:ascii="Arial" w:hAnsi="Arial" w:cs="Arial"/>
              </w:rPr>
            </w:pPr>
            <w:r w:rsidRPr="009B71AF">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B71AF" w:rsidRDefault="003E609E">
            <w:pPr>
              <w:rPr>
                <w:rFonts w:ascii="Arial" w:hAnsi="Arial" w:cs="Arial"/>
              </w:rPr>
            </w:pPr>
            <w:r>
              <w:rPr>
                <w:rFonts w:ascii="Arial" w:hAnsi="Arial" w:cs="Arial"/>
              </w:rP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2340EC" w:rsidRPr="003A3797" w:rsidRDefault="002340EC" w:rsidP="002340EC">
            <w:pPr>
              <w:pStyle w:val="ListParagraph"/>
              <w:numPr>
                <w:ilvl w:val="0"/>
                <w:numId w:val="44"/>
              </w:numPr>
              <w:spacing w:after="160" w:line="360" w:lineRule="auto"/>
              <w:jc w:val="both"/>
              <w:rPr>
                <w:rFonts w:ascii="Arial" w:hAnsi="Arial" w:cs="Arial"/>
                <w:sz w:val="24"/>
                <w:szCs w:val="24"/>
              </w:rPr>
            </w:pPr>
            <w:r>
              <w:rPr>
                <w:rFonts w:ascii="Arial" w:hAnsi="Arial" w:cs="Arial"/>
                <w:sz w:val="24"/>
                <w:szCs w:val="24"/>
              </w:rPr>
              <w:t>GIVE SHORT ANSWERS FOR THE FOLLOWING QUESTIONS:</w:t>
            </w:r>
          </w:p>
          <w:p w:rsidR="002340EC" w:rsidRDefault="002340EC" w:rsidP="002340EC">
            <w:pPr>
              <w:pStyle w:val="ListParagraph"/>
              <w:numPr>
                <w:ilvl w:val="0"/>
                <w:numId w:val="45"/>
              </w:numPr>
              <w:spacing w:after="160" w:line="360" w:lineRule="auto"/>
              <w:jc w:val="both"/>
              <w:rPr>
                <w:rFonts w:ascii="Arial" w:hAnsi="Arial" w:cs="Arial"/>
                <w:sz w:val="24"/>
                <w:szCs w:val="24"/>
              </w:rPr>
            </w:pPr>
            <w:r>
              <w:rPr>
                <w:rFonts w:ascii="Arial" w:hAnsi="Arial" w:cs="Arial"/>
                <w:sz w:val="24"/>
                <w:szCs w:val="24"/>
              </w:rPr>
              <w:t>WHAT ARE NON-FINANCIAL SOURCES FOR EVIDENCE?</w:t>
            </w:r>
          </w:p>
          <w:p w:rsidR="002340EC" w:rsidRPr="00070612" w:rsidRDefault="002340EC" w:rsidP="002340EC">
            <w:pPr>
              <w:spacing w:line="360" w:lineRule="auto"/>
              <w:jc w:val="both"/>
              <w:rPr>
                <w:rFonts w:ascii="Arial" w:hAnsi="Arial" w:cs="Arial"/>
                <w:sz w:val="24"/>
                <w:szCs w:val="24"/>
              </w:rPr>
            </w:pPr>
            <w:r>
              <w:rPr>
                <w:rFonts w:ascii="Arial" w:hAnsi="Arial" w:cs="Arial"/>
                <w:sz w:val="24"/>
                <w:szCs w:val="24"/>
              </w:rPr>
              <w:t xml:space="preserve">Evidence in a fraud can potentially come from a variety of sources both financial and nonfinancial. Generally, the focus on fraud investigation tends to be mostly, if not solely, financial. Non-financial source include documentary examination for documentary evidence, examination of computer and cellular phones for digital evidence, handwriting analysis for expert evidence, interviews and interrogations for direct and indirect evidence. One major characteristic throughout interrogation which is extremely useful to investigators is the psychological aspect of the frauder. The latter refers to something the fraudster reveals in behaviours, physical expressions, or communications that can be cues as to the veracity of the fraudster’s statements about his or her involvement in the fraud in question. </w:t>
            </w:r>
          </w:p>
          <w:p w:rsidR="002340EC" w:rsidRDefault="002340EC" w:rsidP="002340EC">
            <w:pPr>
              <w:pStyle w:val="ListParagraph"/>
              <w:numPr>
                <w:ilvl w:val="0"/>
                <w:numId w:val="45"/>
              </w:numPr>
              <w:spacing w:after="160" w:line="360" w:lineRule="auto"/>
              <w:jc w:val="both"/>
              <w:rPr>
                <w:rFonts w:ascii="Arial" w:hAnsi="Arial" w:cs="Arial"/>
                <w:sz w:val="24"/>
                <w:szCs w:val="24"/>
              </w:rPr>
            </w:pPr>
            <w:r>
              <w:rPr>
                <w:rFonts w:ascii="Arial" w:hAnsi="Arial" w:cs="Arial"/>
                <w:sz w:val="24"/>
                <w:szCs w:val="24"/>
              </w:rPr>
              <w:t>WHAT IS THE IMPORTANCE OF BODY LANGUAGE IN THE INTERVIEWING PROCEDURE?</w:t>
            </w:r>
          </w:p>
          <w:p w:rsidR="002340EC" w:rsidRPr="00C632BF" w:rsidRDefault="002340EC" w:rsidP="002340EC">
            <w:pPr>
              <w:spacing w:line="360" w:lineRule="auto"/>
              <w:jc w:val="both"/>
              <w:rPr>
                <w:rFonts w:ascii="Arial" w:hAnsi="Arial" w:cs="Arial"/>
                <w:sz w:val="24"/>
                <w:szCs w:val="24"/>
              </w:rPr>
            </w:pPr>
            <w:r>
              <w:rPr>
                <w:rFonts w:ascii="Arial" w:hAnsi="Arial" w:cs="Arial"/>
                <w:sz w:val="24"/>
                <w:szCs w:val="24"/>
              </w:rPr>
              <w:t xml:space="preserve">Throughout years, techniques of interviews and interrogations have evolved significantly to optimise the successfulness of an investigation. A person’s body movements usually indicate emotions he is experiencing through adapters or </w:t>
            </w:r>
            <w:r>
              <w:rPr>
                <w:rFonts w:ascii="Arial" w:hAnsi="Arial" w:cs="Arial"/>
                <w:sz w:val="24"/>
                <w:szCs w:val="24"/>
              </w:rPr>
              <w:lastRenderedPageBreak/>
              <w:t xml:space="preserve">symptoms. The person is, generally, not aware that he or she is exhibiting body language at the time. The body behaviour could be certain movements. Pitch of the voice, speed of talking, crossing legs or arms, or other body movements. Some body language cues are related to anxiety or stress, thus could relate to deception. Those cues are speech hesitations, increase in vocal pitch, speech error, pupil dilation, excessive blinking, hand or shoulder shrugs, and unusual or excessive touching hands or face. </w:t>
            </w:r>
          </w:p>
          <w:p w:rsidR="002340EC" w:rsidRDefault="002340EC" w:rsidP="002340EC">
            <w:pPr>
              <w:pStyle w:val="ListParagraph"/>
              <w:numPr>
                <w:ilvl w:val="0"/>
                <w:numId w:val="45"/>
              </w:numPr>
              <w:spacing w:after="160" w:line="360" w:lineRule="auto"/>
              <w:jc w:val="both"/>
              <w:rPr>
                <w:rFonts w:ascii="Arial" w:hAnsi="Arial" w:cs="Arial"/>
                <w:sz w:val="24"/>
                <w:szCs w:val="24"/>
              </w:rPr>
            </w:pPr>
            <w:r>
              <w:rPr>
                <w:rFonts w:ascii="Arial" w:hAnsi="Arial" w:cs="Arial"/>
                <w:sz w:val="24"/>
                <w:szCs w:val="24"/>
              </w:rPr>
              <w:t>HOW IS THE SCAN ANALYSIS USED AS AN INVESTIGATIVE TECHNIQUE?</w:t>
            </w:r>
          </w:p>
          <w:p w:rsidR="002340EC" w:rsidRPr="00355906" w:rsidRDefault="002340EC" w:rsidP="002340EC">
            <w:pPr>
              <w:spacing w:line="360" w:lineRule="auto"/>
              <w:jc w:val="both"/>
              <w:rPr>
                <w:rFonts w:ascii="Arial" w:hAnsi="Arial" w:cs="Arial"/>
                <w:sz w:val="24"/>
                <w:szCs w:val="24"/>
              </w:rPr>
            </w:pPr>
            <w:r>
              <w:rPr>
                <w:rFonts w:ascii="Arial" w:hAnsi="Arial" w:cs="Arial"/>
                <w:sz w:val="24"/>
                <w:szCs w:val="24"/>
              </w:rPr>
              <w:t>Scientific content analysis, also known as SCAN, is a technique that is similar to statement analysis. Like statement analysis, SCAN does not try to look for the truthfulness of the facts but rather the reflection of deception in the way statements are made. SCAN is cross-cultural, which increase its applicability. Deceitful people tend to lie indirectly, and not tell blatant lies. The indirect lies involve hedging, omitting critical facts, feigning forgetfulness, pretending ignorance, and distancing oneself from the adverse event in the choice of words. Deceitful people are reluctant to commit themselves to deceptions, and instead use “verbal tricke</w:t>
            </w:r>
            <w:bookmarkStart w:id="0" w:name="_GoBack"/>
            <w:bookmarkEnd w:id="0"/>
            <w:r>
              <w:rPr>
                <w:rFonts w:ascii="Arial" w:hAnsi="Arial" w:cs="Arial"/>
                <w:sz w:val="24"/>
                <w:szCs w:val="24"/>
              </w:rPr>
              <w:t>ration” to avoid making damaging statements. SCAN like statement analysis looks for a shift in the use of pronouns. It also look for gaps in the narrative, which portray deception. In order for SCAN to be effective, the analyst needs a clean truthful statement from the suspect.</w:t>
            </w:r>
          </w:p>
          <w:p w:rsidR="002340EC" w:rsidRDefault="002340EC" w:rsidP="002340EC">
            <w:pPr>
              <w:pStyle w:val="ListParagraph"/>
              <w:numPr>
                <w:ilvl w:val="0"/>
                <w:numId w:val="45"/>
              </w:numPr>
              <w:spacing w:after="160" w:line="360" w:lineRule="auto"/>
              <w:jc w:val="both"/>
              <w:rPr>
                <w:rFonts w:ascii="Arial" w:hAnsi="Arial" w:cs="Arial"/>
                <w:sz w:val="24"/>
                <w:szCs w:val="24"/>
              </w:rPr>
            </w:pPr>
            <w:r>
              <w:rPr>
                <w:rFonts w:ascii="Arial" w:hAnsi="Arial" w:cs="Arial"/>
                <w:sz w:val="24"/>
                <w:szCs w:val="24"/>
              </w:rPr>
              <w:t>WHAT ARE VISUAL ASSESSING CUES? HOW DO EYES OF THE VICTIM HELP THE INTERVIEWER?</w:t>
            </w:r>
          </w:p>
          <w:p w:rsidR="002340EC" w:rsidRDefault="002340EC" w:rsidP="002340EC">
            <w:pPr>
              <w:spacing w:line="360" w:lineRule="auto"/>
              <w:jc w:val="both"/>
              <w:rPr>
                <w:rFonts w:ascii="Arial" w:hAnsi="Arial" w:cs="Arial"/>
                <w:sz w:val="24"/>
                <w:szCs w:val="24"/>
              </w:rPr>
            </w:pPr>
            <w:r>
              <w:rPr>
                <w:rFonts w:ascii="Arial" w:hAnsi="Arial" w:cs="Arial"/>
                <w:sz w:val="24"/>
                <w:szCs w:val="24"/>
              </w:rPr>
              <w:t xml:space="preserve">For most investigator, the head is the most expressive portion of the human bodu due to its facial traits and expressions. The EYES of a subject is the most revealing clues of deception or truthfulness. People’s eyes move when they are thinking. This is valuable information that can provide clues as to whether they are thinking in pictures, sounds, feelings or talking to themselves. Unconscious eye movements or “eye accessing cues” often accompany particular thought processes, and indicates the access and use of particular representational systems. The eye movement cues and interpretations, however, are true only for right-handed persons, because the cues are opposite for left-handed people. According to experts when interviewees </w:t>
            </w:r>
            <w:r>
              <w:rPr>
                <w:rFonts w:ascii="Arial" w:hAnsi="Arial" w:cs="Arial"/>
                <w:sz w:val="24"/>
                <w:szCs w:val="24"/>
              </w:rPr>
              <w:lastRenderedPageBreak/>
              <w:t>are asked questions for which they need to recall something to respond, the eyes give away whether the metal process is deceptive or truthful as per some combinations.</w:t>
            </w:r>
          </w:p>
          <w:p w:rsidR="002340EC" w:rsidRDefault="002340EC" w:rsidP="002340EC">
            <w:pPr>
              <w:spacing w:line="360" w:lineRule="auto"/>
              <w:jc w:val="both"/>
              <w:rPr>
                <w:rFonts w:ascii="Arial" w:hAnsi="Arial" w:cs="Arial"/>
                <w:sz w:val="24"/>
                <w:szCs w:val="24"/>
              </w:rPr>
            </w:pPr>
            <w:r>
              <w:rPr>
                <w:rFonts w:ascii="Arial" w:hAnsi="Arial" w:cs="Arial"/>
                <w:noProof/>
                <w:sz w:val="24"/>
                <w:szCs w:val="24"/>
                <w:lang w:eastAsia="en-GB"/>
              </w:rPr>
              <w:drawing>
                <wp:inline distT="0" distB="0" distL="0" distR="0" wp14:anchorId="402E178F" wp14:editId="434A965A">
                  <wp:extent cx="2466975" cy="1847850"/>
                  <wp:effectExtent l="19050" t="0" r="9525" b="0"/>
                  <wp:docPr id="2" name="Picture 2" descr="C:\Users\d\Desktop\Ass 7\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Desktop\Ass 7\images.jpg"/>
                          <pic:cNvPicPr>
                            <a:picLocks noChangeAspect="1" noChangeArrowheads="1"/>
                          </pic:cNvPicPr>
                        </pic:nvPicPr>
                        <pic:blipFill>
                          <a:blip r:embed="rId9"/>
                          <a:srcRect/>
                          <a:stretch>
                            <a:fillRect/>
                          </a:stretch>
                        </pic:blipFill>
                        <pic:spPr bwMode="auto">
                          <a:xfrm>
                            <a:off x="0" y="0"/>
                            <a:ext cx="2466975" cy="1847850"/>
                          </a:xfrm>
                          <a:prstGeom prst="rect">
                            <a:avLst/>
                          </a:prstGeom>
                          <a:noFill/>
                          <a:ln w="9525">
                            <a:noFill/>
                            <a:miter lim="800000"/>
                            <a:headEnd/>
                            <a:tailEnd/>
                          </a:ln>
                        </pic:spPr>
                      </pic:pic>
                    </a:graphicData>
                  </a:graphic>
                </wp:inline>
              </w:drawing>
            </w:r>
          </w:p>
          <w:p w:rsidR="002340EC" w:rsidRPr="00380B6F" w:rsidRDefault="002340EC" w:rsidP="002340EC">
            <w:pPr>
              <w:spacing w:line="360" w:lineRule="auto"/>
              <w:jc w:val="both"/>
              <w:rPr>
                <w:rFonts w:ascii="Arial" w:hAnsi="Arial" w:cs="Arial"/>
                <w:sz w:val="24"/>
                <w:szCs w:val="24"/>
              </w:rPr>
            </w:pPr>
          </w:p>
          <w:p w:rsidR="002340EC" w:rsidRDefault="002340EC" w:rsidP="002340EC">
            <w:pPr>
              <w:pStyle w:val="ListParagraph"/>
              <w:numPr>
                <w:ilvl w:val="0"/>
                <w:numId w:val="45"/>
              </w:numPr>
              <w:spacing w:after="160" w:line="360" w:lineRule="auto"/>
              <w:jc w:val="both"/>
              <w:rPr>
                <w:rFonts w:ascii="Arial" w:hAnsi="Arial" w:cs="Arial"/>
                <w:sz w:val="24"/>
                <w:szCs w:val="24"/>
              </w:rPr>
            </w:pPr>
            <w:r>
              <w:rPr>
                <w:rFonts w:ascii="Arial" w:hAnsi="Arial" w:cs="Arial"/>
                <w:sz w:val="24"/>
                <w:szCs w:val="24"/>
              </w:rPr>
              <w:t>IN ADDITION TO BODY LANGUAGE, THERE ARE OTHER CUES WHICH HELP TO IDENTIFY LIES. WHAT ARE THESE?</w:t>
            </w:r>
          </w:p>
          <w:p w:rsidR="002340EC" w:rsidRDefault="002340EC" w:rsidP="002340EC">
            <w:pPr>
              <w:spacing w:line="360" w:lineRule="auto"/>
              <w:jc w:val="both"/>
              <w:rPr>
                <w:rFonts w:ascii="Arial" w:hAnsi="Arial" w:cs="Arial"/>
                <w:sz w:val="24"/>
                <w:szCs w:val="24"/>
              </w:rPr>
            </w:pPr>
            <w:r>
              <w:rPr>
                <w:rFonts w:ascii="Arial" w:hAnsi="Arial" w:cs="Arial"/>
                <w:sz w:val="24"/>
                <w:szCs w:val="24"/>
              </w:rPr>
              <w:t>In addition to body language cues, there are other cues that are used to identify lies. A list of some areas of cues and an example of each follow:</w:t>
            </w:r>
          </w:p>
          <w:p w:rsidR="002340EC" w:rsidRDefault="002340EC" w:rsidP="002340EC">
            <w:pPr>
              <w:pStyle w:val="ListParagraph"/>
              <w:numPr>
                <w:ilvl w:val="0"/>
                <w:numId w:val="46"/>
              </w:numPr>
              <w:spacing w:after="160" w:line="360" w:lineRule="auto"/>
              <w:jc w:val="both"/>
              <w:rPr>
                <w:rFonts w:ascii="Arial" w:hAnsi="Arial" w:cs="Arial"/>
                <w:sz w:val="24"/>
                <w:szCs w:val="24"/>
              </w:rPr>
            </w:pPr>
            <w:r>
              <w:rPr>
                <w:rFonts w:ascii="Arial" w:hAnsi="Arial" w:cs="Arial"/>
                <w:sz w:val="24"/>
                <w:szCs w:val="24"/>
              </w:rPr>
              <w:t>Interpersonal interactions. Shakes head “yes” after the point is made, inconsistent gestures.</w:t>
            </w:r>
          </w:p>
          <w:p w:rsidR="002340EC" w:rsidRDefault="002340EC" w:rsidP="002340EC">
            <w:pPr>
              <w:pStyle w:val="ListParagraph"/>
              <w:numPr>
                <w:ilvl w:val="0"/>
                <w:numId w:val="46"/>
              </w:numPr>
              <w:spacing w:after="160" w:line="360" w:lineRule="auto"/>
              <w:jc w:val="both"/>
              <w:rPr>
                <w:rFonts w:ascii="Arial" w:hAnsi="Arial" w:cs="Arial"/>
                <w:sz w:val="24"/>
                <w:szCs w:val="24"/>
              </w:rPr>
            </w:pPr>
            <w:r>
              <w:rPr>
                <w:rFonts w:ascii="Arial" w:hAnsi="Arial" w:cs="Arial"/>
                <w:sz w:val="24"/>
                <w:szCs w:val="24"/>
              </w:rPr>
              <w:t>Emotional states. Deceitful people tend to avoid touching the person questioning them.</w:t>
            </w:r>
          </w:p>
          <w:p w:rsidR="002340EC" w:rsidRDefault="002340EC" w:rsidP="002340EC">
            <w:pPr>
              <w:pStyle w:val="ListParagraph"/>
              <w:numPr>
                <w:ilvl w:val="0"/>
                <w:numId w:val="46"/>
              </w:numPr>
              <w:spacing w:after="160" w:line="360" w:lineRule="auto"/>
              <w:jc w:val="both"/>
              <w:rPr>
                <w:rFonts w:ascii="Arial" w:hAnsi="Arial" w:cs="Arial"/>
                <w:sz w:val="24"/>
                <w:szCs w:val="24"/>
              </w:rPr>
            </w:pPr>
            <w:r>
              <w:rPr>
                <w:rFonts w:ascii="Arial" w:hAnsi="Arial" w:cs="Arial"/>
                <w:sz w:val="24"/>
                <w:szCs w:val="24"/>
              </w:rPr>
              <w:t>Verbal content. Reflects question back as the answer immediately after the question, “Did you write a check to yourself?” “No, I didn’t write a check to myself.”</w:t>
            </w:r>
          </w:p>
          <w:p w:rsidR="002340EC" w:rsidRDefault="002340EC" w:rsidP="002340EC">
            <w:pPr>
              <w:pStyle w:val="ListParagraph"/>
              <w:numPr>
                <w:ilvl w:val="0"/>
                <w:numId w:val="46"/>
              </w:numPr>
              <w:spacing w:after="160" w:line="360" w:lineRule="auto"/>
              <w:jc w:val="both"/>
              <w:rPr>
                <w:rFonts w:ascii="Arial" w:hAnsi="Arial" w:cs="Arial"/>
                <w:sz w:val="24"/>
                <w:szCs w:val="24"/>
              </w:rPr>
            </w:pPr>
            <w:r>
              <w:rPr>
                <w:rFonts w:ascii="Arial" w:hAnsi="Arial" w:cs="Arial"/>
                <w:sz w:val="24"/>
                <w:szCs w:val="24"/>
              </w:rPr>
              <w:t>How comments are made. Disassociating people, events, and so on by replacing the pronoun – “the equipment” versus “my equipment.”</w:t>
            </w:r>
          </w:p>
          <w:p w:rsidR="002340EC" w:rsidRDefault="002340EC" w:rsidP="002340EC">
            <w:pPr>
              <w:pStyle w:val="ListParagraph"/>
              <w:numPr>
                <w:ilvl w:val="0"/>
                <w:numId w:val="46"/>
              </w:numPr>
              <w:spacing w:after="160" w:line="360" w:lineRule="auto"/>
              <w:jc w:val="both"/>
              <w:rPr>
                <w:rFonts w:ascii="Arial" w:hAnsi="Arial" w:cs="Arial"/>
                <w:sz w:val="24"/>
                <w:szCs w:val="24"/>
              </w:rPr>
            </w:pPr>
            <w:r>
              <w:rPr>
                <w:rFonts w:ascii="Arial" w:hAnsi="Arial" w:cs="Arial"/>
                <w:sz w:val="24"/>
                <w:szCs w:val="24"/>
              </w:rPr>
              <w:t>Psychological frames. Deceitful statements almost always omit what went wrong in describing events, except concerning delays or cancellations.</w:t>
            </w:r>
          </w:p>
          <w:p w:rsidR="002340EC" w:rsidRPr="00086F3E" w:rsidRDefault="002340EC" w:rsidP="002340EC">
            <w:pPr>
              <w:spacing w:line="360" w:lineRule="auto"/>
              <w:jc w:val="both"/>
              <w:rPr>
                <w:rFonts w:ascii="Arial" w:hAnsi="Arial" w:cs="Arial"/>
                <w:sz w:val="24"/>
                <w:szCs w:val="24"/>
              </w:rPr>
            </w:pPr>
            <w:r>
              <w:rPr>
                <w:rFonts w:ascii="Arial" w:hAnsi="Arial" w:cs="Arial"/>
                <w:sz w:val="24"/>
                <w:szCs w:val="24"/>
              </w:rPr>
              <w:t>As interesting as these signs are, there is enough inconsistency to create problems. Yet it would be helpful if a fraud investigator at least was aware of these signs.</w:t>
            </w:r>
          </w:p>
          <w:p w:rsidR="002340EC" w:rsidRDefault="002340EC" w:rsidP="002340EC">
            <w:pPr>
              <w:spacing w:line="360" w:lineRule="auto"/>
              <w:jc w:val="both"/>
              <w:rPr>
                <w:rFonts w:ascii="Arial" w:hAnsi="Arial" w:cs="Arial"/>
                <w:sz w:val="24"/>
                <w:szCs w:val="24"/>
              </w:rPr>
            </w:pPr>
          </w:p>
          <w:p w:rsidR="002340EC" w:rsidRDefault="002340EC" w:rsidP="002340EC">
            <w:pPr>
              <w:pStyle w:val="ListParagraph"/>
              <w:numPr>
                <w:ilvl w:val="0"/>
                <w:numId w:val="44"/>
              </w:numPr>
              <w:spacing w:after="160" w:line="360" w:lineRule="auto"/>
              <w:jc w:val="both"/>
              <w:rPr>
                <w:rFonts w:ascii="Arial" w:hAnsi="Arial" w:cs="Arial"/>
                <w:sz w:val="24"/>
                <w:szCs w:val="24"/>
              </w:rPr>
            </w:pPr>
            <w:r>
              <w:rPr>
                <w:rFonts w:ascii="Arial" w:hAnsi="Arial" w:cs="Arial"/>
                <w:sz w:val="24"/>
                <w:szCs w:val="24"/>
              </w:rPr>
              <w:t>‘ASKING QUESTIONS IN AN AUDIT IS DIFFERENT FROM ASKING QUESTIONS IN FRAUD INVESTIGATION.’ DISCUSS THIS.</w:t>
            </w:r>
          </w:p>
          <w:p w:rsidR="002340EC" w:rsidRDefault="002340EC" w:rsidP="002340EC">
            <w:pPr>
              <w:spacing w:line="360" w:lineRule="auto"/>
              <w:ind w:left="360"/>
              <w:jc w:val="both"/>
              <w:rPr>
                <w:rFonts w:ascii="Arial" w:hAnsi="Arial" w:cs="Arial"/>
                <w:sz w:val="24"/>
                <w:szCs w:val="24"/>
              </w:rPr>
            </w:pPr>
            <w:r>
              <w:rPr>
                <w:rFonts w:ascii="Arial" w:hAnsi="Arial" w:cs="Arial"/>
                <w:sz w:val="24"/>
                <w:szCs w:val="24"/>
              </w:rPr>
              <w:lastRenderedPageBreak/>
              <w:t xml:space="preserve">Auditors ask questions in the course of most audits, whether they are internal or external. But there is a big difference in asking questions in an audit and asking questions in a fraud investigation. </w:t>
            </w:r>
          </w:p>
          <w:p w:rsidR="002340EC" w:rsidRDefault="002340EC" w:rsidP="002340EC">
            <w:pPr>
              <w:spacing w:line="360" w:lineRule="auto"/>
              <w:ind w:left="360"/>
              <w:jc w:val="both"/>
              <w:rPr>
                <w:rFonts w:ascii="Arial" w:hAnsi="Arial" w:cs="Arial"/>
                <w:sz w:val="24"/>
                <w:szCs w:val="24"/>
              </w:rPr>
            </w:pPr>
            <w:r>
              <w:rPr>
                <w:rFonts w:ascii="Arial" w:hAnsi="Arial" w:cs="Arial"/>
                <w:sz w:val="24"/>
                <w:szCs w:val="24"/>
              </w:rPr>
              <w:t>The goals are different: one has the goal of determining the material correctness of the financial statements, and the other has the goal of uncovering fraudulent activity.</w:t>
            </w:r>
          </w:p>
          <w:p w:rsidR="002340EC" w:rsidRDefault="002340EC" w:rsidP="002340EC">
            <w:pPr>
              <w:spacing w:line="360" w:lineRule="auto"/>
              <w:ind w:left="360"/>
              <w:jc w:val="both"/>
              <w:rPr>
                <w:rFonts w:ascii="Arial" w:hAnsi="Arial" w:cs="Arial"/>
                <w:sz w:val="24"/>
                <w:szCs w:val="24"/>
              </w:rPr>
            </w:pPr>
            <w:r>
              <w:rPr>
                <w:rFonts w:ascii="Arial" w:hAnsi="Arial" w:cs="Arial"/>
                <w:sz w:val="24"/>
                <w:szCs w:val="24"/>
              </w:rPr>
              <w:t xml:space="preserve">The goal of a normal audit is for an independent accounting firm to express an opinion as to whether a company’s financial statements are fairly presented. The company prepares the financial statements and asks the audit firm the question, “is this correct?” Towards the end of the audit, the audit firm will submit a list of ‘adjusting journal entries,’ for senior financial management’s review, discussion and possible booking. These issues are mutually worked through between company’s senior management and the audit firm’s partner. 99% of the time, a mutual agreement is achieved. </w:t>
            </w:r>
          </w:p>
          <w:p w:rsidR="002340EC" w:rsidRDefault="002340EC" w:rsidP="002340EC">
            <w:pPr>
              <w:spacing w:line="360" w:lineRule="auto"/>
              <w:ind w:left="360"/>
              <w:jc w:val="both"/>
              <w:rPr>
                <w:rFonts w:ascii="Arial" w:hAnsi="Arial" w:cs="Arial"/>
                <w:sz w:val="24"/>
                <w:szCs w:val="24"/>
              </w:rPr>
            </w:pPr>
            <w:r>
              <w:rPr>
                <w:rFonts w:ascii="Arial" w:hAnsi="Arial" w:cs="Arial"/>
                <w:sz w:val="24"/>
                <w:szCs w:val="24"/>
              </w:rPr>
              <w:t>At the end of the day, a set of financial statements can be viewed by any outside party or investor that has a fair amount of credibility to them. While the techniques previous describe does provide for reasonable assurance that a company’s financial statements are materially correct, no opinion is expressed if any financial improprieties or fraudulent activity was detected. This is outside of the scope of a normal audit.</w:t>
            </w:r>
          </w:p>
          <w:p w:rsidR="002340EC" w:rsidRDefault="002340EC" w:rsidP="002340EC">
            <w:pPr>
              <w:spacing w:line="360" w:lineRule="auto"/>
              <w:ind w:left="360"/>
              <w:jc w:val="both"/>
              <w:rPr>
                <w:rFonts w:ascii="Arial" w:hAnsi="Arial" w:cs="Arial"/>
                <w:sz w:val="24"/>
                <w:szCs w:val="24"/>
              </w:rPr>
            </w:pPr>
            <w:r>
              <w:rPr>
                <w:rFonts w:ascii="Arial" w:hAnsi="Arial" w:cs="Arial"/>
                <w:sz w:val="24"/>
                <w:szCs w:val="24"/>
              </w:rPr>
              <w:t>A fraud audit is a separate engagement from a financial statement audit. In a fraud audit, there typically is an allegation of fraud or a fraud has already been discovered; the accountant is called in to gather evidence or to act as an expert witness in connection with legal proceedings relating to the fraud. He or she is not asked to give an opinion on the financial statements as a whole.</w:t>
            </w:r>
          </w:p>
          <w:p w:rsidR="002340EC" w:rsidRDefault="002340EC" w:rsidP="002340EC">
            <w:pPr>
              <w:spacing w:line="360" w:lineRule="auto"/>
              <w:ind w:left="360"/>
              <w:jc w:val="both"/>
              <w:rPr>
                <w:rFonts w:ascii="Arial" w:hAnsi="Arial" w:cs="Arial"/>
                <w:sz w:val="24"/>
                <w:szCs w:val="24"/>
              </w:rPr>
            </w:pPr>
            <w:r>
              <w:rPr>
                <w:rFonts w:ascii="Arial" w:hAnsi="Arial" w:cs="Arial"/>
                <w:sz w:val="24"/>
                <w:szCs w:val="24"/>
              </w:rPr>
              <w:t>The following table lists some of the principal differences.</w:t>
            </w:r>
          </w:p>
          <w:tbl>
            <w:tblPr>
              <w:tblStyle w:val="TableGrid"/>
              <w:tblW w:w="0" w:type="auto"/>
              <w:tblInd w:w="360" w:type="dxa"/>
              <w:tblLook w:val="04A0" w:firstRow="1" w:lastRow="0" w:firstColumn="1" w:lastColumn="0" w:noHBand="0" w:noVBand="1"/>
            </w:tblPr>
            <w:tblGrid>
              <w:gridCol w:w="2806"/>
              <w:gridCol w:w="2798"/>
              <w:gridCol w:w="2826"/>
            </w:tblGrid>
            <w:tr w:rsidR="002340EC" w:rsidTr="003D3779">
              <w:tc>
                <w:tcPr>
                  <w:tcW w:w="3020" w:type="dxa"/>
                </w:tcPr>
                <w:p w:rsidR="002340EC" w:rsidRDefault="002340EC" w:rsidP="002340EC">
                  <w:pPr>
                    <w:spacing w:line="360" w:lineRule="auto"/>
                    <w:jc w:val="both"/>
                    <w:rPr>
                      <w:rFonts w:ascii="Arial" w:hAnsi="Arial" w:cs="Arial"/>
                      <w:sz w:val="24"/>
                      <w:szCs w:val="24"/>
                    </w:rPr>
                  </w:pPr>
                  <w:r>
                    <w:rPr>
                      <w:rFonts w:ascii="Arial" w:hAnsi="Arial" w:cs="Arial"/>
                      <w:sz w:val="24"/>
                      <w:szCs w:val="24"/>
                    </w:rPr>
                    <w:t>Issue</w:t>
                  </w:r>
                </w:p>
              </w:tc>
              <w:tc>
                <w:tcPr>
                  <w:tcW w:w="3021" w:type="dxa"/>
                </w:tcPr>
                <w:p w:rsidR="002340EC" w:rsidRDefault="002340EC" w:rsidP="002340EC">
                  <w:pPr>
                    <w:spacing w:line="360" w:lineRule="auto"/>
                    <w:jc w:val="both"/>
                    <w:rPr>
                      <w:rFonts w:ascii="Arial" w:hAnsi="Arial" w:cs="Arial"/>
                      <w:sz w:val="24"/>
                      <w:szCs w:val="24"/>
                    </w:rPr>
                  </w:pPr>
                  <w:r>
                    <w:rPr>
                      <w:rFonts w:ascii="Arial" w:hAnsi="Arial" w:cs="Arial"/>
                      <w:sz w:val="24"/>
                      <w:szCs w:val="24"/>
                    </w:rPr>
                    <w:t>Auditing</w:t>
                  </w:r>
                </w:p>
              </w:tc>
              <w:tc>
                <w:tcPr>
                  <w:tcW w:w="3021" w:type="dxa"/>
                </w:tcPr>
                <w:p w:rsidR="002340EC" w:rsidRDefault="002340EC" w:rsidP="002340EC">
                  <w:pPr>
                    <w:spacing w:line="360" w:lineRule="auto"/>
                    <w:jc w:val="both"/>
                    <w:rPr>
                      <w:rFonts w:ascii="Arial" w:hAnsi="Arial" w:cs="Arial"/>
                      <w:sz w:val="24"/>
                      <w:szCs w:val="24"/>
                    </w:rPr>
                  </w:pPr>
                  <w:r>
                    <w:rPr>
                      <w:rFonts w:ascii="Arial" w:hAnsi="Arial" w:cs="Arial"/>
                      <w:sz w:val="24"/>
                      <w:szCs w:val="24"/>
                    </w:rPr>
                    <w:t>Fraud Investigation</w:t>
                  </w:r>
                </w:p>
              </w:tc>
            </w:tr>
            <w:tr w:rsidR="002340EC" w:rsidTr="003D3779">
              <w:tc>
                <w:tcPr>
                  <w:tcW w:w="3020" w:type="dxa"/>
                </w:tcPr>
                <w:p w:rsidR="002340EC" w:rsidRDefault="002340EC" w:rsidP="002340EC">
                  <w:pPr>
                    <w:spacing w:line="360" w:lineRule="auto"/>
                    <w:jc w:val="both"/>
                    <w:rPr>
                      <w:rFonts w:ascii="Arial" w:hAnsi="Arial" w:cs="Arial"/>
                      <w:sz w:val="24"/>
                      <w:szCs w:val="24"/>
                    </w:rPr>
                  </w:pPr>
                  <w:r>
                    <w:rPr>
                      <w:rFonts w:ascii="Arial" w:hAnsi="Arial" w:cs="Arial"/>
                      <w:sz w:val="24"/>
                      <w:szCs w:val="24"/>
                    </w:rPr>
                    <w:t>Timing</w:t>
                  </w:r>
                </w:p>
              </w:tc>
              <w:tc>
                <w:tcPr>
                  <w:tcW w:w="3021" w:type="dxa"/>
                </w:tcPr>
                <w:p w:rsidR="002340EC" w:rsidRDefault="002340EC" w:rsidP="002340EC">
                  <w:pPr>
                    <w:spacing w:line="360" w:lineRule="auto"/>
                    <w:jc w:val="both"/>
                    <w:rPr>
                      <w:rFonts w:ascii="Arial" w:hAnsi="Arial" w:cs="Arial"/>
                      <w:sz w:val="24"/>
                      <w:szCs w:val="24"/>
                    </w:rPr>
                  </w:pPr>
                  <w:r>
                    <w:rPr>
                      <w:rFonts w:ascii="Arial" w:hAnsi="Arial" w:cs="Arial"/>
                      <w:sz w:val="24"/>
                      <w:szCs w:val="24"/>
                    </w:rPr>
                    <w:t>Recurring</w:t>
                  </w:r>
                </w:p>
                <w:p w:rsidR="002340EC" w:rsidRDefault="002340EC" w:rsidP="002340EC">
                  <w:pPr>
                    <w:spacing w:line="360" w:lineRule="auto"/>
                    <w:jc w:val="both"/>
                    <w:rPr>
                      <w:rFonts w:ascii="Arial" w:hAnsi="Arial" w:cs="Arial"/>
                      <w:sz w:val="24"/>
                      <w:szCs w:val="24"/>
                    </w:rPr>
                  </w:pPr>
                  <w:r>
                    <w:rPr>
                      <w:rFonts w:ascii="Arial" w:hAnsi="Arial" w:cs="Arial"/>
                      <w:sz w:val="24"/>
                      <w:szCs w:val="24"/>
                    </w:rPr>
                    <w:t>Audits are conducted on a regular recurring basis</w:t>
                  </w:r>
                </w:p>
              </w:tc>
              <w:tc>
                <w:tcPr>
                  <w:tcW w:w="3021" w:type="dxa"/>
                </w:tcPr>
                <w:p w:rsidR="002340EC" w:rsidRDefault="002340EC" w:rsidP="002340EC">
                  <w:pPr>
                    <w:spacing w:line="360" w:lineRule="auto"/>
                    <w:jc w:val="both"/>
                    <w:rPr>
                      <w:rFonts w:ascii="Arial" w:hAnsi="Arial" w:cs="Arial"/>
                      <w:sz w:val="24"/>
                      <w:szCs w:val="24"/>
                    </w:rPr>
                  </w:pPr>
                  <w:r>
                    <w:rPr>
                      <w:rFonts w:ascii="Arial" w:hAnsi="Arial" w:cs="Arial"/>
                      <w:sz w:val="24"/>
                      <w:szCs w:val="24"/>
                    </w:rPr>
                    <w:t>Non Recurring</w:t>
                  </w:r>
                </w:p>
                <w:p w:rsidR="002340EC" w:rsidRDefault="002340EC" w:rsidP="002340EC">
                  <w:pPr>
                    <w:spacing w:line="360" w:lineRule="auto"/>
                    <w:jc w:val="both"/>
                    <w:rPr>
                      <w:rFonts w:ascii="Arial" w:hAnsi="Arial" w:cs="Arial"/>
                      <w:sz w:val="24"/>
                      <w:szCs w:val="24"/>
                    </w:rPr>
                  </w:pPr>
                  <w:r>
                    <w:rPr>
                      <w:rFonts w:ascii="Arial" w:hAnsi="Arial" w:cs="Arial"/>
                      <w:sz w:val="24"/>
                      <w:szCs w:val="24"/>
                    </w:rPr>
                    <w:t>Fraud examinations are non-recurring. They are conducted only with sufficient predication.</w:t>
                  </w:r>
                </w:p>
              </w:tc>
            </w:tr>
            <w:tr w:rsidR="002340EC" w:rsidTr="003D3779">
              <w:tc>
                <w:tcPr>
                  <w:tcW w:w="3020" w:type="dxa"/>
                </w:tcPr>
                <w:p w:rsidR="002340EC" w:rsidRDefault="002340EC" w:rsidP="002340EC">
                  <w:pPr>
                    <w:spacing w:line="360" w:lineRule="auto"/>
                    <w:jc w:val="both"/>
                    <w:rPr>
                      <w:rFonts w:ascii="Arial" w:hAnsi="Arial" w:cs="Arial"/>
                      <w:sz w:val="24"/>
                      <w:szCs w:val="24"/>
                    </w:rPr>
                  </w:pPr>
                  <w:r>
                    <w:rPr>
                      <w:rFonts w:ascii="Arial" w:hAnsi="Arial" w:cs="Arial"/>
                      <w:sz w:val="24"/>
                      <w:szCs w:val="24"/>
                    </w:rPr>
                    <w:t>Scope</w:t>
                  </w:r>
                </w:p>
              </w:tc>
              <w:tc>
                <w:tcPr>
                  <w:tcW w:w="3021" w:type="dxa"/>
                </w:tcPr>
                <w:p w:rsidR="002340EC" w:rsidRDefault="002340EC" w:rsidP="002340EC">
                  <w:pPr>
                    <w:spacing w:line="360" w:lineRule="auto"/>
                    <w:jc w:val="both"/>
                    <w:rPr>
                      <w:rFonts w:ascii="Arial" w:hAnsi="Arial" w:cs="Arial"/>
                      <w:sz w:val="24"/>
                      <w:szCs w:val="24"/>
                    </w:rPr>
                  </w:pPr>
                  <w:r>
                    <w:rPr>
                      <w:rFonts w:ascii="Arial" w:hAnsi="Arial" w:cs="Arial"/>
                      <w:sz w:val="24"/>
                      <w:szCs w:val="24"/>
                    </w:rPr>
                    <w:t>General</w:t>
                  </w:r>
                </w:p>
                <w:p w:rsidR="002340EC" w:rsidRDefault="002340EC" w:rsidP="002340EC">
                  <w:pPr>
                    <w:spacing w:line="360" w:lineRule="auto"/>
                    <w:jc w:val="both"/>
                    <w:rPr>
                      <w:rFonts w:ascii="Arial" w:hAnsi="Arial" w:cs="Arial"/>
                      <w:sz w:val="24"/>
                      <w:szCs w:val="24"/>
                    </w:rPr>
                  </w:pPr>
                  <w:r>
                    <w:rPr>
                      <w:rFonts w:ascii="Arial" w:hAnsi="Arial" w:cs="Arial"/>
                      <w:sz w:val="24"/>
                      <w:szCs w:val="24"/>
                    </w:rPr>
                    <w:lastRenderedPageBreak/>
                    <w:t>The scope of the audit is a general examination of financial data</w:t>
                  </w:r>
                </w:p>
              </w:tc>
              <w:tc>
                <w:tcPr>
                  <w:tcW w:w="3021" w:type="dxa"/>
                </w:tcPr>
                <w:p w:rsidR="002340EC" w:rsidRDefault="002340EC" w:rsidP="002340EC">
                  <w:pPr>
                    <w:spacing w:line="360" w:lineRule="auto"/>
                    <w:jc w:val="both"/>
                    <w:rPr>
                      <w:rFonts w:ascii="Arial" w:hAnsi="Arial" w:cs="Arial"/>
                      <w:sz w:val="24"/>
                      <w:szCs w:val="24"/>
                    </w:rPr>
                  </w:pPr>
                  <w:r>
                    <w:rPr>
                      <w:rFonts w:ascii="Arial" w:hAnsi="Arial" w:cs="Arial"/>
                      <w:sz w:val="24"/>
                      <w:szCs w:val="24"/>
                    </w:rPr>
                    <w:lastRenderedPageBreak/>
                    <w:t>Specific</w:t>
                  </w:r>
                </w:p>
                <w:p w:rsidR="002340EC" w:rsidRDefault="002340EC" w:rsidP="002340EC">
                  <w:pPr>
                    <w:spacing w:line="360" w:lineRule="auto"/>
                    <w:jc w:val="both"/>
                    <w:rPr>
                      <w:rFonts w:ascii="Arial" w:hAnsi="Arial" w:cs="Arial"/>
                      <w:sz w:val="24"/>
                      <w:szCs w:val="24"/>
                    </w:rPr>
                  </w:pPr>
                  <w:r>
                    <w:rPr>
                      <w:rFonts w:ascii="Arial" w:hAnsi="Arial" w:cs="Arial"/>
                      <w:sz w:val="24"/>
                      <w:szCs w:val="24"/>
                    </w:rPr>
                    <w:lastRenderedPageBreak/>
                    <w:t>The fraud examination is conducted to resolve specific allegations.</w:t>
                  </w:r>
                </w:p>
              </w:tc>
            </w:tr>
            <w:tr w:rsidR="002340EC" w:rsidTr="003D3779">
              <w:tc>
                <w:tcPr>
                  <w:tcW w:w="3020" w:type="dxa"/>
                </w:tcPr>
                <w:p w:rsidR="002340EC" w:rsidRDefault="002340EC" w:rsidP="002340EC">
                  <w:pPr>
                    <w:spacing w:line="360" w:lineRule="auto"/>
                    <w:jc w:val="both"/>
                    <w:rPr>
                      <w:rFonts w:ascii="Arial" w:hAnsi="Arial" w:cs="Arial"/>
                      <w:sz w:val="24"/>
                      <w:szCs w:val="24"/>
                    </w:rPr>
                  </w:pPr>
                  <w:r>
                    <w:rPr>
                      <w:rFonts w:ascii="Arial" w:hAnsi="Arial" w:cs="Arial"/>
                      <w:sz w:val="24"/>
                      <w:szCs w:val="24"/>
                    </w:rPr>
                    <w:lastRenderedPageBreak/>
                    <w:t>Objective</w:t>
                  </w:r>
                </w:p>
              </w:tc>
              <w:tc>
                <w:tcPr>
                  <w:tcW w:w="3021" w:type="dxa"/>
                </w:tcPr>
                <w:p w:rsidR="002340EC" w:rsidRDefault="002340EC" w:rsidP="002340EC">
                  <w:pPr>
                    <w:spacing w:line="360" w:lineRule="auto"/>
                    <w:jc w:val="both"/>
                    <w:rPr>
                      <w:rFonts w:ascii="Arial" w:hAnsi="Arial" w:cs="Arial"/>
                      <w:sz w:val="24"/>
                      <w:szCs w:val="24"/>
                    </w:rPr>
                  </w:pPr>
                  <w:r>
                    <w:rPr>
                      <w:rFonts w:ascii="Arial" w:hAnsi="Arial" w:cs="Arial"/>
                      <w:sz w:val="24"/>
                      <w:szCs w:val="24"/>
                    </w:rPr>
                    <w:t>Opinion</w:t>
                  </w:r>
                </w:p>
                <w:p w:rsidR="002340EC" w:rsidRDefault="002340EC" w:rsidP="002340EC">
                  <w:pPr>
                    <w:spacing w:line="360" w:lineRule="auto"/>
                    <w:jc w:val="both"/>
                    <w:rPr>
                      <w:rFonts w:ascii="Arial" w:hAnsi="Arial" w:cs="Arial"/>
                      <w:sz w:val="24"/>
                      <w:szCs w:val="24"/>
                    </w:rPr>
                  </w:pPr>
                  <w:r>
                    <w:rPr>
                      <w:rFonts w:ascii="Arial" w:hAnsi="Arial" w:cs="Arial"/>
                      <w:sz w:val="24"/>
                      <w:szCs w:val="24"/>
                    </w:rPr>
                    <w:t>An audit is generally conducted for the purpose of expressing an opinion on the financial statements or related information.</w:t>
                  </w:r>
                </w:p>
              </w:tc>
              <w:tc>
                <w:tcPr>
                  <w:tcW w:w="3021" w:type="dxa"/>
                </w:tcPr>
                <w:p w:rsidR="002340EC" w:rsidRDefault="002340EC" w:rsidP="002340EC">
                  <w:pPr>
                    <w:spacing w:line="360" w:lineRule="auto"/>
                    <w:jc w:val="both"/>
                    <w:rPr>
                      <w:rFonts w:ascii="Arial" w:hAnsi="Arial" w:cs="Arial"/>
                      <w:sz w:val="24"/>
                      <w:szCs w:val="24"/>
                    </w:rPr>
                  </w:pPr>
                  <w:r>
                    <w:rPr>
                      <w:rFonts w:ascii="Arial" w:hAnsi="Arial" w:cs="Arial"/>
                      <w:sz w:val="24"/>
                      <w:szCs w:val="24"/>
                    </w:rPr>
                    <w:t>Affix Blame</w:t>
                  </w:r>
                </w:p>
                <w:p w:rsidR="002340EC" w:rsidRDefault="002340EC" w:rsidP="002340EC">
                  <w:pPr>
                    <w:spacing w:line="360" w:lineRule="auto"/>
                    <w:jc w:val="both"/>
                    <w:rPr>
                      <w:rFonts w:ascii="Arial" w:hAnsi="Arial" w:cs="Arial"/>
                      <w:sz w:val="24"/>
                      <w:szCs w:val="24"/>
                    </w:rPr>
                  </w:pPr>
                  <w:r>
                    <w:rPr>
                      <w:rFonts w:ascii="Arial" w:hAnsi="Arial" w:cs="Arial"/>
                      <w:sz w:val="24"/>
                      <w:szCs w:val="24"/>
                    </w:rPr>
                    <w:t>The fraud investigation’s goal is to determine whether fraud has/is occurring and to determine who is responsible.</w:t>
                  </w:r>
                </w:p>
              </w:tc>
            </w:tr>
            <w:tr w:rsidR="002340EC" w:rsidTr="003D3779">
              <w:tc>
                <w:tcPr>
                  <w:tcW w:w="3020" w:type="dxa"/>
                </w:tcPr>
                <w:p w:rsidR="002340EC" w:rsidRDefault="002340EC" w:rsidP="002340EC">
                  <w:pPr>
                    <w:spacing w:line="360" w:lineRule="auto"/>
                    <w:jc w:val="both"/>
                    <w:rPr>
                      <w:rFonts w:ascii="Arial" w:hAnsi="Arial" w:cs="Arial"/>
                      <w:sz w:val="24"/>
                      <w:szCs w:val="24"/>
                    </w:rPr>
                  </w:pPr>
                  <w:r>
                    <w:rPr>
                      <w:rFonts w:ascii="Arial" w:hAnsi="Arial" w:cs="Arial"/>
                      <w:sz w:val="24"/>
                      <w:szCs w:val="24"/>
                    </w:rPr>
                    <w:t>Relationship</w:t>
                  </w:r>
                </w:p>
              </w:tc>
              <w:tc>
                <w:tcPr>
                  <w:tcW w:w="3021" w:type="dxa"/>
                </w:tcPr>
                <w:p w:rsidR="002340EC" w:rsidRDefault="002340EC" w:rsidP="002340EC">
                  <w:pPr>
                    <w:spacing w:line="360" w:lineRule="auto"/>
                    <w:jc w:val="both"/>
                    <w:rPr>
                      <w:rFonts w:ascii="Arial" w:hAnsi="Arial" w:cs="Arial"/>
                      <w:sz w:val="24"/>
                      <w:szCs w:val="24"/>
                    </w:rPr>
                  </w:pPr>
                  <w:r>
                    <w:rPr>
                      <w:rFonts w:ascii="Arial" w:hAnsi="Arial" w:cs="Arial"/>
                      <w:sz w:val="24"/>
                      <w:szCs w:val="24"/>
                    </w:rPr>
                    <w:t>Non Adversarial</w:t>
                  </w:r>
                </w:p>
                <w:p w:rsidR="002340EC" w:rsidRDefault="002340EC" w:rsidP="002340EC">
                  <w:pPr>
                    <w:spacing w:line="360" w:lineRule="auto"/>
                    <w:jc w:val="both"/>
                    <w:rPr>
                      <w:rFonts w:ascii="Arial" w:hAnsi="Arial" w:cs="Arial"/>
                      <w:sz w:val="24"/>
                      <w:szCs w:val="24"/>
                    </w:rPr>
                  </w:pPr>
                  <w:r>
                    <w:rPr>
                      <w:rFonts w:ascii="Arial" w:hAnsi="Arial" w:cs="Arial"/>
                      <w:sz w:val="24"/>
                      <w:szCs w:val="24"/>
                    </w:rPr>
                    <w:t>The audit process is non-adversarial in nature.</w:t>
                  </w:r>
                </w:p>
              </w:tc>
              <w:tc>
                <w:tcPr>
                  <w:tcW w:w="3021" w:type="dxa"/>
                </w:tcPr>
                <w:p w:rsidR="002340EC" w:rsidRDefault="002340EC" w:rsidP="002340EC">
                  <w:pPr>
                    <w:spacing w:line="360" w:lineRule="auto"/>
                    <w:jc w:val="both"/>
                    <w:rPr>
                      <w:rFonts w:ascii="Arial" w:hAnsi="Arial" w:cs="Arial"/>
                      <w:sz w:val="24"/>
                      <w:szCs w:val="24"/>
                    </w:rPr>
                  </w:pPr>
                  <w:r>
                    <w:rPr>
                      <w:rFonts w:ascii="Arial" w:hAnsi="Arial" w:cs="Arial"/>
                      <w:sz w:val="24"/>
                      <w:szCs w:val="24"/>
                    </w:rPr>
                    <w:t>Adversarial</w:t>
                  </w:r>
                </w:p>
                <w:p w:rsidR="002340EC" w:rsidRDefault="002340EC" w:rsidP="002340EC">
                  <w:pPr>
                    <w:spacing w:line="360" w:lineRule="auto"/>
                    <w:jc w:val="both"/>
                    <w:rPr>
                      <w:rFonts w:ascii="Arial" w:hAnsi="Arial" w:cs="Arial"/>
                      <w:sz w:val="24"/>
                      <w:szCs w:val="24"/>
                    </w:rPr>
                  </w:pPr>
                  <w:r>
                    <w:rPr>
                      <w:rFonts w:ascii="Arial" w:hAnsi="Arial" w:cs="Arial"/>
                      <w:sz w:val="24"/>
                      <w:szCs w:val="24"/>
                    </w:rPr>
                    <w:t>Fraud examinations, because they involve efforts to affix blame, are adversarial in nature.</w:t>
                  </w:r>
                </w:p>
              </w:tc>
            </w:tr>
            <w:tr w:rsidR="002340EC" w:rsidTr="003D3779">
              <w:tc>
                <w:tcPr>
                  <w:tcW w:w="3020" w:type="dxa"/>
                </w:tcPr>
                <w:p w:rsidR="002340EC" w:rsidRDefault="002340EC" w:rsidP="002340EC">
                  <w:pPr>
                    <w:spacing w:line="360" w:lineRule="auto"/>
                    <w:jc w:val="both"/>
                    <w:rPr>
                      <w:rFonts w:ascii="Arial" w:hAnsi="Arial" w:cs="Arial"/>
                      <w:sz w:val="24"/>
                      <w:szCs w:val="24"/>
                    </w:rPr>
                  </w:pPr>
                  <w:r>
                    <w:rPr>
                      <w:rFonts w:ascii="Arial" w:hAnsi="Arial" w:cs="Arial"/>
                      <w:sz w:val="24"/>
                      <w:szCs w:val="24"/>
                    </w:rPr>
                    <w:t>Methodology</w:t>
                  </w:r>
                </w:p>
              </w:tc>
              <w:tc>
                <w:tcPr>
                  <w:tcW w:w="3021" w:type="dxa"/>
                </w:tcPr>
                <w:p w:rsidR="002340EC" w:rsidRDefault="002340EC" w:rsidP="002340EC">
                  <w:pPr>
                    <w:spacing w:line="360" w:lineRule="auto"/>
                    <w:jc w:val="both"/>
                    <w:rPr>
                      <w:rFonts w:ascii="Arial" w:hAnsi="Arial" w:cs="Arial"/>
                      <w:sz w:val="24"/>
                      <w:szCs w:val="24"/>
                    </w:rPr>
                  </w:pPr>
                  <w:r>
                    <w:rPr>
                      <w:rFonts w:ascii="Arial" w:hAnsi="Arial" w:cs="Arial"/>
                      <w:sz w:val="24"/>
                      <w:szCs w:val="24"/>
                    </w:rPr>
                    <w:t>Audit Techniques</w:t>
                  </w:r>
                </w:p>
                <w:p w:rsidR="002340EC" w:rsidRDefault="002340EC" w:rsidP="002340EC">
                  <w:pPr>
                    <w:spacing w:line="360" w:lineRule="auto"/>
                    <w:jc w:val="both"/>
                    <w:rPr>
                      <w:rFonts w:ascii="Arial" w:hAnsi="Arial" w:cs="Arial"/>
                      <w:sz w:val="24"/>
                      <w:szCs w:val="24"/>
                    </w:rPr>
                  </w:pPr>
                  <w:r>
                    <w:rPr>
                      <w:rFonts w:ascii="Arial" w:hAnsi="Arial" w:cs="Arial"/>
                      <w:sz w:val="24"/>
                      <w:szCs w:val="24"/>
                    </w:rPr>
                    <w:t>Audits are conducted primarily by examining financial data.</w:t>
                  </w:r>
                </w:p>
              </w:tc>
              <w:tc>
                <w:tcPr>
                  <w:tcW w:w="3021" w:type="dxa"/>
                </w:tcPr>
                <w:p w:rsidR="002340EC" w:rsidRDefault="002340EC" w:rsidP="002340EC">
                  <w:pPr>
                    <w:spacing w:line="360" w:lineRule="auto"/>
                    <w:jc w:val="both"/>
                    <w:rPr>
                      <w:rFonts w:ascii="Arial" w:hAnsi="Arial" w:cs="Arial"/>
                      <w:sz w:val="24"/>
                      <w:szCs w:val="24"/>
                    </w:rPr>
                  </w:pPr>
                  <w:r>
                    <w:rPr>
                      <w:rFonts w:ascii="Arial" w:hAnsi="Arial" w:cs="Arial"/>
                      <w:sz w:val="24"/>
                      <w:szCs w:val="24"/>
                    </w:rPr>
                    <w:t>Fraud Examination Techniques</w:t>
                  </w:r>
                </w:p>
                <w:p w:rsidR="002340EC" w:rsidRDefault="002340EC" w:rsidP="002340EC">
                  <w:pPr>
                    <w:spacing w:line="360" w:lineRule="auto"/>
                    <w:jc w:val="both"/>
                    <w:rPr>
                      <w:rFonts w:ascii="Arial" w:hAnsi="Arial" w:cs="Arial"/>
                      <w:sz w:val="24"/>
                      <w:szCs w:val="24"/>
                    </w:rPr>
                  </w:pPr>
                  <w:r>
                    <w:rPr>
                      <w:rFonts w:ascii="Arial" w:hAnsi="Arial" w:cs="Arial"/>
                      <w:sz w:val="24"/>
                      <w:szCs w:val="24"/>
                    </w:rPr>
                    <w:t>Fraud examinations are conducted by document examination, review of outside data such as public records and interviews.</w:t>
                  </w:r>
                </w:p>
              </w:tc>
            </w:tr>
            <w:tr w:rsidR="002340EC" w:rsidTr="003D3779">
              <w:tc>
                <w:tcPr>
                  <w:tcW w:w="3020" w:type="dxa"/>
                </w:tcPr>
                <w:p w:rsidR="002340EC" w:rsidRDefault="002340EC" w:rsidP="002340EC">
                  <w:pPr>
                    <w:spacing w:line="360" w:lineRule="auto"/>
                    <w:jc w:val="both"/>
                    <w:rPr>
                      <w:rFonts w:ascii="Arial" w:hAnsi="Arial" w:cs="Arial"/>
                      <w:sz w:val="24"/>
                      <w:szCs w:val="24"/>
                    </w:rPr>
                  </w:pPr>
                  <w:r>
                    <w:rPr>
                      <w:rFonts w:ascii="Arial" w:hAnsi="Arial" w:cs="Arial"/>
                      <w:sz w:val="24"/>
                      <w:szCs w:val="24"/>
                    </w:rPr>
                    <w:t>Presumption</w:t>
                  </w:r>
                </w:p>
              </w:tc>
              <w:tc>
                <w:tcPr>
                  <w:tcW w:w="3021" w:type="dxa"/>
                </w:tcPr>
                <w:p w:rsidR="002340EC" w:rsidRDefault="002340EC" w:rsidP="002340EC">
                  <w:pPr>
                    <w:spacing w:line="360" w:lineRule="auto"/>
                    <w:jc w:val="both"/>
                    <w:rPr>
                      <w:rFonts w:ascii="Arial" w:hAnsi="Arial" w:cs="Arial"/>
                      <w:sz w:val="24"/>
                      <w:szCs w:val="24"/>
                    </w:rPr>
                  </w:pPr>
                  <w:r>
                    <w:rPr>
                      <w:rFonts w:ascii="Arial" w:hAnsi="Arial" w:cs="Arial"/>
                      <w:sz w:val="24"/>
                      <w:szCs w:val="24"/>
                    </w:rPr>
                    <w:t>Professional Scepticism</w:t>
                  </w:r>
                </w:p>
                <w:p w:rsidR="002340EC" w:rsidRDefault="002340EC" w:rsidP="002340EC">
                  <w:pPr>
                    <w:spacing w:line="360" w:lineRule="auto"/>
                    <w:jc w:val="both"/>
                    <w:rPr>
                      <w:rFonts w:ascii="Arial" w:hAnsi="Arial" w:cs="Arial"/>
                      <w:sz w:val="24"/>
                      <w:szCs w:val="24"/>
                    </w:rPr>
                  </w:pPr>
                  <w:r>
                    <w:rPr>
                      <w:rFonts w:ascii="Arial" w:hAnsi="Arial" w:cs="Arial"/>
                      <w:sz w:val="24"/>
                      <w:szCs w:val="24"/>
                    </w:rPr>
                    <w:t>Auditors are required to approach audits with professional scepticism</w:t>
                  </w:r>
                </w:p>
              </w:tc>
              <w:tc>
                <w:tcPr>
                  <w:tcW w:w="3021" w:type="dxa"/>
                </w:tcPr>
                <w:p w:rsidR="002340EC" w:rsidRDefault="002340EC" w:rsidP="002340EC">
                  <w:pPr>
                    <w:spacing w:line="360" w:lineRule="auto"/>
                    <w:jc w:val="both"/>
                    <w:rPr>
                      <w:rFonts w:ascii="Arial" w:hAnsi="Arial" w:cs="Arial"/>
                      <w:sz w:val="24"/>
                      <w:szCs w:val="24"/>
                    </w:rPr>
                  </w:pPr>
                  <w:r>
                    <w:rPr>
                      <w:rFonts w:ascii="Arial" w:hAnsi="Arial" w:cs="Arial"/>
                      <w:sz w:val="24"/>
                      <w:szCs w:val="24"/>
                    </w:rPr>
                    <w:t>Proof</w:t>
                  </w:r>
                </w:p>
                <w:p w:rsidR="002340EC" w:rsidRDefault="002340EC" w:rsidP="002340EC">
                  <w:pPr>
                    <w:spacing w:line="360" w:lineRule="auto"/>
                    <w:jc w:val="both"/>
                    <w:rPr>
                      <w:rFonts w:ascii="Arial" w:hAnsi="Arial" w:cs="Arial"/>
                      <w:sz w:val="24"/>
                      <w:szCs w:val="24"/>
                    </w:rPr>
                  </w:pPr>
                  <w:r>
                    <w:rPr>
                      <w:rFonts w:ascii="Arial" w:hAnsi="Arial" w:cs="Arial"/>
                      <w:sz w:val="24"/>
                      <w:szCs w:val="24"/>
                    </w:rPr>
                    <w:t>Fraud examiners approach the resolution of a fraud by attempting to establish sufficient proof to support or refute an allegation of fraud.</w:t>
                  </w:r>
                </w:p>
              </w:tc>
            </w:tr>
          </w:tbl>
          <w:p w:rsidR="002340EC" w:rsidRDefault="002340EC" w:rsidP="002340EC">
            <w:pPr>
              <w:spacing w:line="360" w:lineRule="auto"/>
              <w:jc w:val="both"/>
              <w:rPr>
                <w:rFonts w:ascii="Arial" w:hAnsi="Arial" w:cs="Arial"/>
                <w:sz w:val="24"/>
                <w:szCs w:val="24"/>
              </w:rPr>
            </w:pPr>
          </w:p>
          <w:p w:rsidR="002340EC" w:rsidRPr="00381500" w:rsidRDefault="002340EC" w:rsidP="002340EC">
            <w:pPr>
              <w:spacing w:line="360" w:lineRule="auto"/>
              <w:jc w:val="both"/>
              <w:rPr>
                <w:rFonts w:ascii="Arial" w:hAnsi="Arial" w:cs="Arial"/>
                <w:sz w:val="24"/>
                <w:szCs w:val="24"/>
              </w:rPr>
            </w:pPr>
            <w:r>
              <w:rPr>
                <w:rFonts w:ascii="Arial" w:hAnsi="Arial" w:cs="Arial"/>
                <w:sz w:val="24"/>
                <w:szCs w:val="24"/>
              </w:rPr>
              <w:t xml:space="preserve">Investigators will interview expert witnesses to gather evidence to establish the criminal act so as to confront the fraudster with those damning evidence. At one </w:t>
            </w:r>
            <w:r>
              <w:rPr>
                <w:rFonts w:ascii="Arial" w:hAnsi="Arial" w:cs="Arial"/>
                <w:sz w:val="24"/>
                <w:szCs w:val="24"/>
              </w:rPr>
              <w:lastRenderedPageBreak/>
              <w:t>point in time, the investigator may even charge the fraudster which is entirely not the case for an audit process.</w:t>
            </w:r>
          </w:p>
          <w:p w:rsidR="002340EC" w:rsidRPr="00381500" w:rsidRDefault="002340EC" w:rsidP="002340EC">
            <w:pPr>
              <w:pStyle w:val="ListParagraph"/>
              <w:numPr>
                <w:ilvl w:val="0"/>
                <w:numId w:val="44"/>
              </w:numPr>
              <w:spacing w:after="160" w:line="360" w:lineRule="auto"/>
              <w:jc w:val="both"/>
              <w:rPr>
                <w:rFonts w:ascii="Arial" w:hAnsi="Arial" w:cs="Arial"/>
                <w:sz w:val="24"/>
                <w:szCs w:val="24"/>
              </w:rPr>
            </w:pPr>
            <w:r w:rsidRPr="00381500">
              <w:rPr>
                <w:rFonts w:ascii="Arial" w:hAnsi="Arial" w:cs="Arial"/>
                <w:sz w:val="24"/>
                <w:szCs w:val="24"/>
              </w:rPr>
              <w:t>DISCUSS THE INTERVIEWING PROCEDURE FOR A FINANCIALLY SOPHISTICATED VICTIM.</w:t>
            </w:r>
          </w:p>
          <w:p w:rsidR="002340EC" w:rsidRDefault="002340EC" w:rsidP="002340EC">
            <w:pPr>
              <w:spacing w:line="360" w:lineRule="auto"/>
              <w:jc w:val="both"/>
              <w:rPr>
                <w:rFonts w:ascii="Arial" w:hAnsi="Arial" w:cs="Arial"/>
                <w:sz w:val="24"/>
                <w:szCs w:val="24"/>
              </w:rPr>
            </w:pPr>
            <w:r>
              <w:rPr>
                <w:rFonts w:ascii="Arial" w:hAnsi="Arial" w:cs="Arial"/>
                <w:sz w:val="24"/>
                <w:szCs w:val="24"/>
              </w:rPr>
              <w:t>Interviewing procedure in all criminal investigations requires an elaborative structural planning and preparation. Undeniably, the procedure differs from financial investigations to non-financial due to the complex technical aspect. Because no two people are alike, the fraud examiner must be able to communicate in the respondent’s language. A college graduate will not be questioned exactly the same way as a ninth-grade dropout; someone with a technical vocabulary won’t respond in the same manner as a person with an artistic background.</w:t>
            </w:r>
          </w:p>
          <w:p w:rsidR="002340EC" w:rsidRDefault="002340EC" w:rsidP="002340EC">
            <w:pPr>
              <w:spacing w:line="360" w:lineRule="auto"/>
              <w:jc w:val="both"/>
              <w:rPr>
                <w:rFonts w:ascii="Arial" w:hAnsi="Arial" w:cs="Arial"/>
                <w:sz w:val="24"/>
                <w:szCs w:val="24"/>
              </w:rPr>
            </w:pPr>
            <w:r>
              <w:rPr>
                <w:rFonts w:ascii="Arial" w:hAnsi="Arial" w:cs="Arial"/>
                <w:sz w:val="24"/>
                <w:szCs w:val="24"/>
              </w:rPr>
              <w:t>Financially sophisticated victims are the category of professional with accounting and auditing experience who normally will be the reporting persons. On the investigation side, the investigator shall be not only skilful but knowledgeable about financial issues. An effective interview shall minimise the inhibitors of communication simultaneously maximise the facilitators of communication. Knowing that fraud is not always a matter of a single act but rather multiple common act, the investigator shall comfort the victim on the lengthiness of the interview and explain in details the purpose of his methodology.</w:t>
            </w:r>
          </w:p>
          <w:p w:rsidR="002340EC" w:rsidRDefault="002340EC" w:rsidP="002340EC">
            <w:pPr>
              <w:spacing w:line="360" w:lineRule="auto"/>
              <w:jc w:val="both"/>
              <w:rPr>
                <w:rFonts w:ascii="Arial" w:hAnsi="Arial" w:cs="Arial"/>
                <w:sz w:val="24"/>
                <w:szCs w:val="24"/>
              </w:rPr>
            </w:pPr>
            <w:r>
              <w:rPr>
                <w:rFonts w:ascii="Arial" w:hAnsi="Arial" w:cs="Arial"/>
                <w:sz w:val="24"/>
                <w:szCs w:val="24"/>
              </w:rPr>
              <w:t>The cognitive technique interview has been the popular approach adopted by investigating bodies due to its two distinct phases. The first one is the narrative phase. Such stage constitute by inviting victim to tell the event in his own perspective where he shall report everything precisely and concisely. He shall reconstruct the circumstances of the event in chronology and completely. As far as practicable, the investigator shall avoid interrupting the victim and shall concentrate on what is being said and take notes.</w:t>
            </w:r>
          </w:p>
          <w:p w:rsidR="002340EC" w:rsidRDefault="002340EC" w:rsidP="002340EC">
            <w:pPr>
              <w:spacing w:line="360" w:lineRule="auto"/>
              <w:jc w:val="both"/>
              <w:rPr>
                <w:rFonts w:ascii="Arial" w:hAnsi="Arial" w:cs="Arial"/>
                <w:sz w:val="24"/>
                <w:szCs w:val="24"/>
              </w:rPr>
            </w:pPr>
            <w:r>
              <w:rPr>
                <w:rFonts w:ascii="Arial" w:hAnsi="Arial" w:cs="Arial"/>
                <w:sz w:val="24"/>
                <w:szCs w:val="24"/>
              </w:rPr>
              <w:t xml:space="preserve">After having taken notes of the whole story, the investigator shall then move to the next phase, i.e. specific details. The investigator shall start his interview in order to gain an in-depth understanding of business operations or systems followed by its current accounting methods and control mechanism. It is important to know whether the systems in place are as per legislations, established rules and regulations or matter of mere practice. An effective investigator must be highly inquisitive during </w:t>
            </w:r>
            <w:r>
              <w:rPr>
                <w:rFonts w:ascii="Arial" w:hAnsi="Arial" w:cs="Arial"/>
                <w:sz w:val="24"/>
                <w:szCs w:val="24"/>
              </w:rPr>
              <w:lastRenderedPageBreak/>
              <w:t>such stage so as to grasp the maximum information on the entire business operation by demarcating those essential persons who are to be useful witnesses.</w:t>
            </w:r>
          </w:p>
          <w:p w:rsidR="002340EC" w:rsidRDefault="002340EC" w:rsidP="002340EC">
            <w:pPr>
              <w:spacing w:line="360" w:lineRule="auto"/>
              <w:jc w:val="both"/>
              <w:rPr>
                <w:rFonts w:ascii="Arial" w:hAnsi="Arial" w:cs="Arial"/>
                <w:sz w:val="24"/>
                <w:szCs w:val="24"/>
              </w:rPr>
            </w:pPr>
            <w:r>
              <w:rPr>
                <w:rFonts w:ascii="Arial" w:hAnsi="Arial" w:cs="Arial"/>
                <w:sz w:val="24"/>
                <w:szCs w:val="24"/>
              </w:rPr>
              <w:t>Overcoming such step, the victim will then be asked to browse on the fraud. Now come the crucial stage, the victim will have to detail each wrongdoing one at a time from start to finish simultaneously producing relevant documents and revealing the identity of the fraudster/s with substantive proof of his involvement. The victim shall be able to describe the physical appearance of the fraudster. It is also important to consider the weight of each evidence gathered so as to strengthen its case.</w:t>
            </w:r>
          </w:p>
          <w:p w:rsidR="002340EC" w:rsidRPr="00B11314" w:rsidRDefault="002340EC" w:rsidP="002340EC">
            <w:pPr>
              <w:spacing w:line="360" w:lineRule="auto"/>
              <w:jc w:val="both"/>
              <w:rPr>
                <w:rFonts w:ascii="Arial" w:hAnsi="Arial" w:cs="Arial"/>
                <w:sz w:val="24"/>
                <w:szCs w:val="24"/>
              </w:rPr>
            </w:pPr>
            <w:r>
              <w:rPr>
                <w:rFonts w:ascii="Arial" w:hAnsi="Arial" w:cs="Arial"/>
                <w:sz w:val="24"/>
                <w:szCs w:val="24"/>
              </w:rPr>
              <w:t>This process will have to be effected dozens or hundreds of time for each fraudulent act. At times this may be boring for the victims. This is why it is advisable to carry out interviews for a duration of 8 to 10 hrs daily with sufficient breaks to avoid witness feel annoyed. Sometimes depending on the extent of the fraud, interviews, may last for several days. Apart providing document evidence, the victim may be interviewed on digital evidence which forms part of the mechanism of the fraud. It is imperative for every investigator to ask the victim whether the statements have covered all issues before interrogating the fraudster. Of course, it may happen that at a later stage that financially sophisticated victim may be further interviewed so as to clarify certain issues which was not convassed at early stage but brought to light by the fraudster.</w:t>
            </w:r>
          </w:p>
          <w:p w:rsidR="00CC2FB3" w:rsidRDefault="00CC2FB3" w:rsidP="003E609E">
            <w:pPr>
              <w:spacing w:line="360" w:lineRule="auto"/>
              <w:ind w:left="720"/>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0"/>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A321B" w:rsidP="00A851DA">
            <w:pPr>
              <w:rPr>
                <w:rFonts w:cs="Bliss-Regular"/>
                <w:color w:val="000000"/>
              </w:rPr>
            </w:pPr>
            <w:r>
              <w:rPr>
                <w:rFonts w:cs="Bliss-Regular"/>
                <w:color w:val="000000"/>
              </w:rPr>
              <w:t>Christian Soellie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65114" w:rsidP="003E609E">
            <w:pPr>
              <w:rPr>
                <w:rFonts w:cs="Bliss-Regular"/>
                <w:color w:val="000000"/>
              </w:rPr>
            </w:pPr>
            <w:r>
              <w:rPr>
                <w:rFonts w:cs="Bliss-Regular"/>
                <w:color w:val="000000"/>
              </w:rPr>
              <w:t>0</w:t>
            </w:r>
            <w:r w:rsidR="003E609E">
              <w:rPr>
                <w:rFonts w:cs="Bliss-Regular"/>
                <w:color w:val="000000"/>
              </w:rPr>
              <w:t>8</w:t>
            </w:r>
            <w:r w:rsidR="002674EB">
              <w:rPr>
                <w:rFonts w:cs="Bliss-Regular"/>
                <w:color w:val="000000"/>
              </w:rPr>
              <w:t>/</w:t>
            </w:r>
            <w:r w:rsidR="00B739D6">
              <w:rPr>
                <w:rFonts w:cs="Bliss-Regular"/>
                <w:color w:val="000000"/>
              </w:rPr>
              <w:t>0</w:t>
            </w:r>
            <w:r>
              <w:rPr>
                <w:rFonts w:cs="Bliss-Regular"/>
                <w:color w:val="000000"/>
              </w:rPr>
              <w:t>8</w:t>
            </w:r>
            <w:r w:rsidR="002674EB">
              <w:rPr>
                <w:rFonts w:cs="Bliss-Regular"/>
                <w:color w:val="000000"/>
              </w:rPr>
              <w:t>/1</w:t>
            </w:r>
            <w:r w:rsidR="00B739D6">
              <w:rPr>
                <w:rFonts w:cs="Bliss-Regular"/>
                <w:color w:val="000000"/>
              </w:rPr>
              <w:t>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2AAA" w:rsidRDefault="00762AAA" w:rsidP="00CB4D0A">
      <w:pPr>
        <w:spacing w:after="0" w:line="240" w:lineRule="auto"/>
      </w:pPr>
      <w:r>
        <w:separator/>
      </w:r>
    </w:p>
  </w:endnote>
  <w:endnote w:type="continuationSeparator" w:id="0">
    <w:p w:rsidR="00762AAA" w:rsidRDefault="00762AA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2AAA" w:rsidRDefault="00762AAA" w:rsidP="00CB4D0A">
      <w:pPr>
        <w:spacing w:after="0" w:line="240" w:lineRule="auto"/>
      </w:pPr>
      <w:r>
        <w:separator/>
      </w:r>
    </w:p>
  </w:footnote>
  <w:footnote w:type="continuationSeparator" w:id="0">
    <w:p w:rsidR="00762AAA" w:rsidRDefault="00762AA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429A9"/>
    <w:multiLevelType w:val="hybridMultilevel"/>
    <w:tmpl w:val="0494FC1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6C43569"/>
    <w:multiLevelType w:val="hybridMultilevel"/>
    <w:tmpl w:val="5FF23DC4"/>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A081466"/>
    <w:multiLevelType w:val="hybridMultilevel"/>
    <w:tmpl w:val="96BE6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D674E7"/>
    <w:multiLevelType w:val="hybridMultilevel"/>
    <w:tmpl w:val="4C0608F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EDE152F"/>
    <w:multiLevelType w:val="hybridMultilevel"/>
    <w:tmpl w:val="A43E8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DD2EA9"/>
    <w:multiLevelType w:val="hybridMultilevel"/>
    <w:tmpl w:val="A7F6275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B997499"/>
    <w:multiLevelType w:val="hybridMultilevel"/>
    <w:tmpl w:val="D56C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9C3D17"/>
    <w:multiLevelType w:val="hybridMultilevel"/>
    <w:tmpl w:val="69AC5F90"/>
    <w:lvl w:ilvl="0" w:tplc="3574F7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FA4843"/>
    <w:multiLevelType w:val="hybridMultilevel"/>
    <w:tmpl w:val="E4E48E5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2394293F"/>
    <w:multiLevelType w:val="hybridMultilevel"/>
    <w:tmpl w:val="34006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0E49F2"/>
    <w:multiLevelType w:val="hybridMultilevel"/>
    <w:tmpl w:val="24D6926A"/>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1" w15:restartNumberingAfterBreak="0">
    <w:nsid w:val="29B82376"/>
    <w:multiLevelType w:val="hybridMultilevel"/>
    <w:tmpl w:val="21947DC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AB75CCF"/>
    <w:multiLevelType w:val="hybridMultilevel"/>
    <w:tmpl w:val="8F44A8C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2B760C9F"/>
    <w:multiLevelType w:val="hybridMultilevel"/>
    <w:tmpl w:val="50E6E880"/>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385B3B"/>
    <w:multiLevelType w:val="hybridMultilevel"/>
    <w:tmpl w:val="615C756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3306379E"/>
    <w:multiLevelType w:val="hybridMultilevel"/>
    <w:tmpl w:val="7708DA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9D0286"/>
    <w:multiLevelType w:val="hybridMultilevel"/>
    <w:tmpl w:val="FD48645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3B4334A7"/>
    <w:multiLevelType w:val="hybridMultilevel"/>
    <w:tmpl w:val="44F4B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5D1AF3"/>
    <w:multiLevelType w:val="hybridMultilevel"/>
    <w:tmpl w:val="C07E40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3E0E05"/>
    <w:multiLevelType w:val="hybridMultilevel"/>
    <w:tmpl w:val="2702BF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1C020D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42B6E66"/>
    <w:multiLevelType w:val="hybridMultilevel"/>
    <w:tmpl w:val="13060B3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4CE4488"/>
    <w:multiLevelType w:val="hybridMultilevel"/>
    <w:tmpl w:val="1552680C"/>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4DB30B86"/>
    <w:multiLevelType w:val="hybridMultilevel"/>
    <w:tmpl w:val="65D66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4A440B"/>
    <w:multiLevelType w:val="hybridMultilevel"/>
    <w:tmpl w:val="3E6290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7321E5"/>
    <w:multiLevelType w:val="hybridMultilevel"/>
    <w:tmpl w:val="080271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FDC63E4"/>
    <w:multiLevelType w:val="hybridMultilevel"/>
    <w:tmpl w:val="B338E1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B1350E"/>
    <w:multiLevelType w:val="hybridMultilevel"/>
    <w:tmpl w:val="26FE67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68571AC"/>
    <w:multiLevelType w:val="hybridMultilevel"/>
    <w:tmpl w:val="5762B0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72F708C"/>
    <w:multiLevelType w:val="hybridMultilevel"/>
    <w:tmpl w:val="151A0E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7A52ED1"/>
    <w:multiLevelType w:val="hybridMultilevel"/>
    <w:tmpl w:val="139CA1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ADA1779"/>
    <w:multiLevelType w:val="hybridMultilevel"/>
    <w:tmpl w:val="D7E4D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9D2A61"/>
    <w:multiLevelType w:val="hybridMultilevel"/>
    <w:tmpl w:val="31C0D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E653F8"/>
    <w:multiLevelType w:val="hybridMultilevel"/>
    <w:tmpl w:val="34564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893450"/>
    <w:multiLevelType w:val="hybridMultilevel"/>
    <w:tmpl w:val="24CE5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D01751"/>
    <w:multiLevelType w:val="hybridMultilevel"/>
    <w:tmpl w:val="7EFC2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4D784B"/>
    <w:multiLevelType w:val="hybridMultilevel"/>
    <w:tmpl w:val="64DE213A"/>
    <w:lvl w:ilvl="0" w:tplc="5C10262A">
      <w:start w:val="2"/>
      <w:numFmt w:val="decimal"/>
      <w:lvlText w:val="%1."/>
      <w:lvlJc w:val="left"/>
      <w:pPr>
        <w:ind w:left="357" w:hanging="3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C1E168A"/>
    <w:multiLevelType w:val="hybridMultilevel"/>
    <w:tmpl w:val="A3603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FE356D"/>
    <w:multiLevelType w:val="hybridMultilevel"/>
    <w:tmpl w:val="B26EB79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0856227"/>
    <w:multiLevelType w:val="multilevel"/>
    <w:tmpl w:val="72405F4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2AB6B78"/>
    <w:multiLevelType w:val="hybridMultilevel"/>
    <w:tmpl w:val="664CF15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2" w15:restartNumberingAfterBreak="0">
    <w:nsid w:val="789F2BDF"/>
    <w:multiLevelType w:val="hybridMultilevel"/>
    <w:tmpl w:val="64CC8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A5413E"/>
    <w:multiLevelType w:val="hybridMultilevel"/>
    <w:tmpl w:val="5DA62D5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4" w15:restartNumberingAfterBreak="0">
    <w:nsid w:val="7BAD00C4"/>
    <w:multiLevelType w:val="hybridMultilevel"/>
    <w:tmpl w:val="3842A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A33E20"/>
    <w:multiLevelType w:val="hybridMultilevel"/>
    <w:tmpl w:val="2884B18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5"/>
  </w:num>
  <w:num w:numId="2">
    <w:abstractNumId w:val="10"/>
  </w:num>
  <w:num w:numId="3">
    <w:abstractNumId w:val="26"/>
  </w:num>
  <w:num w:numId="4">
    <w:abstractNumId w:val="40"/>
  </w:num>
  <w:num w:numId="5">
    <w:abstractNumId w:val="31"/>
  </w:num>
  <w:num w:numId="6">
    <w:abstractNumId w:val="13"/>
  </w:num>
  <w:num w:numId="7">
    <w:abstractNumId w:val="28"/>
  </w:num>
  <w:num w:numId="8">
    <w:abstractNumId w:val="6"/>
  </w:num>
  <w:num w:numId="9">
    <w:abstractNumId w:val="36"/>
  </w:num>
  <w:num w:numId="10">
    <w:abstractNumId w:val="4"/>
  </w:num>
  <w:num w:numId="11">
    <w:abstractNumId w:val="9"/>
  </w:num>
  <w:num w:numId="12">
    <w:abstractNumId w:val="39"/>
  </w:num>
  <w:num w:numId="13">
    <w:abstractNumId w:val="38"/>
  </w:num>
  <w:num w:numId="14">
    <w:abstractNumId w:val="2"/>
  </w:num>
  <w:num w:numId="15">
    <w:abstractNumId w:val="27"/>
  </w:num>
  <w:num w:numId="16">
    <w:abstractNumId w:val="33"/>
  </w:num>
  <w:num w:numId="17">
    <w:abstractNumId w:val="34"/>
  </w:num>
  <w:num w:numId="18">
    <w:abstractNumId w:val="44"/>
  </w:num>
  <w:num w:numId="19">
    <w:abstractNumId w:val="20"/>
  </w:num>
  <w:num w:numId="20">
    <w:abstractNumId w:val="22"/>
  </w:num>
  <w:num w:numId="21">
    <w:abstractNumId w:val="37"/>
  </w:num>
  <w:num w:numId="22">
    <w:abstractNumId w:val="32"/>
  </w:num>
  <w:num w:numId="23">
    <w:abstractNumId w:val="7"/>
  </w:num>
  <w:num w:numId="24">
    <w:abstractNumId w:val="19"/>
  </w:num>
  <w:num w:numId="25">
    <w:abstractNumId w:val="42"/>
  </w:num>
  <w:num w:numId="26">
    <w:abstractNumId w:val="35"/>
  </w:num>
  <w:num w:numId="27">
    <w:abstractNumId w:val="23"/>
  </w:num>
  <w:num w:numId="28">
    <w:abstractNumId w:val="29"/>
  </w:num>
  <w:num w:numId="29">
    <w:abstractNumId w:val="1"/>
  </w:num>
  <w:num w:numId="30">
    <w:abstractNumId w:val="5"/>
  </w:num>
  <w:num w:numId="31">
    <w:abstractNumId w:val="21"/>
  </w:num>
  <w:num w:numId="32">
    <w:abstractNumId w:val="12"/>
  </w:num>
  <w:num w:numId="33">
    <w:abstractNumId w:val="43"/>
  </w:num>
  <w:num w:numId="34">
    <w:abstractNumId w:val="24"/>
  </w:num>
  <w:num w:numId="35">
    <w:abstractNumId w:val="18"/>
  </w:num>
  <w:num w:numId="36">
    <w:abstractNumId w:val="11"/>
  </w:num>
  <w:num w:numId="37">
    <w:abstractNumId w:val="45"/>
  </w:num>
  <w:num w:numId="38">
    <w:abstractNumId w:val="3"/>
  </w:num>
  <w:num w:numId="39">
    <w:abstractNumId w:val="16"/>
  </w:num>
  <w:num w:numId="40">
    <w:abstractNumId w:val="8"/>
  </w:num>
  <w:num w:numId="41">
    <w:abstractNumId w:val="41"/>
  </w:num>
  <w:num w:numId="42">
    <w:abstractNumId w:val="14"/>
  </w:num>
  <w:num w:numId="43">
    <w:abstractNumId w:val="30"/>
  </w:num>
  <w:num w:numId="44">
    <w:abstractNumId w:val="15"/>
  </w:num>
  <w:num w:numId="45">
    <w:abstractNumId w:val="0"/>
  </w:num>
  <w:num w:numId="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7CDD"/>
    <w:rsid w:val="00035CDD"/>
    <w:rsid w:val="00040083"/>
    <w:rsid w:val="00043BCD"/>
    <w:rsid w:val="00055992"/>
    <w:rsid w:val="000820E8"/>
    <w:rsid w:val="001175EE"/>
    <w:rsid w:val="00157CF6"/>
    <w:rsid w:val="00182416"/>
    <w:rsid w:val="00187EB4"/>
    <w:rsid w:val="001F0481"/>
    <w:rsid w:val="00200C92"/>
    <w:rsid w:val="0020451E"/>
    <w:rsid w:val="00206B9D"/>
    <w:rsid w:val="0023259C"/>
    <w:rsid w:val="002340EC"/>
    <w:rsid w:val="002674EB"/>
    <w:rsid w:val="002B0BD7"/>
    <w:rsid w:val="002B573D"/>
    <w:rsid w:val="002C5CB2"/>
    <w:rsid w:val="002F779F"/>
    <w:rsid w:val="00371885"/>
    <w:rsid w:val="003E2B87"/>
    <w:rsid w:val="003E609E"/>
    <w:rsid w:val="00402786"/>
    <w:rsid w:val="00405895"/>
    <w:rsid w:val="004058DF"/>
    <w:rsid w:val="00443E6F"/>
    <w:rsid w:val="0048169B"/>
    <w:rsid w:val="00486F1A"/>
    <w:rsid w:val="00490CB9"/>
    <w:rsid w:val="004A2CE2"/>
    <w:rsid w:val="004C5D01"/>
    <w:rsid w:val="004D23D9"/>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5114"/>
    <w:rsid w:val="006823A7"/>
    <w:rsid w:val="00684B38"/>
    <w:rsid w:val="00687EE8"/>
    <w:rsid w:val="006D5E7E"/>
    <w:rsid w:val="0070347F"/>
    <w:rsid w:val="0070678E"/>
    <w:rsid w:val="0073006C"/>
    <w:rsid w:val="00762AAA"/>
    <w:rsid w:val="007659F1"/>
    <w:rsid w:val="008028E1"/>
    <w:rsid w:val="00805F26"/>
    <w:rsid w:val="00831C11"/>
    <w:rsid w:val="00831F5C"/>
    <w:rsid w:val="008A60B4"/>
    <w:rsid w:val="008B3C31"/>
    <w:rsid w:val="008B64FE"/>
    <w:rsid w:val="008D7B9B"/>
    <w:rsid w:val="00935BF7"/>
    <w:rsid w:val="0095442C"/>
    <w:rsid w:val="00983942"/>
    <w:rsid w:val="009B71AF"/>
    <w:rsid w:val="009C37E0"/>
    <w:rsid w:val="009E41F4"/>
    <w:rsid w:val="00A05943"/>
    <w:rsid w:val="00A14B66"/>
    <w:rsid w:val="00A65CF7"/>
    <w:rsid w:val="00A81AB4"/>
    <w:rsid w:val="00A83C63"/>
    <w:rsid w:val="00A851DA"/>
    <w:rsid w:val="00AC7D5B"/>
    <w:rsid w:val="00AE1481"/>
    <w:rsid w:val="00B0415E"/>
    <w:rsid w:val="00B04678"/>
    <w:rsid w:val="00B44CC7"/>
    <w:rsid w:val="00B67F85"/>
    <w:rsid w:val="00B739D6"/>
    <w:rsid w:val="00B9075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3D28"/>
    <w:rsid w:val="00EB3925"/>
    <w:rsid w:val="00EC2C36"/>
    <w:rsid w:val="00F377FA"/>
    <w:rsid w:val="00F96EB3"/>
    <w:rsid w:val="00FA321B"/>
    <w:rsid w:val="00FE45E2"/>
    <w:rsid w:val="00FF65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E77E828-05C5-4F22-AC09-725D63358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65D477-7A1B-4718-97DD-1A12D4E20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1909</Words>
  <Characters>10883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Jadoo Dookun</cp:lastModifiedBy>
  <cp:revision>3</cp:revision>
  <dcterms:created xsi:type="dcterms:W3CDTF">2016-08-08T08:40:00Z</dcterms:created>
  <dcterms:modified xsi:type="dcterms:W3CDTF">2016-08-08T08:41:00Z</dcterms:modified>
</cp:coreProperties>
</file>