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0E8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506F">
            <w:pPr>
              <w:pStyle w:val="Default"/>
              <w:rPr>
                <w:rFonts w:asciiTheme="minorHAnsi" w:hAnsiTheme="minorHAnsi"/>
              </w:rPr>
            </w:pPr>
            <w:r>
              <w:rPr>
                <w:rFonts w:asciiTheme="minorHAnsi" w:hAnsiTheme="minorHAnsi"/>
              </w:rPr>
              <w:t>Mark Halling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A506F">
            <w:pPr>
              <w:pStyle w:val="Default"/>
              <w:rPr>
                <w:rFonts w:asciiTheme="minorHAnsi" w:hAnsiTheme="minorHAnsi"/>
              </w:rPr>
            </w:pPr>
            <w:r>
              <w:rPr>
                <w:rFonts w:asciiTheme="minorHAnsi" w:hAnsiTheme="minorHAnsi"/>
              </w:rPr>
              <w:t>11737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506F">
            <w:pPr>
              <w:pStyle w:val="Default"/>
              <w:rPr>
                <w:rFonts w:asciiTheme="minorHAnsi" w:hAnsiTheme="minorHAnsi"/>
              </w:rPr>
            </w:pPr>
            <w:r w:rsidRPr="00EA506F">
              <w:rPr>
                <w:rFonts w:asciiTheme="minorHAnsi" w:hAnsiTheme="minorHAnsi"/>
              </w:rPr>
              <w:t>Diploma in Logistics &amp; Supply Chain Manag</w:t>
            </w:r>
            <w:r>
              <w:rPr>
                <w:rFonts w:asciiTheme="minorHAnsi" w:hAnsiTheme="minorHAnsi"/>
              </w:rPr>
              <w:t>e</w:t>
            </w:r>
            <w:r w:rsidRPr="00EA506F">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B7A">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A506F" w:rsidP="00A851DA">
            <w:pPr>
              <w:rPr>
                <w:rFonts w:cs="Bliss-Regular"/>
                <w:color w:val="000000"/>
              </w:rPr>
            </w:pPr>
            <w:r>
              <w:rPr>
                <w:rFonts w:cs="Bliss-Regular"/>
                <w:color w:val="000000"/>
              </w:rPr>
              <w:t>Mark Halling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81100" w:rsidP="00EA506F">
            <w:pPr>
              <w:rPr>
                <w:rFonts w:cs="Bliss-Regular"/>
                <w:color w:val="000000"/>
              </w:rPr>
            </w:pPr>
            <w:r>
              <w:rPr>
                <w:rFonts w:cs="Bliss-Regular"/>
                <w:color w:val="000000"/>
              </w:rPr>
              <w:t>06/12/2017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B50E8A" w:rsidRDefault="00B50E8A" w:rsidP="00503D7E">
      <w:pPr>
        <w:rPr>
          <w:rFonts w:cs="Times New Roman"/>
          <w:sz w:val="24"/>
          <w:szCs w:val="32"/>
        </w:rPr>
      </w:pPr>
    </w:p>
    <w:p w:rsidR="00B50E8A" w:rsidRDefault="00B50E8A" w:rsidP="00503D7E">
      <w:pPr>
        <w:rPr>
          <w:rFonts w:cs="Times New Roman"/>
          <w:sz w:val="24"/>
          <w:szCs w:val="32"/>
        </w:rPr>
      </w:pPr>
    </w:p>
    <w:p w:rsidR="00B50E8A" w:rsidRDefault="00B50E8A" w:rsidP="00503D7E">
      <w:pPr>
        <w:rPr>
          <w:rFonts w:cs="Times New Roman"/>
          <w:sz w:val="24"/>
          <w:szCs w:val="32"/>
        </w:rPr>
      </w:pPr>
    </w:p>
    <w:p w:rsidR="00B50E8A" w:rsidRDefault="00B50E8A" w:rsidP="00503D7E">
      <w:pPr>
        <w:rPr>
          <w:rFonts w:cs="Times New Roman"/>
          <w:sz w:val="24"/>
          <w:szCs w:val="32"/>
        </w:rPr>
      </w:pPr>
    </w:p>
    <w:p w:rsidR="00B50E8A" w:rsidRDefault="00B50E8A" w:rsidP="00503D7E">
      <w:pPr>
        <w:rPr>
          <w:rFonts w:cs="Times New Roman"/>
          <w:sz w:val="24"/>
          <w:szCs w:val="32"/>
        </w:rPr>
      </w:pPr>
    </w:p>
    <w:p w:rsidR="00B50E8A" w:rsidRDefault="00B50E8A" w:rsidP="00503D7E">
      <w:pPr>
        <w:rPr>
          <w:rFonts w:cs="Times New Roman"/>
          <w:sz w:val="24"/>
          <w:szCs w:val="32"/>
        </w:rPr>
      </w:pPr>
    </w:p>
    <w:p w:rsidR="00B50E8A" w:rsidRDefault="00B50E8A" w:rsidP="00503D7E">
      <w:pPr>
        <w:rPr>
          <w:rFonts w:cs="Times New Roman"/>
          <w:sz w:val="24"/>
          <w:szCs w:val="32"/>
        </w:rPr>
      </w:pPr>
    </w:p>
    <w:p w:rsidR="00B50E8A" w:rsidRDefault="00B50E8A" w:rsidP="00503D7E">
      <w:pPr>
        <w:rPr>
          <w:rFonts w:cs="Times New Roman"/>
          <w:sz w:val="24"/>
          <w:szCs w:val="32"/>
        </w:rPr>
      </w:pPr>
    </w:p>
    <w:p w:rsidR="00B50E8A" w:rsidRDefault="00B50E8A" w:rsidP="00503D7E">
      <w:pPr>
        <w:rPr>
          <w:rFonts w:cs="Times New Roman"/>
          <w:sz w:val="24"/>
          <w:szCs w:val="32"/>
        </w:rPr>
      </w:pPr>
    </w:p>
    <w:p w:rsidR="00B50E8A" w:rsidRDefault="00B50E8A" w:rsidP="00503D7E">
      <w:pPr>
        <w:rPr>
          <w:rFonts w:cs="Times New Roman"/>
          <w:sz w:val="24"/>
          <w:szCs w:val="32"/>
        </w:rPr>
      </w:pPr>
    </w:p>
    <w:p w:rsidR="00B50E8A" w:rsidRDefault="00B50E8A" w:rsidP="00503D7E">
      <w:pPr>
        <w:rPr>
          <w:rFonts w:cs="Times New Roman"/>
          <w:sz w:val="24"/>
          <w:szCs w:val="32"/>
        </w:rPr>
      </w:pPr>
    </w:p>
    <w:p w:rsidR="00B50E8A" w:rsidRDefault="00B50E8A" w:rsidP="00503D7E">
      <w:pPr>
        <w:rPr>
          <w:rFonts w:cs="Times New Roman"/>
          <w:sz w:val="24"/>
          <w:szCs w:val="32"/>
        </w:rPr>
      </w:pPr>
    </w:p>
    <w:p w:rsidR="004A103D" w:rsidRDefault="004A103D" w:rsidP="003E71D2">
      <w:pPr>
        <w:pStyle w:val="Header"/>
        <w:spacing w:line="360" w:lineRule="auto"/>
        <w:jc w:val="right"/>
        <w:rPr>
          <w:rFonts w:ascii="Arial" w:hAnsi="Arial" w:cs="Arial"/>
          <w:sz w:val="24"/>
          <w:szCs w:val="24"/>
        </w:rPr>
        <w:sectPr w:rsidR="004A103D" w:rsidSect="003E71D2">
          <w:pgSz w:w="11906" w:h="16838"/>
          <w:pgMar w:top="1440" w:right="1134" w:bottom="1440" w:left="1134" w:header="709" w:footer="709" w:gutter="0"/>
          <w:cols w:space="708"/>
          <w:docGrid w:linePitch="360"/>
        </w:sectPr>
      </w:pPr>
    </w:p>
    <w:p w:rsidR="00B50E8A" w:rsidRPr="005A34E3" w:rsidRDefault="00B50E8A" w:rsidP="00D6639C">
      <w:pPr>
        <w:pStyle w:val="Header"/>
        <w:spacing w:line="360" w:lineRule="auto"/>
        <w:jc w:val="right"/>
        <w:rPr>
          <w:rFonts w:ascii="Arial" w:hAnsi="Arial" w:cs="Arial"/>
          <w:sz w:val="24"/>
          <w:szCs w:val="24"/>
        </w:rPr>
      </w:pPr>
      <w:r w:rsidRPr="005A34E3">
        <w:rPr>
          <w:rFonts w:ascii="Arial" w:hAnsi="Arial" w:cs="Arial"/>
          <w:sz w:val="24"/>
          <w:szCs w:val="24"/>
        </w:rPr>
        <w:lastRenderedPageBreak/>
        <w:t>Mark Halling</w:t>
      </w:r>
    </w:p>
    <w:p w:rsidR="00B50E8A" w:rsidRPr="005A34E3" w:rsidRDefault="00B50E8A" w:rsidP="00D6639C">
      <w:pPr>
        <w:pStyle w:val="Header"/>
        <w:spacing w:line="360" w:lineRule="auto"/>
        <w:jc w:val="right"/>
        <w:rPr>
          <w:rFonts w:ascii="Arial" w:hAnsi="Arial" w:cs="Arial"/>
          <w:sz w:val="24"/>
          <w:szCs w:val="24"/>
        </w:rPr>
      </w:pPr>
      <w:r w:rsidRPr="005A34E3">
        <w:rPr>
          <w:rFonts w:ascii="Arial" w:hAnsi="Arial" w:cs="Arial"/>
          <w:sz w:val="24"/>
          <w:szCs w:val="24"/>
        </w:rPr>
        <w:t>11737</w:t>
      </w:r>
    </w:p>
    <w:p w:rsidR="00B50E8A" w:rsidRPr="005A34E3" w:rsidRDefault="009D0B7A" w:rsidP="00D6639C">
      <w:pPr>
        <w:pStyle w:val="Header"/>
        <w:spacing w:line="360" w:lineRule="auto"/>
        <w:jc w:val="right"/>
        <w:rPr>
          <w:rFonts w:ascii="Arial" w:hAnsi="Arial" w:cs="Arial"/>
          <w:sz w:val="24"/>
          <w:szCs w:val="24"/>
        </w:rPr>
      </w:pPr>
      <w:r>
        <w:rPr>
          <w:rFonts w:ascii="Arial" w:hAnsi="Arial" w:cs="Arial"/>
          <w:sz w:val="24"/>
          <w:szCs w:val="24"/>
        </w:rPr>
        <w:t>Assignment #7</w:t>
      </w:r>
    </w:p>
    <w:p w:rsidR="0063298E" w:rsidRDefault="00B50E8A" w:rsidP="00D6639C">
      <w:pPr>
        <w:pStyle w:val="Header"/>
        <w:spacing w:line="360" w:lineRule="auto"/>
        <w:jc w:val="right"/>
        <w:rPr>
          <w:rFonts w:ascii="Arial" w:hAnsi="Arial" w:cs="Arial"/>
          <w:sz w:val="24"/>
          <w:szCs w:val="24"/>
        </w:rPr>
      </w:pPr>
      <w:r w:rsidRPr="005A34E3">
        <w:rPr>
          <w:rFonts w:ascii="Arial" w:hAnsi="Arial" w:cs="Arial"/>
          <w:sz w:val="24"/>
          <w:szCs w:val="24"/>
        </w:rPr>
        <w:t>Page 1</w:t>
      </w:r>
    </w:p>
    <w:p w:rsidR="009D0B7A" w:rsidRPr="005A34E3" w:rsidRDefault="009D0B7A" w:rsidP="00D6639C">
      <w:pPr>
        <w:pStyle w:val="Header"/>
        <w:spacing w:line="360" w:lineRule="auto"/>
        <w:jc w:val="right"/>
        <w:rPr>
          <w:rFonts w:ascii="Arial" w:hAnsi="Arial" w:cs="Arial"/>
          <w:sz w:val="24"/>
          <w:szCs w:val="24"/>
        </w:rPr>
      </w:pPr>
    </w:p>
    <w:p w:rsidR="003B06B0" w:rsidRPr="00573D1D" w:rsidRDefault="00052404" w:rsidP="00573D1D">
      <w:pPr>
        <w:pStyle w:val="NormalWeb"/>
        <w:shd w:val="clear" w:color="auto" w:fill="FFFFFF"/>
        <w:spacing w:before="0" w:beforeAutospacing="0" w:after="400" w:afterAutospacing="0" w:line="360" w:lineRule="auto"/>
        <w:jc w:val="both"/>
        <w:rPr>
          <w:rFonts w:ascii="Arial" w:hAnsi="Arial" w:cs="Arial"/>
          <w:color w:val="2A2C2E"/>
        </w:rPr>
      </w:pPr>
      <w:r w:rsidRPr="00573D1D">
        <w:rPr>
          <w:rFonts w:ascii="Arial" w:hAnsi="Arial" w:cs="Arial"/>
        </w:rPr>
        <w:t>1.i. Distribution within supply chain management is the process of a customer taking delivery of a product. A business will be required to make a decision on the best route for the product to arrive with the end user and this usually involves consideration of several factors. Those factors are</w:t>
      </w:r>
      <w:r w:rsidR="006A3ABA" w:rsidRPr="00573D1D">
        <w:rPr>
          <w:rFonts w:ascii="Arial" w:hAnsi="Arial" w:cs="Arial"/>
        </w:rPr>
        <w:t xml:space="preserve"> for example,</w:t>
      </w:r>
      <w:r w:rsidRPr="00573D1D">
        <w:rPr>
          <w:rFonts w:ascii="Arial" w:hAnsi="Arial" w:cs="Arial"/>
        </w:rPr>
        <w:t xml:space="preserve"> should sales be direct to consumer or through a retail o</w:t>
      </w:r>
      <w:r w:rsidR="006A3ABA" w:rsidRPr="00573D1D">
        <w:rPr>
          <w:rFonts w:ascii="Arial" w:hAnsi="Arial" w:cs="Arial"/>
        </w:rPr>
        <w:t>utlet, s</w:t>
      </w:r>
      <w:r w:rsidRPr="00573D1D">
        <w:rPr>
          <w:rFonts w:ascii="Arial" w:hAnsi="Arial" w:cs="Arial"/>
        </w:rPr>
        <w:t>hould a wholesaler be involved in the process and how many levels of marketing should be involved in th</w:t>
      </w:r>
      <w:r w:rsidR="006A3ABA" w:rsidRPr="00573D1D">
        <w:rPr>
          <w:rFonts w:ascii="Arial" w:hAnsi="Arial" w:cs="Arial"/>
        </w:rPr>
        <w:t xml:space="preserve">e overall distribution process. There are several different types of distribution channel that can be utilised to move the product the simplest is where a manufacturer sells direct to the customer using methods such as internet, telephone or mail to receive the order. </w:t>
      </w:r>
      <w:r w:rsidR="006A3ABA" w:rsidRPr="00573D1D">
        <w:rPr>
          <w:rFonts w:ascii="Arial" w:hAnsi="Arial" w:cs="Arial"/>
          <w:color w:val="2A2C2E"/>
        </w:rPr>
        <w:t xml:space="preserve">When a distribution channel is “direct,” the manufacturer does not involve any intermediate support to gain access to the consumer market. </w:t>
      </w:r>
      <w:r w:rsidR="002D02C9" w:rsidRPr="00573D1D">
        <w:rPr>
          <w:rFonts w:ascii="Arial" w:hAnsi="Arial" w:cs="Arial"/>
          <w:color w:val="2A2C2E"/>
        </w:rPr>
        <w:t xml:space="preserve">An indirect channel of distribution is when </w:t>
      </w:r>
      <w:r w:rsidR="006A3ABA" w:rsidRPr="00573D1D">
        <w:rPr>
          <w:rFonts w:ascii="Arial" w:hAnsi="Arial" w:cs="Arial"/>
          <w:color w:val="2A2C2E"/>
        </w:rPr>
        <w:t xml:space="preserve">the product changes hands several times before reaching the ultimate consumer. </w:t>
      </w:r>
      <w:r w:rsidR="002D02C9" w:rsidRPr="00573D1D">
        <w:rPr>
          <w:rFonts w:ascii="Arial" w:hAnsi="Arial" w:cs="Arial"/>
          <w:color w:val="2A2C2E"/>
        </w:rPr>
        <w:t>The i</w:t>
      </w:r>
      <w:r w:rsidR="006A3ABA" w:rsidRPr="00573D1D">
        <w:rPr>
          <w:rFonts w:ascii="Arial" w:hAnsi="Arial" w:cs="Arial"/>
          <w:color w:val="2A2C2E"/>
        </w:rPr>
        <w:t xml:space="preserve">ntermediaries </w:t>
      </w:r>
      <w:r w:rsidR="002D02C9" w:rsidRPr="00573D1D">
        <w:rPr>
          <w:rFonts w:ascii="Arial" w:hAnsi="Arial" w:cs="Arial"/>
          <w:color w:val="2A2C2E"/>
        </w:rPr>
        <w:t xml:space="preserve">along this indirect distribution channel could include one or multiple links such as </w:t>
      </w:r>
      <w:r w:rsidR="006A3ABA" w:rsidRPr="00573D1D">
        <w:rPr>
          <w:rFonts w:ascii="Arial" w:hAnsi="Arial" w:cs="Arial"/>
          <w:color w:val="2A2C2E"/>
        </w:rPr>
        <w:t>Wholesaler/distributor</w:t>
      </w:r>
      <w:r w:rsidR="002D02C9" w:rsidRPr="00573D1D">
        <w:rPr>
          <w:rFonts w:ascii="Arial" w:hAnsi="Arial" w:cs="Arial"/>
          <w:color w:val="2A2C2E"/>
        </w:rPr>
        <w:t xml:space="preserve">, </w:t>
      </w:r>
      <w:r w:rsidR="006A3ABA" w:rsidRPr="00573D1D">
        <w:rPr>
          <w:rFonts w:ascii="Arial" w:hAnsi="Arial" w:cs="Arial"/>
          <w:color w:val="2A2C2E"/>
        </w:rPr>
        <w:t>Dealer</w:t>
      </w:r>
      <w:r w:rsidR="002D02C9" w:rsidRPr="00573D1D">
        <w:rPr>
          <w:rFonts w:ascii="Arial" w:hAnsi="Arial" w:cs="Arial"/>
          <w:color w:val="2A2C2E"/>
        </w:rPr>
        <w:t xml:space="preserve">, </w:t>
      </w:r>
      <w:r w:rsidR="006A3ABA" w:rsidRPr="00573D1D">
        <w:rPr>
          <w:rFonts w:ascii="Arial" w:hAnsi="Arial" w:cs="Arial"/>
          <w:color w:val="2A2C2E"/>
        </w:rPr>
        <w:t>Retailer</w:t>
      </w:r>
      <w:r w:rsidR="002D02C9" w:rsidRPr="00573D1D">
        <w:rPr>
          <w:rFonts w:ascii="Arial" w:hAnsi="Arial" w:cs="Arial"/>
          <w:color w:val="2A2C2E"/>
        </w:rPr>
        <w:t xml:space="preserve">, </w:t>
      </w:r>
      <w:r w:rsidR="006A3ABA" w:rsidRPr="00573D1D">
        <w:rPr>
          <w:rFonts w:ascii="Arial" w:hAnsi="Arial" w:cs="Arial"/>
          <w:color w:val="2A2C2E"/>
        </w:rPr>
        <w:t>Manufacturer’s representative</w:t>
      </w:r>
      <w:r w:rsidR="002D02C9" w:rsidRPr="00573D1D">
        <w:rPr>
          <w:rFonts w:ascii="Arial" w:hAnsi="Arial" w:cs="Arial"/>
          <w:color w:val="2A2C2E"/>
        </w:rPr>
        <w:t>. The flow diagrams below show examples of direct and</w:t>
      </w:r>
      <w:r w:rsidR="00861FBF" w:rsidRPr="00573D1D">
        <w:rPr>
          <w:rFonts w:ascii="Arial" w:hAnsi="Arial" w:cs="Arial"/>
          <w:color w:val="2A2C2E"/>
        </w:rPr>
        <w:t xml:space="preserve"> indirect distribution channels.</w:t>
      </w:r>
    </w:p>
    <w:p w:rsidR="00B233DF" w:rsidRPr="00573D1D" w:rsidRDefault="003B06B0" w:rsidP="00573D1D">
      <w:pPr>
        <w:pStyle w:val="NormalWeb"/>
        <w:shd w:val="clear" w:color="auto" w:fill="FFFFFF"/>
        <w:spacing w:before="0" w:beforeAutospacing="0" w:after="400" w:afterAutospacing="0" w:line="360" w:lineRule="auto"/>
        <w:jc w:val="both"/>
        <w:rPr>
          <w:rFonts w:ascii="Arial" w:hAnsi="Arial" w:cs="Arial"/>
          <w:color w:val="2A2C2E"/>
        </w:rPr>
      </w:pPr>
      <w:r w:rsidRPr="00573D1D">
        <w:rPr>
          <w:rFonts w:ascii="Arial" w:hAnsi="Arial" w:cs="Arial"/>
          <w:noProof/>
          <w:color w:val="2A2C2E"/>
        </w:rPr>
        <w:drawing>
          <wp:inline distT="0" distB="0" distL="0" distR="0" wp14:anchorId="04606451" wp14:editId="00F53CBD">
            <wp:extent cx="6660000" cy="360000"/>
            <wp:effectExtent l="0" t="38100" r="0" b="4064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B233DF" w:rsidRPr="00573D1D" w:rsidRDefault="003B06B0" w:rsidP="00573D1D">
      <w:pPr>
        <w:pStyle w:val="NormalWeb"/>
        <w:shd w:val="clear" w:color="auto" w:fill="FFFFFF"/>
        <w:spacing w:before="0" w:beforeAutospacing="0" w:after="400" w:afterAutospacing="0" w:line="360" w:lineRule="auto"/>
        <w:jc w:val="both"/>
        <w:rPr>
          <w:rFonts w:ascii="Arial" w:hAnsi="Arial" w:cs="Arial"/>
          <w:color w:val="2A2C2E"/>
        </w:rPr>
      </w:pPr>
      <w:r w:rsidRPr="00573D1D">
        <w:rPr>
          <w:rFonts w:ascii="Arial" w:hAnsi="Arial" w:cs="Arial"/>
          <w:noProof/>
          <w:color w:val="2A2C2E"/>
        </w:rPr>
        <w:drawing>
          <wp:inline distT="0" distB="0" distL="0" distR="0" wp14:anchorId="5B27D2CF" wp14:editId="21CF393A">
            <wp:extent cx="6660000" cy="360000"/>
            <wp:effectExtent l="0" t="38100" r="7620" b="4064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3B06B0" w:rsidRPr="00573D1D" w:rsidRDefault="000F04C4" w:rsidP="00573D1D">
      <w:pPr>
        <w:pStyle w:val="NormalWeb"/>
        <w:shd w:val="clear" w:color="auto" w:fill="FFFFFF"/>
        <w:spacing w:before="0" w:beforeAutospacing="0" w:after="400" w:afterAutospacing="0" w:line="360" w:lineRule="auto"/>
        <w:jc w:val="both"/>
        <w:rPr>
          <w:rFonts w:ascii="Arial" w:hAnsi="Arial" w:cs="Arial"/>
          <w:color w:val="2A2C2E"/>
        </w:rPr>
      </w:pPr>
      <w:r w:rsidRPr="00573D1D">
        <w:rPr>
          <w:rFonts w:ascii="Arial" w:hAnsi="Arial" w:cs="Arial"/>
          <w:noProof/>
          <w:color w:val="2A2C2E"/>
        </w:rPr>
        <w:drawing>
          <wp:inline distT="0" distB="0" distL="0" distR="0" wp14:anchorId="25D325D6" wp14:editId="305F4C53">
            <wp:extent cx="6660000" cy="360000"/>
            <wp:effectExtent l="0" t="19050" r="7620" b="40640"/>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B233DF" w:rsidRPr="00573D1D" w:rsidRDefault="003C5D0E" w:rsidP="00573D1D">
      <w:pPr>
        <w:pStyle w:val="Header"/>
        <w:spacing w:line="360" w:lineRule="auto"/>
        <w:jc w:val="both"/>
        <w:rPr>
          <w:rFonts w:ascii="Arial" w:hAnsi="Arial" w:cs="Arial"/>
          <w:color w:val="2A2C2E"/>
          <w:sz w:val="24"/>
          <w:szCs w:val="24"/>
        </w:rPr>
      </w:pPr>
      <w:r w:rsidRPr="00573D1D">
        <w:rPr>
          <w:rFonts w:ascii="Arial" w:hAnsi="Arial" w:cs="Arial"/>
          <w:color w:val="2A2C2E"/>
          <w:sz w:val="24"/>
          <w:szCs w:val="24"/>
        </w:rPr>
        <w:t xml:space="preserve">1.ii. </w:t>
      </w:r>
      <w:r w:rsidR="005465A0" w:rsidRPr="00573D1D">
        <w:rPr>
          <w:rFonts w:ascii="Arial" w:hAnsi="Arial" w:cs="Arial"/>
          <w:color w:val="2A2C2E"/>
          <w:sz w:val="24"/>
          <w:szCs w:val="24"/>
        </w:rPr>
        <w:t>The participants in the distribution process are those participants that take risk while being involved in adding value to the distribution network. These major participants are Manufacturers, Wholesalers and</w:t>
      </w:r>
      <w:r w:rsidR="00186E9C" w:rsidRPr="00573D1D">
        <w:rPr>
          <w:rFonts w:ascii="Arial" w:hAnsi="Arial" w:cs="Arial"/>
          <w:color w:val="2A2C2E"/>
          <w:sz w:val="24"/>
          <w:szCs w:val="24"/>
        </w:rPr>
        <w:t xml:space="preserve"> Retailers. Manufacturers take raw materials or components and combine them into an end product. This process is called manufacturing or production. Examples of manufacturers would be car companies or electrical goods companies such as Ford or Samsung. From the manufacturing stage product will move to a wholesaler. The wholesaler will purchase completed product from the</w:t>
      </w:r>
      <w:r w:rsidR="00B233DF" w:rsidRPr="00573D1D">
        <w:rPr>
          <w:rFonts w:ascii="Arial" w:hAnsi="Arial" w:cs="Arial"/>
          <w:color w:val="2A2C2E"/>
          <w:sz w:val="24"/>
          <w:szCs w:val="24"/>
        </w:rPr>
        <w:t xml:space="preserve"> manufacturer and distribute it </w:t>
      </w:r>
      <w:r w:rsidR="00186E9C" w:rsidRPr="00573D1D">
        <w:rPr>
          <w:rFonts w:ascii="Arial" w:hAnsi="Arial" w:cs="Arial"/>
          <w:color w:val="2A2C2E"/>
          <w:sz w:val="24"/>
          <w:szCs w:val="24"/>
        </w:rPr>
        <w:t xml:space="preserve">to other </w:t>
      </w:r>
      <w:r w:rsidR="00B233DF" w:rsidRPr="00573D1D">
        <w:rPr>
          <w:rFonts w:ascii="Arial" w:hAnsi="Arial" w:cs="Arial"/>
          <w:color w:val="2A2C2E"/>
          <w:sz w:val="24"/>
          <w:szCs w:val="24"/>
        </w:rPr>
        <w:t>l</w:t>
      </w:r>
      <w:r w:rsidR="00186E9C" w:rsidRPr="00573D1D">
        <w:rPr>
          <w:rFonts w:ascii="Arial" w:hAnsi="Arial" w:cs="Arial"/>
          <w:color w:val="2A2C2E"/>
          <w:sz w:val="24"/>
          <w:szCs w:val="24"/>
        </w:rPr>
        <w:t xml:space="preserve">arge scale users such as businesses or retailers. A wholesaler will </w:t>
      </w:r>
      <w:r w:rsidR="00D82398" w:rsidRPr="00573D1D">
        <w:rPr>
          <w:rFonts w:ascii="Arial" w:hAnsi="Arial" w:cs="Arial"/>
          <w:color w:val="2A2C2E"/>
          <w:sz w:val="24"/>
          <w:szCs w:val="24"/>
        </w:rPr>
        <w:t xml:space="preserve">take delivery from numerous </w:t>
      </w:r>
    </w:p>
    <w:p w:rsidR="00B233DF" w:rsidRPr="005A34E3" w:rsidRDefault="00B233DF" w:rsidP="00B233DF">
      <w:pPr>
        <w:pStyle w:val="Header"/>
        <w:spacing w:line="360" w:lineRule="auto"/>
        <w:jc w:val="right"/>
        <w:rPr>
          <w:rFonts w:ascii="Arial" w:hAnsi="Arial" w:cs="Arial"/>
          <w:sz w:val="24"/>
          <w:szCs w:val="24"/>
        </w:rPr>
      </w:pPr>
      <w:r w:rsidRPr="005A34E3">
        <w:rPr>
          <w:rFonts w:ascii="Arial" w:hAnsi="Arial" w:cs="Arial"/>
          <w:sz w:val="24"/>
          <w:szCs w:val="24"/>
        </w:rPr>
        <w:lastRenderedPageBreak/>
        <w:t>Mark Halling</w:t>
      </w:r>
    </w:p>
    <w:p w:rsidR="00B233DF" w:rsidRPr="005A34E3" w:rsidRDefault="00B233DF" w:rsidP="00B233DF">
      <w:pPr>
        <w:pStyle w:val="Header"/>
        <w:spacing w:line="360" w:lineRule="auto"/>
        <w:jc w:val="right"/>
        <w:rPr>
          <w:rFonts w:ascii="Arial" w:hAnsi="Arial" w:cs="Arial"/>
          <w:sz w:val="24"/>
          <w:szCs w:val="24"/>
        </w:rPr>
      </w:pPr>
      <w:r w:rsidRPr="005A34E3">
        <w:rPr>
          <w:rFonts w:ascii="Arial" w:hAnsi="Arial" w:cs="Arial"/>
          <w:sz w:val="24"/>
          <w:szCs w:val="24"/>
        </w:rPr>
        <w:t>11737</w:t>
      </w:r>
    </w:p>
    <w:p w:rsidR="00B233DF" w:rsidRPr="005A34E3" w:rsidRDefault="00B233DF" w:rsidP="00B233DF">
      <w:pPr>
        <w:pStyle w:val="Header"/>
        <w:spacing w:line="360" w:lineRule="auto"/>
        <w:jc w:val="right"/>
        <w:rPr>
          <w:rFonts w:ascii="Arial" w:hAnsi="Arial" w:cs="Arial"/>
          <w:sz w:val="24"/>
          <w:szCs w:val="24"/>
        </w:rPr>
      </w:pPr>
      <w:r>
        <w:rPr>
          <w:rFonts w:ascii="Arial" w:hAnsi="Arial" w:cs="Arial"/>
          <w:sz w:val="24"/>
          <w:szCs w:val="24"/>
        </w:rPr>
        <w:t>Assignment #7</w:t>
      </w:r>
    </w:p>
    <w:p w:rsidR="00B233DF" w:rsidRDefault="00B233DF" w:rsidP="00B233DF">
      <w:pPr>
        <w:pStyle w:val="Header"/>
        <w:spacing w:line="360" w:lineRule="auto"/>
        <w:jc w:val="right"/>
        <w:rPr>
          <w:rFonts w:ascii="Arial" w:hAnsi="Arial" w:cs="Arial"/>
          <w:sz w:val="24"/>
          <w:szCs w:val="24"/>
        </w:rPr>
      </w:pPr>
      <w:r>
        <w:rPr>
          <w:rFonts w:ascii="Arial" w:hAnsi="Arial" w:cs="Arial"/>
          <w:sz w:val="24"/>
          <w:szCs w:val="24"/>
        </w:rPr>
        <w:t>Page 2</w:t>
      </w:r>
    </w:p>
    <w:p w:rsidR="00B233DF" w:rsidRPr="00911044" w:rsidRDefault="00B233DF" w:rsidP="00911044">
      <w:pPr>
        <w:pStyle w:val="Header"/>
        <w:spacing w:line="360" w:lineRule="auto"/>
        <w:jc w:val="both"/>
        <w:rPr>
          <w:rFonts w:ascii="Arial" w:hAnsi="Arial" w:cs="Arial"/>
          <w:color w:val="2A2C2E"/>
          <w:sz w:val="24"/>
          <w:szCs w:val="24"/>
        </w:rPr>
      </w:pPr>
    </w:p>
    <w:p w:rsidR="009D0B7A" w:rsidRPr="00573D1D" w:rsidRDefault="00D82398" w:rsidP="00573D1D">
      <w:pPr>
        <w:pStyle w:val="Header"/>
        <w:spacing w:line="360" w:lineRule="auto"/>
        <w:jc w:val="both"/>
        <w:rPr>
          <w:rFonts w:ascii="Arial" w:hAnsi="Arial" w:cs="Arial"/>
          <w:color w:val="2A2C2E"/>
          <w:sz w:val="24"/>
          <w:szCs w:val="24"/>
        </w:rPr>
      </w:pPr>
      <w:r w:rsidRPr="00573D1D">
        <w:rPr>
          <w:rFonts w:ascii="Arial" w:hAnsi="Arial" w:cs="Arial"/>
          <w:color w:val="2A2C2E"/>
          <w:sz w:val="24"/>
          <w:szCs w:val="24"/>
        </w:rPr>
        <w:t>producers and offer on to their customers. The other main p</w:t>
      </w:r>
      <w:r w:rsidR="00573D1D" w:rsidRPr="00573D1D">
        <w:rPr>
          <w:rFonts w:ascii="Arial" w:hAnsi="Arial" w:cs="Arial"/>
          <w:color w:val="2A2C2E"/>
          <w:sz w:val="24"/>
          <w:szCs w:val="24"/>
        </w:rPr>
        <w:t>l</w:t>
      </w:r>
      <w:r w:rsidRPr="00573D1D">
        <w:rPr>
          <w:rFonts w:ascii="Arial" w:hAnsi="Arial" w:cs="Arial"/>
          <w:color w:val="2A2C2E"/>
          <w:sz w:val="24"/>
          <w:szCs w:val="24"/>
        </w:rPr>
        <w:t xml:space="preserve">ayer in the distribution process is the </w:t>
      </w:r>
      <w:r w:rsidR="00573D1D" w:rsidRPr="00573D1D">
        <w:rPr>
          <w:rFonts w:ascii="Arial" w:hAnsi="Arial" w:cs="Arial"/>
          <w:color w:val="2A2C2E"/>
          <w:sz w:val="24"/>
          <w:szCs w:val="24"/>
        </w:rPr>
        <w:t>retailer who is</w:t>
      </w:r>
      <w:r w:rsidRPr="00573D1D">
        <w:rPr>
          <w:rFonts w:ascii="Arial" w:hAnsi="Arial" w:cs="Arial"/>
          <w:color w:val="2A2C2E"/>
          <w:sz w:val="24"/>
          <w:szCs w:val="24"/>
        </w:rPr>
        <w:t xml:space="preserve"> responsible for selling the finished product o</w:t>
      </w:r>
      <w:r w:rsidR="00B233DF" w:rsidRPr="00573D1D">
        <w:rPr>
          <w:rFonts w:ascii="Arial" w:hAnsi="Arial" w:cs="Arial"/>
          <w:color w:val="2A2C2E"/>
          <w:sz w:val="24"/>
          <w:szCs w:val="24"/>
        </w:rPr>
        <w:t xml:space="preserve">r services to the end user. The </w:t>
      </w:r>
      <w:r w:rsidRPr="00573D1D">
        <w:rPr>
          <w:rFonts w:ascii="Arial" w:hAnsi="Arial" w:cs="Arial"/>
          <w:color w:val="2A2C2E"/>
          <w:sz w:val="24"/>
          <w:szCs w:val="24"/>
        </w:rPr>
        <w:t>retailer buys goods to sell to customers with the aim of improving their own market position and profitability. There are other participants who could be included within the supply chain as channel participants such as agents who broker deals between manufacturers and wholesalers to gain the best advantage for either party.</w:t>
      </w:r>
    </w:p>
    <w:p w:rsidR="00B233DF" w:rsidRPr="00573D1D" w:rsidRDefault="00B233DF" w:rsidP="00573D1D">
      <w:pPr>
        <w:pStyle w:val="Header"/>
        <w:spacing w:line="360" w:lineRule="auto"/>
        <w:jc w:val="both"/>
        <w:rPr>
          <w:rFonts w:ascii="Arial" w:hAnsi="Arial" w:cs="Arial"/>
          <w:color w:val="2A2C2E"/>
          <w:sz w:val="24"/>
          <w:szCs w:val="24"/>
        </w:rPr>
      </w:pPr>
    </w:p>
    <w:p w:rsidR="005160E9" w:rsidRPr="00573D1D" w:rsidRDefault="00D82398" w:rsidP="00573D1D">
      <w:pPr>
        <w:pStyle w:val="NormalWeb"/>
        <w:shd w:val="clear" w:color="auto" w:fill="FFFFFF"/>
        <w:spacing w:before="0" w:beforeAutospacing="0" w:after="400" w:afterAutospacing="0" w:line="360" w:lineRule="auto"/>
        <w:jc w:val="both"/>
        <w:rPr>
          <w:rFonts w:ascii="Arial" w:hAnsi="Arial" w:cs="Arial"/>
          <w:color w:val="222222"/>
        </w:rPr>
      </w:pPr>
      <w:r w:rsidRPr="00573D1D">
        <w:rPr>
          <w:rFonts w:ascii="Arial" w:hAnsi="Arial" w:cs="Arial"/>
          <w:color w:val="2A2C2E"/>
        </w:rPr>
        <w:t>1.iii.</w:t>
      </w:r>
      <w:r w:rsidR="00CB2C85" w:rsidRPr="00573D1D">
        <w:rPr>
          <w:rFonts w:ascii="Arial" w:hAnsi="Arial" w:cs="Arial"/>
          <w:color w:val="2A2C2E"/>
        </w:rPr>
        <w:t xml:space="preserve"> Before establishing a plan for the overall distribution system of a business it is essential to decide the ultimate aim of distribution channel. This should consist of the </w:t>
      </w:r>
      <w:r w:rsidR="00CD6B67" w:rsidRPr="00573D1D">
        <w:rPr>
          <w:rFonts w:ascii="Arial" w:hAnsi="Arial" w:cs="Arial"/>
          <w:color w:val="2A2C2E"/>
        </w:rPr>
        <w:t>companies’</w:t>
      </w:r>
      <w:r w:rsidR="00CB2C85" w:rsidRPr="00573D1D">
        <w:rPr>
          <w:rFonts w:ascii="Arial" w:hAnsi="Arial" w:cs="Arial"/>
          <w:color w:val="2A2C2E"/>
        </w:rPr>
        <w:t xml:space="preserve"> strategic approach to their required a</w:t>
      </w:r>
      <w:r w:rsidR="00CB2C85" w:rsidRPr="00573D1D">
        <w:rPr>
          <w:rFonts w:ascii="Arial" w:hAnsi="Arial" w:cs="Arial"/>
          <w:color w:val="222222"/>
        </w:rPr>
        <w:t>pproach to distributing products or services</w:t>
      </w:r>
      <w:r w:rsidR="00CD6B67" w:rsidRPr="00573D1D">
        <w:rPr>
          <w:rFonts w:ascii="Arial" w:hAnsi="Arial" w:cs="Arial"/>
          <w:color w:val="222222"/>
        </w:rPr>
        <w:t xml:space="preserve">. Factors that will influence this decision will include product type and shelf life, the profile of consumers to be served and the overall vision for the business. The businesses broad aims and objectives is a strategic level decision taken by executives. The decisions also involve the number of outlets available to customers both existing and potential new ones.  There are three main approaches to market coverage Intensive distribution, selective distribution and exclusive distribution. Intensive </w:t>
      </w:r>
      <w:r w:rsidR="00CB2C85" w:rsidRPr="00573D1D">
        <w:rPr>
          <w:rFonts w:ascii="Arial" w:hAnsi="Arial" w:cs="Arial"/>
          <w:color w:val="222222"/>
        </w:rPr>
        <w:t>distribution</w:t>
      </w:r>
      <w:r w:rsidR="00CD6B67" w:rsidRPr="00573D1D">
        <w:rPr>
          <w:rFonts w:ascii="Arial" w:hAnsi="Arial" w:cs="Arial"/>
          <w:color w:val="222222"/>
        </w:rPr>
        <w:t xml:space="preserve"> is utilised when products are to be channelled to a mass market and requires a broad spectrum of market base. An example of this would be snacks where the maximum availability would be sought to promote widespread </w:t>
      </w:r>
      <w:r w:rsidR="00007F84" w:rsidRPr="00573D1D">
        <w:rPr>
          <w:rFonts w:ascii="Arial" w:hAnsi="Arial" w:cs="Arial"/>
          <w:color w:val="222222"/>
        </w:rPr>
        <w:t xml:space="preserve">sales </w:t>
      </w:r>
      <w:r w:rsidR="00CD6B67" w:rsidRPr="00573D1D">
        <w:rPr>
          <w:rFonts w:ascii="Arial" w:hAnsi="Arial" w:cs="Arial"/>
          <w:color w:val="222222"/>
        </w:rPr>
        <w:t>to the maximu</w:t>
      </w:r>
      <w:r w:rsidR="00007F84" w:rsidRPr="00573D1D">
        <w:rPr>
          <w:rFonts w:ascii="Arial" w:hAnsi="Arial" w:cs="Arial"/>
          <w:color w:val="222222"/>
        </w:rPr>
        <w:t xml:space="preserve">m number of consumers possible in the most financially effective manner possible. </w:t>
      </w:r>
      <w:r w:rsidR="00CB2C85" w:rsidRPr="00573D1D">
        <w:rPr>
          <w:rFonts w:ascii="Arial" w:hAnsi="Arial" w:cs="Arial"/>
          <w:color w:val="222222"/>
        </w:rPr>
        <w:t>Selective distribution</w:t>
      </w:r>
      <w:r w:rsidR="00007F84" w:rsidRPr="00573D1D">
        <w:rPr>
          <w:rFonts w:ascii="Arial" w:hAnsi="Arial" w:cs="Arial"/>
          <w:color w:val="222222"/>
        </w:rPr>
        <w:t xml:space="preserve"> engages the approach that a producer may choose to offer restricted outlets for its products. This will take into account the amount of time and effort a consumer is prepared to spend acquiring a product. Producers may utilise this approach if they are concerned about brand image and require outlet staff to be specifically trained in their product detail. Many fragrance producers employ this approach. </w:t>
      </w:r>
      <w:r w:rsidR="00CB2C85" w:rsidRPr="00573D1D">
        <w:rPr>
          <w:rFonts w:ascii="Arial" w:hAnsi="Arial" w:cs="Arial"/>
          <w:color w:val="222222"/>
        </w:rPr>
        <w:t>Exclusive distribution</w:t>
      </w:r>
      <w:r w:rsidR="00007F84" w:rsidRPr="00573D1D">
        <w:rPr>
          <w:rFonts w:ascii="Arial" w:hAnsi="Arial" w:cs="Arial"/>
          <w:color w:val="222222"/>
        </w:rPr>
        <w:t xml:space="preserve"> is where a producer will choose to deal with one outlet in a given location. By using this approach the manufacturer retains greater control over its products. There is an expectation with this type of agreement that a distributor will make every effort to add value to the product in terms of service level, customer service and aftersales. The most common type of selective distribution arrangement will offer a retailer exclusive rights within a geographic area.</w:t>
      </w:r>
    </w:p>
    <w:p w:rsidR="00B233DF" w:rsidRPr="00911044" w:rsidRDefault="00B233DF" w:rsidP="00911044">
      <w:pPr>
        <w:pStyle w:val="NormalWeb"/>
        <w:shd w:val="clear" w:color="auto" w:fill="FFFFFF"/>
        <w:spacing w:before="0" w:beforeAutospacing="0" w:after="400" w:afterAutospacing="0" w:line="360" w:lineRule="auto"/>
        <w:jc w:val="both"/>
        <w:rPr>
          <w:rFonts w:ascii="Arial" w:hAnsi="Arial" w:cs="Arial"/>
          <w:color w:val="222222"/>
        </w:rPr>
      </w:pPr>
    </w:p>
    <w:p w:rsidR="00B233DF" w:rsidRPr="005A34E3" w:rsidRDefault="00B233DF" w:rsidP="00B233DF">
      <w:pPr>
        <w:pStyle w:val="Header"/>
        <w:spacing w:line="360" w:lineRule="auto"/>
        <w:jc w:val="right"/>
        <w:rPr>
          <w:rFonts w:ascii="Arial" w:hAnsi="Arial" w:cs="Arial"/>
          <w:sz w:val="24"/>
          <w:szCs w:val="24"/>
        </w:rPr>
      </w:pPr>
      <w:r w:rsidRPr="005A34E3">
        <w:rPr>
          <w:rFonts w:ascii="Arial" w:hAnsi="Arial" w:cs="Arial"/>
          <w:sz w:val="24"/>
          <w:szCs w:val="24"/>
        </w:rPr>
        <w:lastRenderedPageBreak/>
        <w:t>Mark Halling</w:t>
      </w:r>
    </w:p>
    <w:p w:rsidR="00B233DF" w:rsidRPr="005A34E3" w:rsidRDefault="00B233DF" w:rsidP="00B233DF">
      <w:pPr>
        <w:pStyle w:val="Header"/>
        <w:spacing w:line="360" w:lineRule="auto"/>
        <w:jc w:val="right"/>
        <w:rPr>
          <w:rFonts w:ascii="Arial" w:hAnsi="Arial" w:cs="Arial"/>
          <w:sz w:val="24"/>
          <w:szCs w:val="24"/>
        </w:rPr>
      </w:pPr>
      <w:r w:rsidRPr="005A34E3">
        <w:rPr>
          <w:rFonts w:ascii="Arial" w:hAnsi="Arial" w:cs="Arial"/>
          <w:sz w:val="24"/>
          <w:szCs w:val="24"/>
        </w:rPr>
        <w:t>11737</w:t>
      </w:r>
    </w:p>
    <w:p w:rsidR="00B233DF" w:rsidRPr="005A34E3" w:rsidRDefault="00B233DF" w:rsidP="00B233DF">
      <w:pPr>
        <w:pStyle w:val="Header"/>
        <w:spacing w:line="360" w:lineRule="auto"/>
        <w:jc w:val="right"/>
        <w:rPr>
          <w:rFonts w:ascii="Arial" w:hAnsi="Arial" w:cs="Arial"/>
          <w:sz w:val="24"/>
          <w:szCs w:val="24"/>
        </w:rPr>
      </w:pPr>
      <w:r>
        <w:rPr>
          <w:rFonts w:ascii="Arial" w:hAnsi="Arial" w:cs="Arial"/>
          <w:sz w:val="24"/>
          <w:szCs w:val="24"/>
        </w:rPr>
        <w:t>Assignment #7</w:t>
      </w:r>
    </w:p>
    <w:p w:rsidR="00B233DF" w:rsidRDefault="00B233DF" w:rsidP="00B233DF">
      <w:pPr>
        <w:pStyle w:val="Header"/>
        <w:spacing w:line="360" w:lineRule="auto"/>
        <w:jc w:val="right"/>
        <w:rPr>
          <w:rFonts w:ascii="Arial" w:hAnsi="Arial" w:cs="Arial"/>
          <w:sz w:val="24"/>
          <w:szCs w:val="24"/>
        </w:rPr>
      </w:pPr>
      <w:r>
        <w:rPr>
          <w:rFonts w:ascii="Arial" w:hAnsi="Arial" w:cs="Arial"/>
          <w:sz w:val="24"/>
          <w:szCs w:val="24"/>
        </w:rPr>
        <w:t>Page 3</w:t>
      </w:r>
    </w:p>
    <w:p w:rsidR="00225BF6" w:rsidRDefault="00225BF6" w:rsidP="00B233DF">
      <w:pPr>
        <w:pStyle w:val="Header"/>
        <w:spacing w:line="360" w:lineRule="auto"/>
        <w:jc w:val="right"/>
        <w:rPr>
          <w:rFonts w:ascii="Arial" w:hAnsi="Arial" w:cs="Arial"/>
          <w:sz w:val="24"/>
          <w:szCs w:val="24"/>
        </w:rPr>
      </w:pPr>
    </w:p>
    <w:p w:rsidR="00911044" w:rsidRPr="00573D1D" w:rsidRDefault="00B233DF" w:rsidP="00573D1D">
      <w:pPr>
        <w:pStyle w:val="Header"/>
        <w:spacing w:line="360" w:lineRule="auto"/>
        <w:jc w:val="both"/>
        <w:rPr>
          <w:rFonts w:ascii="Arial" w:eastAsia="Times New Roman" w:hAnsi="Arial" w:cs="Arial"/>
          <w:sz w:val="24"/>
          <w:szCs w:val="24"/>
        </w:rPr>
      </w:pPr>
      <w:r w:rsidRPr="00573D1D">
        <w:rPr>
          <w:rFonts w:ascii="Arial" w:eastAsia="Times New Roman" w:hAnsi="Arial" w:cs="Arial"/>
          <w:sz w:val="24"/>
          <w:szCs w:val="24"/>
        </w:rPr>
        <w:t xml:space="preserve">1.iv. </w:t>
      </w:r>
      <w:r w:rsidR="00AD5F3C" w:rsidRPr="00573D1D">
        <w:rPr>
          <w:rFonts w:ascii="Arial" w:eastAsia="Times New Roman" w:hAnsi="Arial" w:cs="Arial"/>
          <w:sz w:val="24"/>
          <w:szCs w:val="24"/>
        </w:rPr>
        <w:t xml:space="preserve">Conventional channels main characteristic is that there is no formal supply chain agreement in place and members of the supply chain maintain a high level of independence from each other. </w:t>
      </w:r>
      <w:r w:rsidR="00225BF6" w:rsidRPr="00573D1D">
        <w:rPr>
          <w:rFonts w:ascii="Arial" w:eastAsia="Times New Roman" w:hAnsi="Arial" w:cs="Arial"/>
          <w:sz w:val="24"/>
          <w:szCs w:val="24"/>
        </w:rPr>
        <w:t>The motivation to participate in this type of channel for a business is opportunistic and wishes to take advantage of the channels efficient processes without actually joining a supply chain formally. Conventional channels can prove to be volatile as members operate in numerous supply channels looking to take advantage of short term efficiencies for their business. Conventional channels can terminate abruptly as companies do not need to enter into formal long term relationships and parties can leave and join as they feel to maximise their own benefits. Single transaction channels are normally considered to be one off single transactions with little or no p</w:t>
      </w:r>
      <w:r w:rsidR="00911044" w:rsidRPr="00573D1D">
        <w:rPr>
          <w:rFonts w:ascii="Arial" w:eastAsia="Times New Roman" w:hAnsi="Arial" w:cs="Arial"/>
          <w:sz w:val="24"/>
          <w:szCs w:val="24"/>
        </w:rPr>
        <w:t xml:space="preserve">rospect of any repeat business. An example of a single transaction would be the purchase of a house where once all requirements have been completed the channel ceases to exist. The supply </w:t>
      </w:r>
      <w:r w:rsidR="0090228D" w:rsidRPr="00573D1D">
        <w:rPr>
          <w:rFonts w:ascii="Arial" w:eastAsia="Times New Roman" w:hAnsi="Arial" w:cs="Arial"/>
          <w:sz w:val="24"/>
          <w:szCs w:val="24"/>
        </w:rPr>
        <w:t>channel in this type of transaction is</w:t>
      </w:r>
      <w:r w:rsidR="00911044" w:rsidRPr="00573D1D">
        <w:rPr>
          <w:rFonts w:ascii="Arial" w:eastAsia="Times New Roman" w:hAnsi="Arial" w:cs="Arial"/>
          <w:sz w:val="24"/>
          <w:szCs w:val="24"/>
        </w:rPr>
        <w:t xml:space="preserve"> therefore formed solely to facilitate a single unique transaction.</w:t>
      </w:r>
    </w:p>
    <w:p w:rsidR="00911044" w:rsidRPr="00573D1D" w:rsidRDefault="00911044" w:rsidP="00573D1D">
      <w:pPr>
        <w:pStyle w:val="Header"/>
        <w:spacing w:line="360" w:lineRule="auto"/>
        <w:jc w:val="both"/>
        <w:rPr>
          <w:rFonts w:ascii="Arial" w:eastAsia="Times New Roman" w:hAnsi="Arial" w:cs="Arial"/>
          <w:sz w:val="24"/>
          <w:szCs w:val="24"/>
        </w:rPr>
      </w:pPr>
    </w:p>
    <w:p w:rsidR="004074FF" w:rsidRPr="00573D1D" w:rsidRDefault="00911044" w:rsidP="00573D1D">
      <w:pPr>
        <w:pStyle w:val="Header"/>
        <w:spacing w:line="360" w:lineRule="auto"/>
        <w:jc w:val="both"/>
        <w:rPr>
          <w:rFonts w:ascii="Arial" w:eastAsia="Times New Roman" w:hAnsi="Arial" w:cs="Arial"/>
          <w:sz w:val="24"/>
          <w:szCs w:val="24"/>
        </w:rPr>
      </w:pPr>
      <w:r w:rsidRPr="00573D1D">
        <w:rPr>
          <w:rFonts w:ascii="Arial" w:eastAsia="Times New Roman" w:hAnsi="Arial" w:cs="Arial"/>
          <w:sz w:val="24"/>
          <w:szCs w:val="24"/>
        </w:rPr>
        <w:t xml:space="preserve">1.v. </w:t>
      </w:r>
      <w:r w:rsidR="0090228D" w:rsidRPr="00573D1D">
        <w:rPr>
          <w:rFonts w:ascii="Arial" w:eastAsia="Times New Roman" w:hAnsi="Arial" w:cs="Arial"/>
          <w:sz w:val="24"/>
          <w:szCs w:val="24"/>
        </w:rPr>
        <w:t>Pricing has a direct interaction with an  operations logistics through its role within the marketing strategy. Pricing is now a stand alone cost having been removed from the overall price of product and is seen as a stand alone element. Pricing has developed so that some elements like transport have been taken out of the cost calculation and are recognised as a separate entity. The effective timing and stabilisation of logistics operations are directly impacted by a businesses pricing strategy. Decisions relating to pricing decide which part of a business is responsible for logi</w:t>
      </w:r>
      <w:r w:rsidR="004074FF" w:rsidRPr="00573D1D">
        <w:rPr>
          <w:rFonts w:ascii="Arial" w:eastAsia="Times New Roman" w:hAnsi="Arial" w:cs="Arial"/>
          <w:sz w:val="24"/>
          <w:szCs w:val="24"/>
        </w:rPr>
        <w:t>stics activities and liability.</w:t>
      </w:r>
    </w:p>
    <w:p w:rsidR="004074FF" w:rsidRPr="00573D1D" w:rsidRDefault="004074FF" w:rsidP="00573D1D">
      <w:pPr>
        <w:pStyle w:val="Header"/>
        <w:spacing w:line="360" w:lineRule="auto"/>
        <w:jc w:val="both"/>
        <w:rPr>
          <w:rFonts w:ascii="Arial" w:eastAsia="Times New Roman" w:hAnsi="Arial" w:cs="Arial"/>
          <w:sz w:val="24"/>
          <w:szCs w:val="24"/>
        </w:rPr>
      </w:pPr>
    </w:p>
    <w:p w:rsidR="00D94F67" w:rsidRPr="00573D1D" w:rsidRDefault="004074FF" w:rsidP="00573D1D">
      <w:pPr>
        <w:pStyle w:val="Header"/>
        <w:spacing w:line="360" w:lineRule="auto"/>
        <w:jc w:val="both"/>
        <w:rPr>
          <w:rFonts w:ascii="Arial" w:eastAsia="Times New Roman" w:hAnsi="Arial" w:cs="Arial"/>
          <w:sz w:val="24"/>
          <w:szCs w:val="24"/>
        </w:rPr>
      </w:pPr>
      <w:r w:rsidRPr="00573D1D">
        <w:rPr>
          <w:rFonts w:ascii="Arial" w:eastAsia="Times New Roman" w:hAnsi="Arial" w:cs="Arial"/>
          <w:sz w:val="24"/>
          <w:szCs w:val="24"/>
        </w:rPr>
        <w:t xml:space="preserve">2. </w:t>
      </w:r>
      <w:r w:rsidRPr="00573D1D">
        <w:rPr>
          <w:rFonts w:ascii="Arial" w:hAnsi="Arial" w:cs="Arial"/>
          <w:sz w:val="24"/>
          <w:szCs w:val="24"/>
        </w:rPr>
        <w:t xml:space="preserve"> </w:t>
      </w:r>
      <w:r w:rsidRPr="00573D1D">
        <w:rPr>
          <w:rFonts w:ascii="Arial" w:eastAsia="Times New Roman" w:hAnsi="Arial" w:cs="Arial"/>
          <w:sz w:val="24"/>
          <w:szCs w:val="24"/>
        </w:rPr>
        <w:t>The two most common methods of pricing are F.O.B source and Delivered Pricing. With delivered pricing transportation is not shown as a stand alone cost to the purchaser and is included within the purchase price. F.O.B pricing</w:t>
      </w:r>
      <w:r w:rsidR="00D94F67" w:rsidRPr="00573D1D">
        <w:rPr>
          <w:rFonts w:ascii="Arial" w:eastAsia="Times New Roman" w:hAnsi="Arial" w:cs="Arial"/>
          <w:sz w:val="24"/>
          <w:szCs w:val="24"/>
        </w:rPr>
        <w:t xml:space="preserve"> defines as Free on Board or Freight on Board has variable methods utilised in practice. F.O.B origin is the simplest approach and the vendor places the consignment to be shipped out for quotations for transport.  F.O.B destination pricing utilises a method where the vendor arranges the delivery method and adds the cost onto the final invoice to the purchaser. Final ownership does not pass to the purchaser until payment is received in full. </w:t>
      </w:r>
      <w:r w:rsidRPr="00573D1D">
        <w:rPr>
          <w:rFonts w:ascii="Arial" w:eastAsia="Times New Roman" w:hAnsi="Arial" w:cs="Arial"/>
          <w:sz w:val="24"/>
          <w:szCs w:val="24"/>
        </w:rPr>
        <w:t xml:space="preserve">The major difference between these two methods of pricing is that delivered pricing offers a price inclusive of delivery whereas a F.O.B pricing approach gives the purchaser </w:t>
      </w:r>
    </w:p>
    <w:p w:rsidR="00D94F67" w:rsidRPr="005A34E3" w:rsidRDefault="00D94F67" w:rsidP="00D94F67">
      <w:pPr>
        <w:pStyle w:val="Header"/>
        <w:spacing w:line="360" w:lineRule="auto"/>
        <w:jc w:val="right"/>
        <w:rPr>
          <w:rFonts w:ascii="Arial" w:hAnsi="Arial" w:cs="Arial"/>
          <w:sz w:val="24"/>
          <w:szCs w:val="24"/>
        </w:rPr>
      </w:pPr>
      <w:r w:rsidRPr="005A34E3">
        <w:rPr>
          <w:rFonts w:ascii="Arial" w:hAnsi="Arial" w:cs="Arial"/>
          <w:sz w:val="24"/>
          <w:szCs w:val="24"/>
        </w:rPr>
        <w:lastRenderedPageBreak/>
        <w:t>Mark Halling</w:t>
      </w:r>
    </w:p>
    <w:p w:rsidR="00D94F67" w:rsidRPr="005A34E3" w:rsidRDefault="00D94F67" w:rsidP="00D94F67">
      <w:pPr>
        <w:pStyle w:val="Header"/>
        <w:spacing w:line="360" w:lineRule="auto"/>
        <w:jc w:val="right"/>
        <w:rPr>
          <w:rFonts w:ascii="Arial" w:hAnsi="Arial" w:cs="Arial"/>
          <w:sz w:val="24"/>
          <w:szCs w:val="24"/>
        </w:rPr>
      </w:pPr>
      <w:r w:rsidRPr="005A34E3">
        <w:rPr>
          <w:rFonts w:ascii="Arial" w:hAnsi="Arial" w:cs="Arial"/>
          <w:sz w:val="24"/>
          <w:szCs w:val="24"/>
        </w:rPr>
        <w:t>11737</w:t>
      </w:r>
    </w:p>
    <w:p w:rsidR="00D94F67" w:rsidRPr="005A34E3" w:rsidRDefault="00D94F67" w:rsidP="00D94F67">
      <w:pPr>
        <w:pStyle w:val="Header"/>
        <w:spacing w:line="360" w:lineRule="auto"/>
        <w:jc w:val="right"/>
        <w:rPr>
          <w:rFonts w:ascii="Arial" w:hAnsi="Arial" w:cs="Arial"/>
          <w:sz w:val="24"/>
          <w:szCs w:val="24"/>
        </w:rPr>
      </w:pPr>
      <w:r>
        <w:rPr>
          <w:rFonts w:ascii="Arial" w:hAnsi="Arial" w:cs="Arial"/>
          <w:sz w:val="24"/>
          <w:szCs w:val="24"/>
        </w:rPr>
        <w:t>Assignment #7</w:t>
      </w:r>
    </w:p>
    <w:p w:rsidR="00D94F67" w:rsidRDefault="00D94F67" w:rsidP="00D94F67">
      <w:pPr>
        <w:pStyle w:val="Header"/>
        <w:spacing w:line="360" w:lineRule="auto"/>
        <w:jc w:val="right"/>
        <w:rPr>
          <w:rFonts w:ascii="Arial" w:hAnsi="Arial" w:cs="Arial"/>
          <w:sz w:val="24"/>
          <w:szCs w:val="24"/>
        </w:rPr>
      </w:pPr>
      <w:r>
        <w:rPr>
          <w:rFonts w:ascii="Arial" w:hAnsi="Arial" w:cs="Arial"/>
          <w:sz w:val="24"/>
          <w:szCs w:val="24"/>
        </w:rPr>
        <w:t>Page 4</w:t>
      </w:r>
    </w:p>
    <w:p w:rsidR="00D94F67" w:rsidRDefault="00D94F67" w:rsidP="004074FF">
      <w:pPr>
        <w:pStyle w:val="Header"/>
        <w:spacing w:line="360" w:lineRule="auto"/>
        <w:jc w:val="both"/>
        <w:rPr>
          <w:rFonts w:ascii="Arial" w:eastAsia="Times New Roman" w:hAnsi="Arial" w:cs="Arial"/>
          <w:sz w:val="24"/>
          <w:szCs w:val="24"/>
        </w:rPr>
      </w:pPr>
    </w:p>
    <w:p w:rsidR="004074FF" w:rsidRPr="00573D1D" w:rsidRDefault="004074FF" w:rsidP="00573D1D">
      <w:pPr>
        <w:pStyle w:val="Header"/>
        <w:spacing w:line="360" w:lineRule="auto"/>
        <w:jc w:val="both"/>
        <w:rPr>
          <w:rFonts w:ascii="Arial" w:eastAsia="Times New Roman" w:hAnsi="Arial" w:cs="Arial"/>
          <w:sz w:val="24"/>
          <w:szCs w:val="24"/>
        </w:rPr>
      </w:pPr>
      <w:r w:rsidRPr="00573D1D">
        <w:rPr>
          <w:rFonts w:ascii="Arial" w:eastAsia="Times New Roman" w:hAnsi="Arial" w:cs="Arial"/>
          <w:sz w:val="24"/>
          <w:szCs w:val="24"/>
        </w:rPr>
        <w:t xml:space="preserve">the option to choose their preferred method of delivery. The purchaser on making their choice of delivery mode then pays for that option in addition to their product cost. </w:t>
      </w:r>
      <w:r w:rsidR="00D94F67" w:rsidRPr="00573D1D">
        <w:rPr>
          <w:rFonts w:ascii="Arial" w:eastAsia="Times New Roman" w:hAnsi="Arial" w:cs="Arial"/>
          <w:sz w:val="24"/>
          <w:szCs w:val="24"/>
        </w:rPr>
        <w:t>There are multiple variations of delivered pricing</w:t>
      </w:r>
      <w:r w:rsidR="00DE3F8B" w:rsidRPr="00573D1D">
        <w:rPr>
          <w:rFonts w:ascii="Arial" w:eastAsia="Times New Roman" w:hAnsi="Arial" w:cs="Arial"/>
          <w:sz w:val="24"/>
          <w:szCs w:val="24"/>
        </w:rPr>
        <w:t>:</w:t>
      </w:r>
    </w:p>
    <w:p w:rsidR="00DE3F8B" w:rsidRPr="00573D1D" w:rsidRDefault="00DE3F8B" w:rsidP="00573D1D">
      <w:pPr>
        <w:pStyle w:val="Header"/>
        <w:numPr>
          <w:ilvl w:val="0"/>
          <w:numId w:val="45"/>
        </w:numPr>
        <w:spacing w:line="360" w:lineRule="auto"/>
        <w:jc w:val="both"/>
        <w:rPr>
          <w:rFonts w:ascii="Arial" w:eastAsia="Times New Roman" w:hAnsi="Arial" w:cs="Arial"/>
          <w:sz w:val="24"/>
          <w:szCs w:val="24"/>
        </w:rPr>
      </w:pPr>
      <w:r w:rsidRPr="00573D1D">
        <w:rPr>
          <w:rFonts w:ascii="Arial" w:eastAsia="Times New Roman" w:hAnsi="Arial" w:cs="Arial"/>
          <w:sz w:val="24"/>
          <w:szCs w:val="24"/>
        </w:rPr>
        <w:t>Single Zone Pricing is where all customers pay a standard delivery cost regardless of where they are geographically situated in relation to the supplier. Under this approach there is a bias towards consumers who are a further distance from the supplier as they will in effect be subsidised by customers who are closer to the distribution facility. A business will usually choose to use this pricing method when transportation cost to be charged forms a relatively small proportion of overall unit cost. This approach offers a high level of control over logistics costs to the vendor whilst giving an uncomplicated pricing system to the purchaser.</w:t>
      </w:r>
    </w:p>
    <w:p w:rsidR="00DE3F8B" w:rsidRPr="00573D1D" w:rsidRDefault="00DE3F8B" w:rsidP="00573D1D">
      <w:pPr>
        <w:pStyle w:val="Header"/>
        <w:numPr>
          <w:ilvl w:val="0"/>
          <w:numId w:val="45"/>
        </w:numPr>
        <w:spacing w:line="360" w:lineRule="auto"/>
        <w:jc w:val="both"/>
        <w:rPr>
          <w:rFonts w:ascii="Arial" w:eastAsia="Times New Roman" w:hAnsi="Arial" w:cs="Arial"/>
          <w:sz w:val="24"/>
          <w:szCs w:val="24"/>
        </w:rPr>
      </w:pPr>
      <w:r w:rsidRPr="00573D1D">
        <w:rPr>
          <w:rFonts w:ascii="Arial" w:eastAsia="Times New Roman" w:hAnsi="Arial" w:cs="Arial"/>
          <w:sz w:val="24"/>
          <w:szCs w:val="24"/>
        </w:rPr>
        <w:t xml:space="preserve">Multi Zone Pricing is predominantly based on geographical location of customers. The geographic area is divided into areas or zones </w:t>
      </w:r>
      <w:r w:rsidR="00660999" w:rsidRPr="00573D1D">
        <w:rPr>
          <w:rFonts w:ascii="Arial" w:eastAsia="Times New Roman" w:hAnsi="Arial" w:cs="Arial"/>
          <w:sz w:val="24"/>
          <w:szCs w:val="24"/>
        </w:rPr>
        <w:t>differentiated by distance from the sellers distribution facility. The price changes from zone to zone but remains the same within a zone. This type of pricing strategy is utilised by many parcel and pallet delivery companies and the main method in my experience to distinguish the delivery zone is the customer postcode.</w:t>
      </w:r>
    </w:p>
    <w:p w:rsidR="00AD7585" w:rsidRPr="00573D1D" w:rsidRDefault="00660999" w:rsidP="00573D1D">
      <w:pPr>
        <w:pStyle w:val="Header"/>
        <w:numPr>
          <w:ilvl w:val="0"/>
          <w:numId w:val="45"/>
        </w:numPr>
        <w:spacing w:line="360" w:lineRule="auto"/>
        <w:jc w:val="both"/>
        <w:rPr>
          <w:rFonts w:ascii="Arial" w:hAnsi="Arial" w:cs="Arial"/>
          <w:color w:val="333333"/>
          <w:sz w:val="24"/>
          <w:szCs w:val="24"/>
        </w:rPr>
      </w:pPr>
      <w:r w:rsidRPr="00573D1D">
        <w:rPr>
          <w:rFonts w:ascii="Arial" w:eastAsia="Times New Roman" w:hAnsi="Arial" w:cs="Arial"/>
          <w:sz w:val="24"/>
          <w:szCs w:val="24"/>
        </w:rPr>
        <w:t>Base point pricing is the practice of a company setting prices to all locations</w:t>
      </w:r>
      <w:r w:rsidR="00AD7585" w:rsidRPr="00573D1D">
        <w:rPr>
          <w:rFonts w:ascii="Arial" w:eastAsia="Times New Roman" w:hAnsi="Arial" w:cs="Arial"/>
          <w:sz w:val="24"/>
          <w:szCs w:val="24"/>
        </w:rPr>
        <w:t xml:space="preserve"> as if their transportation costs were the same. This does not take into account any geographical location of the end customer regardless of if there would be hugely variable transport costs due to location. The pricing of a product is the products price plus transport cost from a base point which is usually the suppliers’ production or warehousing facility. The point used to calculate base point pricing is used to calculate the delivered price and does not necessarily mean that a product originates from the suppliers facilities. This method is complicated and controversial and is sometimes seen as suppliers entering into monitored collusion regarding the pricing strategy.</w:t>
      </w:r>
    </w:p>
    <w:p w:rsidR="009D0B7A" w:rsidRDefault="00AD7585" w:rsidP="00573D1D">
      <w:pPr>
        <w:pStyle w:val="Header"/>
        <w:spacing w:line="360" w:lineRule="auto"/>
        <w:jc w:val="both"/>
        <w:rPr>
          <w:rFonts w:ascii="Arial" w:eastAsia="Times New Roman" w:hAnsi="Arial" w:cs="Arial"/>
          <w:sz w:val="24"/>
          <w:szCs w:val="24"/>
        </w:rPr>
      </w:pPr>
      <w:r w:rsidRPr="00573D1D">
        <w:rPr>
          <w:rFonts w:ascii="Arial" w:eastAsia="Times New Roman" w:hAnsi="Arial" w:cs="Arial"/>
          <w:sz w:val="24"/>
          <w:szCs w:val="24"/>
        </w:rPr>
        <w:t>The main aim of any pricing strategy should be for a supplier to ensure that their products and services are d</w:t>
      </w:r>
      <w:r w:rsidR="00573D1D" w:rsidRPr="00573D1D">
        <w:rPr>
          <w:rFonts w:ascii="Arial" w:eastAsia="Times New Roman" w:hAnsi="Arial" w:cs="Arial"/>
          <w:sz w:val="24"/>
          <w:szCs w:val="24"/>
        </w:rPr>
        <w:t>elivered to consumers in a timely manner at the most cost efficient pricing method for their business.</w:t>
      </w:r>
    </w:p>
    <w:p w:rsidR="00573D1D" w:rsidRDefault="00573D1D" w:rsidP="00573D1D">
      <w:pPr>
        <w:pStyle w:val="Header"/>
        <w:spacing w:line="360" w:lineRule="auto"/>
        <w:jc w:val="both"/>
        <w:rPr>
          <w:rFonts w:ascii="Arial" w:eastAsia="Times New Roman" w:hAnsi="Arial" w:cs="Arial"/>
          <w:sz w:val="24"/>
          <w:szCs w:val="24"/>
        </w:rPr>
      </w:pPr>
    </w:p>
    <w:p w:rsidR="00573D1D" w:rsidRDefault="00573D1D" w:rsidP="00573D1D">
      <w:pPr>
        <w:pStyle w:val="Header"/>
        <w:spacing w:line="360" w:lineRule="auto"/>
        <w:jc w:val="both"/>
        <w:rPr>
          <w:rFonts w:ascii="Arial" w:eastAsia="Times New Roman" w:hAnsi="Arial" w:cs="Arial"/>
          <w:sz w:val="24"/>
          <w:szCs w:val="24"/>
        </w:rPr>
      </w:pPr>
    </w:p>
    <w:p w:rsidR="00573D1D" w:rsidRDefault="00573D1D" w:rsidP="00573D1D">
      <w:pPr>
        <w:pStyle w:val="Header"/>
        <w:spacing w:line="360" w:lineRule="auto"/>
        <w:jc w:val="both"/>
        <w:rPr>
          <w:rFonts w:ascii="Arial" w:eastAsia="Times New Roman" w:hAnsi="Arial" w:cs="Arial"/>
          <w:sz w:val="24"/>
          <w:szCs w:val="24"/>
        </w:rPr>
      </w:pPr>
    </w:p>
    <w:p w:rsidR="00573D1D" w:rsidRPr="005A34E3" w:rsidRDefault="00573D1D" w:rsidP="00573D1D">
      <w:pPr>
        <w:pStyle w:val="Header"/>
        <w:spacing w:line="360" w:lineRule="auto"/>
        <w:jc w:val="right"/>
        <w:rPr>
          <w:rFonts w:ascii="Arial" w:hAnsi="Arial" w:cs="Arial"/>
          <w:sz w:val="24"/>
          <w:szCs w:val="24"/>
        </w:rPr>
      </w:pPr>
      <w:r w:rsidRPr="005A34E3">
        <w:rPr>
          <w:rFonts w:ascii="Arial" w:hAnsi="Arial" w:cs="Arial"/>
          <w:sz w:val="24"/>
          <w:szCs w:val="24"/>
        </w:rPr>
        <w:lastRenderedPageBreak/>
        <w:t>Mark Halling</w:t>
      </w:r>
    </w:p>
    <w:p w:rsidR="00573D1D" w:rsidRPr="005A34E3" w:rsidRDefault="00573D1D" w:rsidP="00573D1D">
      <w:pPr>
        <w:pStyle w:val="Header"/>
        <w:spacing w:line="360" w:lineRule="auto"/>
        <w:jc w:val="right"/>
        <w:rPr>
          <w:rFonts w:ascii="Arial" w:hAnsi="Arial" w:cs="Arial"/>
          <w:sz w:val="24"/>
          <w:szCs w:val="24"/>
        </w:rPr>
      </w:pPr>
      <w:r w:rsidRPr="005A34E3">
        <w:rPr>
          <w:rFonts w:ascii="Arial" w:hAnsi="Arial" w:cs="Arial"/>
          <w:sz w:val="24"/>
          <w:szCs w:val="24"/>
        </w:rPr>
        <w:t>11737</w:t>
      </w:r>
    </w:p>
    <w:p w:rsidR="00573D1D" w:rsidRPr="005A34E3" w:rsidRDefault="00573D1D" w:rsidP="00573D1D">
      <w:pPr>
        <w:pStyle w:val="Header"/>
        <w:spacing w:line="360" w:lineRule="auto"/>
        <w:jc w:val="right"/>
        <w:rPr>
          <w:rFonts w:ascii="Arial" w:hAnsi="Arial" w:cs="Arial"/>
          <w:sz w:val="24"/>
          <w:szCs w:val="24"/>
        </w:rPr>
      </w:pPr>
      <w:r>
        <w:rPr>
          <w:rFonts w:ascii="Arial" w:hAnsi="Arial" w:cs="Arial"/>
          <w:sz w:val="24"/>
          <w:szCs w:val="24"/>
        </w:rPr>
        <w:t>Assignment #7</w:t>
      </w:r>
    </w:p>
    <w:p w:rsidR="00573D1D" w:rsidRDefault="00573D1D" w:rsidP="00573D1D">
      <w:pPr>
        <w:pStyle w:val="Header"/>
        <w:spacing w:line="360" w:lineRule="auto"/>
        <w:jc w:val="right"/>
        <w:rPr>
          <w:rFonts w:ascii="Arial" w:hAnsi="Arial" w:cs="Arial"/>
          <w:sz w:val="24"/>
          <w:szCs w:val="24"/>
        </w:rPr>
      </w:pPr>
      <w:r>
        <w:rPr>
          <w:rFonts w:ascii="Arial" w:hAnsi="Arial" w:cs="Arial"/>
          <w:sz w:val="24"/>
          <w:szCs w:val="24"/>
        </w:rPr>
        <w:t>Page 5</w:t>
      </w:r>
    </w:p>
    <w:p w:rsidR="00BE3B97" w:rsidRDefault="00BE3B97" w:rsidP="00573D1D">
      <w:pPr>
        <w:pStyle w:val="Header"/>
        <w:spacing w:line="360" w:lineRule="auto"/>
        <w:jc w:val="right"/>
        <w:rPr>
          <w:rFonts w:ascii="Arial" w:hAnsi="Arial" w:cs="Arial"/>
          <w:sz w:val="24"/>
          <w:szCs w:val="24"/>
        </w:rPr>
      </w:pPr>
    </w:p>
    <w:p w:rsidR="00AF6284" w:rsidRPr="00AF6284" w:rsidRDefault="00BE3B97" w:rsidP="00777791">
      <w:pPr>
        <w:pStyle w:val="Header"/>
        <w:spacing w:line="360" w:lineRule="auto"/>
        <w:jc w:val="both"/>
        <w:rPr>
          <w:rFonts w:ascii="Arial" w:eastAsia="Times New Roman" w:hAnsi="Arial" w:cs="Arial"/>
          <w:color w:val="000000"/>
          <w:sz w:val="19"/>
          <w:szCs w:val="19"/>
        </w:rPr>
      </w:pPr>
      <w:r w:rsidRPr="00BE3B97">
        <w:rPr>
          <w:rFonts w:ascii="Arial" w:hAnsi="Arial" w:cs="Arial"/>
          <w:sz w:val="24"/>
          <w:szCs w:val="24"/>
        </w:rPr>
        <w:t>3. The first step in the channel design process is to establish the objectives of marketing distribution channel. Within the objective setting there may be additional specific requirements that need to be ascertained dependant on the product or product mix being worked with. The most common objectives a business sets out to establish during the channel design process are the most efficient cost effective distribution methods, good distribution coverage of the target audience and ensuring the end consumer can acquire the product with minimum effort.</w:t>
      </w:r>
      <w:r>
        <w:rPr>
          <w:rFonts w:ascii="Arial" w:hAnsi="Arial" w:cs="Arial"/>
          <w:sz w:val="24"/>
          <w:szCs w:val="24"/>
        </w:rPr>
        <w:t xml:space="preserve"> To assist a business with establishing the correct distribution channel design there are two methods to utilise channel mapping and the matrix approach.</w:t>
      </w:r>
      <w:r w:rsidR="00AD390C">
        <w:rPr>
          <w:rFonts w:ascii="Arial" w:hAnsi="Arial" w:cs="Arial"/>
          <w:sz w:val="24"/>
          <w:szCs w:val="24"/>
        </w:rPr>
        <w:t xml:space="preserve"> </w:t>
      </w:r>
      <w:r w:rsidR="003637A6">
        <w:rPr>
          <w:rFonts w:ascii="Arial" w:hAnsi="Arial" w:cs="Arial"/>
          <w:sz w:val="24"/>
          <w:szCs w:val="24"/>
        </w:rPr>
        <w:t xml:space="preserve">Channel mapping gives an overview of channels used by a company in the form of a flow diagram. The flow diagram is developed by identifying the function to be performed by the channel in relation to specific business requirements. </w:t>
      </w:r>
      <w:r w:rsidR="00777791">
        <w:rPr>
          <w:rFonts w:ascii="Arial" w:hAnsi="Arial" w:cs="Arial"/>
          <w:sz w:val="24"/>
          <w:szCs w:val="24"/>
        </w:rPr>
        <w:t xml:space="preserve">It is important to ensure that any channel design is created to encompass the different characteristics of products to be carried. Other factors to take into account are the distribution environment such as any legal implications of carriage of goods and benchmarking against a competitors distribution channel. If the channel map process is a redesign of an existing distribution channel then a complete understanding of existing and future requirements should be taken into account. </w:t>
      </w:r>
      <w:r w:rsidR="008E5EA4">
        <w:rPr>
          <w:rFonts w:ascii="Arial" w:hAnsi="Arial" w:cs="Arial"/>
          <w:sz w:val="24"/>
          <w:szCs w:val="24"/>
        </w:rPr>
        <w:t xml:space="preserve">The development of the channel map must have an overall view of market sectors to be delivered to and should take into account volume of product to be moved into that market place. To develop the ideal channel map every participant must be examined to ascertain the activities they undertake. This part of the process should take into account their financial expectations of the end result. The </w:t>
      </w:r>
      <w:r w:rsidR="00A46399">
        <w:rPr>
          <w:rFonts w:ascii="Arial" w:hAnsi="Arial" w:cs="Arial"/>
          <w:sz w:val="24"/>
          <w:szCs w:val="24"/>
        </w:rPr>
        <w:t>alternative</w:t>
      </w:r>
      <w:r w:rsidR="008E5EA4">
        <w:rPr>
          <w:rFonts w:ascii="Arial" w:hAnsi="Arial" w:cs="Arial"/>
          <w:sz w:val="24"/>
          <w:szCs w:val="24"/>
        </w:rPr>
        <w:t xml:space="preserve"> to the channel map process is to use a matrix approach. </w:t>
      </w:r>
      <w:r w:rsidR="00F90DF3">
        <w:rPr>
          <w:rFonts w:ascii="Arial" w:hAnsi="Arial" w:cs="Arial"/>
          <w:sz w:val="24"/>
          <w:szCs w:val="24"/>
        </w:rPr>
        <w:t>This is a simple method of channel design but norma</w:t>
      </w:r>
      <w:r w:rsidR="00B603EC">
        <w:rPr>
          <w:rFonts w:ascii="Arial" w:hAnsi="Arial" w:cs="Arial"/>
          <w:sz w:val="24"/>
          <w:szCs w:val="24"/>
        </w:rPr>
        <w:t xml:space="preserve">lly produces successful results. A business might be required to interact with several consumer market places and end users with multiple structures and need to serve them in a way which is as financially beneficial as possible. The matrix approach extends on the view that there is separation within the distribution function and demonstrates which of those partners will provide the most beneficial attributes to successfully resolve </w:t>
      </w:r>
      <w:r w:rsidR="005E6F09">
        <w:rPr>
          <w:rFonts w:ascii="Arial" w:hAnsi="Arial" w:cs="Arial"/>
          <w:sz w:val="24"/>
          <w:szCs w:val="24"/>
        </w:rPr>
        <w:t>a company’s objective</w:t>
      </w:r>
      <w:r w:rsidR="00B603EC">
        <w:rPr>
          <w:rFonts w:ascii="Arial" w:hAnsi="Arial" w:cs="Arial"/>
          <w:sz w:val="24"/>
          <w:szCs w:val="24"/>
        </w:rPr>
        <w:t xml:space="preserve">. Within the matrix approach </w:t>
      </w:r>
      <w:r w:rsidR="005E6F09">
        <w:rPr>
          <w:rFonts w:ascii="Arial" w:hAnsi="Arial" w:cs="Arial"/>
          <w:sz w:val="24"/>
          <w:szCs w:val="24"/>
        </w:rPr>
        <w:t xml:space="preserve">analyses the individual participants within the marketing and logistics channels and suggests further sub division of certain activities. From this point of view every activity within this process could be undertaken by multiple channel participants. </w:t>
      </w:r>
    </w:p>
    <w:p w:rsidR="00AF6284" w:rsidRPr="00911044" w:rsidRDefault="00AF6284" w:rsidP="00911044">
      <w:pPr>
        <w:pStyle w:val="Header"/>
        <w:spacing w:line="360" w:lineRule="auto"/>
        <w:jc w:val="both"/>
        <w:rPr>
          <w:rFonts w:ascii="Arial" w:hAnsi="Arial" w:cs="Arial"/>
          <w:sz w:val="24"/>
          <w:szCs w:val="24"/>
        </w:rPr>
      </w:pPr>
    </w:p>
    <w:sectPr w:rsidR="00AF6284" w:rsidRPr="00911044" w:rsidSect="007E4EF0">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1053D"/>
    <w:multiLevelType w:val="multilevel"/>
    <w:tmpl w:val="5764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E65330"/>
    <w:multiLevelType w:val="multilevel"/>
    <w:tmpl w:val="4354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FB7774"/>
    <w:multiLevelType w:val="hybridMultilevel"/>
    <w:tmpl w:val="C150C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7B69C6"/>
    <w:multiLevelType w:val="multilevel"/>
    <w:tmpl w:val="30A8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562CC2"/>
    <w:multiLevelType w:val="hybridMultilevel"/>
    <w:tmpl w:val="D23E4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5A2159B"/>
    <w:multiLevelType w:val="multilevel"/>
    <w:tmpl w:val="0338E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2932B9"/>
    <w:multiLevelType w:val="hybridMultilevel"/>
    <w:tmpl w:val="328CA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2D47EF"/>
    <w:multiLevelType w:val="multilevel"/>
    <w:tmpl w:val="C52CC4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484EA7"/>
    <w:multiLevelType w:val="multilevel"/>
    <w:tmpl w:val="1F3A6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E2683A"/>
    <w:multiLevelType w:val="multilevel"/>
    <w:tmpl w:val="7EFE4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C51AB4"/>
    <w:multiLevelType w:val="hybridMultilevel"/>
    <w:tmpl w:val="62003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2733EB7"/>
    <w:multiLevelType w:val="multilevel"/>
    <w:tmpl w:val="5324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CA237A"/>
    <w:multiLevelType w:val="multilevel"/>
    <w:tmpl w:val="7436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7D71A9F"/>
    <w:multiLevelType w:val="hybridMultilevel"/>
    <w:tmpl w:val="23EA26B6"/>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283A652B"/>
    <w:multiLevelType w:val="multilevel"/>
    <w:tmpl w:val="D2B6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507A93"/>
    <w:multiLevelType w:val="multilevel"/>
    <w:tmpl w:val="7136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B801522"/>
    <w:multiLevelType w:val="hybridMultilevel"/>
    <w:tmpl w:val="CFBCE80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2D182057"/>
    <w:multiLevelType w:val="hybridMultilevel"/>
    <w:tmpl w:val="A490B940"/>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36BD3237"/>
    <w:multiLevelType w:val="hybridMultilevel"/>
    <w:tmpl w:val="60007C3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391B76CB"/>
    <w:multiLevelType w:val="hybridMultilevel"/>
    <w:tmpl w:val="FFDC3EE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3A03549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3CE269DC"/>
    <w:multiLevelType w:val="multilevel"/>
    <w:tmpl w:val="E034B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FB07EB4"/>
    <w:multiLevelType w:val="hybridMultilevel"/>
    <w:tmpl w:val="22C68CF6"/>
    <w:lvl w:ilvl="0" w:tplc="103C313E">
      <w:start w:val="1"/>
      <w:numFmt w:val="bullet"/>
      <w:lvlText w:val=""/>
      <w:lvlJc w:val="left"/>
      <w:pPr>
        <w:ind w:left="1080" w:hanging="360"/>
      </w:pPr>
      <w:rPr>
        <w:rFonts w:ascii="Symbol" w:hAnsi="Symbol" w:cs="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16459F9"/>
    <w:multiLevelType w:val="hybridMultilevel"/>
    <w:tmpl w:val="FD4E22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4D2244D1"/>
    <w:multiLevelType w:val="hybridMultilevel"/>
    <w:tmpl w:val="9814C03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F095495"/>
    <w:multiLevelType w:val="multilevel"/>
    <w:tmpl w:val="61FC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6920E7"/>
    <w:multiLevelType w:val="multilevel"/>
    <w:tmpl w:val="FB3E1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5196457"/>
    <w:multiLevelType w:val="multilevel"/>
    <w:tmpl w:val="51582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8435755"/>
    <w:multiLevelType w:val="multilevel"/>
    <w:tmpl w:val="2480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ADC7E39"/>
    <w:multiLevelType w:val="multilevel"/>
    <w:tmpl w:val="541AC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B8D7A60"/>
    <w:multiLevelType w:val="hybridMultilevel"/>
    <w:tmpl w:val="4D0C18B0"/>
    <w:lvl w:ilvl="0" w:tplc="08090001">
      <w:start w:val="1"/>
      <w:numFmt w:val="bullet"/>
      <w:lvlText w:val=""/>
      <w:lvlJc w:val="left"/>
      <w:pPr>
        <w:ind w:left="720" w:hanging="360"/>
      </w:pPr>
      <w:rPr>
        <w:rFonts w:ascii="Symbol" w:hAnsi="Symbol" w:hint="default"/>
      </w:rPr>
    </w:lvl>
    <w:lvl w:ilvl="1" w:tplc="78C82C9E">
      <w:start w:val="1"/>
      <w:numFmt w:val="bullet"/>
      <w:lvlText w:val="•"/>
      <w:lvlJc w:val="left"/>
      <w:pPr>
        <w:ind w:left="1440" w:hanging="360"/>
      </w:pPr>
      <w:rPr>
        <w:rFonts w:ascii="Calibri" w:eastAsiaTheme="minorEastAsia" w:hAnsi="Calibri" w:cstheme="minorBidi"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BD13676"/>
    <w:multiLevelType w:val="multilevel"/>
    <w:tmpl w:val="1758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CE50096"/>
    <w:multiLevelType w:val="multilevel"/>
    <w:tmpl w:val="691CE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AE0B41"/>
    <w:multiLevelType w:val="hybridMultilevel"/>
    <w:tmpl w:val="21E233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ED25B1F"/>
    <w:multiLevelType w:val="multilevel"/>
    <w:tmpl w:val="15585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4461D5"/>
    <w:multiLevelType w:val="hybridMultilevel"/>
    <w:tmpl w:val="FB187FC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60A8616F"/>
    <w:multiLevelType w:val="multilevel"/>
    <w:tmpl w:val="35E05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87E7147"/>
    <w:multiLevelType w:val="multilevel"/>
    <w:tmpl w:val="DDF6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B933249"/>
    <w:multiLevelType w:val="multilevel"/>
    <w:tmpl w:val="AC68A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0F07327"/>
    <w:multiLevelType w:val="hybridMultilevel"/>
    <w:tmpl w:val="97E81DC0"/>
    <w:lvl w:ilvl="0" w:tplc="22A0DC14">
      <w:start w:val="1"/>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5807B2F"/>
    <w:multiLevelType w:val="hybridMultilevel"/>
    <w:tmpl w:val="16BEDF7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nsid w:val="777476FB"/>
    <w:multiLevelType w:val="multilevel"/>
    <w:tmpl w:val="AA80A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BF24EF4"/>
    <w:multiLevelType w:val="multilevel"/>
    <w:tmpl w:val="35F2DE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EBC56AD"/>
    <w:multiLevelType w:val="multilevel"/>
    <w:tmpl w:val="F5EACB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22"/>
  </w:num>
  <w:num w:numId="3">
    <w:abstractNumId w:val="32"/>
  </w:num>
  <w:num w:numId="4">
    <w:abstractNumId w:val="20"/>
  </w:num>
  <w:num w:numId="5">
    <w:abstractNumId w:val="4"/>
  </w:num>
  <w:num w:numId="6">
    <w:abstractNumId w:val="10"/>
  </w:num>
  <w:num w:numId="7">
    <w:abstractNumId w:val="40"/>
  </w:num>
  <w:num w:numId="8">
    <w:abstractNumId w:val="23"/>
  </w:num>
  <w:num w:numId="9">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38"/>
  </w:num>
  <w:num w:numId="11">
    <w:abstractNumId w:val="39"/>
  </w:num>
  <w:num w:numId="12">
    <w:abstractNumId w:val="6"/>
  </w:num>
  <w:num w:numId="13">
    <w:abstractNumId w:val="43"/>
  </w:num>
  <w:num w:numId="14">
    <w:abstractNumId w:val="7"/>
  </w:num>
  <w:num w:numId="15">
    <w:abstractNumId w:val="44"/>
  </w:num>
  <w:num w:numId="16">
    <w:abstractNumId w:val="28"/>
  </w:num>
  <w:num w:numId="17">
    <w:abstractNumId w:val="27"/>
  </w:num>
  <w:num w:numId="18">
    <w:abstractNumId w:val="18"/>
  </w:num>
  <w:num w:numId="19">
    <w:abstractNumId w:val="14"/>
  </w:num>
  <w:num w:numId="20">
    <w:abstractNumId w:val="31"/>
  </w:num>
  <w:num w:numId="21">
    <w:abstractNumId w:val="17"/>
  </w:num>
  <w:num w:numId="22">
    <w:abstractNumId w:val="13"/>
  </w:num>
  <w:num w:numId="23">
    <w:abstractNumId w:val="2"/>
  </w:num>
  <w:num w:numId="24">
    <w:abstractNumId w:val="36"/>
  </w:num>
  <w:num w:numId="25">
    <w:abstractNumId w:val="34"/>
  </w:num>
  <w:num w:numId="26">
    <w:abstractNumId w:val="19"/>
  </w:num>
  <w:num w:numId="27">
    <w:abstractNumId w:val="12"/>
  </w:num>
  <w:num w:numId="28">
    <w:abstractNumId w:val="21"/>
  </w:num>
  <w:num w:numId="29">
    <w:abstractNumId w:val="16"/>
  </w:num>
  <w:num w:numId="30">
    <w:abstractNumId w:val="41"/>
  </w:num>
  <w:num w:numId="31">
    <w:abstractNumId w:val="35"/>
  </w:num>
  <w:num w:numId="32">
    <w:abstractNumId w:val="37"/>
  </w:num>
  <w:num w:numId="33">
    <w:abstractNumId w:val="33"/>
  </w:num>
  <w:num w:numId="34">
    <w:abstractNumId w:val="3"/>
  </w:num>
  <w:num w:numId="35">
    <w:abstractNumId w:val="42"/>
  </w:num>
  <w:num w:numId="36">
    <w:abstractNumId w:val="9"/>
  </w:num>
  <w:num w:numId="37">
    <w:abstractNumId w:val="0"/>
  </w:num>
  <w:num w:numId="38">
    <w:abstractNumId w:val="29"/>
  </w:num>
  <w:num w:numId="39">
    <w:abstractNumId w:val="30"/>
  </w:num>
  <w:num w:numId="40">
    <w:abstractNumId w:val="8"/>
  </w:num>
  <w:num w:numId="41">
    <w:abstractNumId w:val="5"/>
  </w:num>
  <w:num w:numId="42">
    <w:abstractNumId w:val="11"/>
  </w:num>
  <w:num w:numId="43">
    <w:abstractNumId w:val="15"/>
  </w:num>
  <w:num w:numId="44">
    <w:abstractNumId w:val="25"/>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10137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57D5"/>
    <w:rsid w:val="00006070"/>
    <w:rsid w:val="00007F84"/>
    <w:rsid w:val="000158F9"/>
    <w:rsid w:val="00035CDD"/>
    <w:rsid w:val="00040083"/>
    <w:rsid w:val="00042034"/>
    <w:rsid w:val="00046F37"/>
    <w:rsid w:val="00047CA6"/>
    <w:rsid w:val="00052404"/>
    <w:rsid w:val="00055992"/>
    <w:rsid w:val="00055D2C"/>
    <w:rsid w:val="00057472"/>
    <w:rsid w:val="000740E4"/>
    <w:rsid w:val="00077CFC"/>
    <w:rsid w:val="000820E8"/>
    <w:rsid w:val="0008622E"/>
    <w:rsid w:val="00087422"/>
    <w:rsid w:val="0009384D"/>
    <w:rsid w:val="000A6617"/>
    <w:rsid w:val="000A68A5"/>
    <w:rsid w:val="000C554C"/>
    <w:rsid w:val="000C6FF5"/>
    <w:rsid w:val="000D527D"/>
    <w:rsid w:val="000D6780"/>
    <w:rsid w:val="000E3F39"/>
    <w:rsid w:val="000E4327"/>
    <w:rsid w:val="000F04C4"/>
    <w:rsid w:val="00106509"/>
    <w:rsid w:val="001175EE"/>
    <w:rsid w:val="00132AB1"/>
    <w:rsid w:val="00133B65"/>
    <w:rsid w:val="001342EB"/>
    <w:rsid w:val="00154F93"/>
    <w:rsid w:val="00157CF6"/>
    <w:rsid w:val="00160B28"/>
    <w:rsid w:val="00162F32"/>
    <w:rsid w:val="00163700"/>
    <w:rsid w:val="00172E08"/>
    <w:rsid w:val="00180F57"/>
    <w:rsid w:val="0018120A"/>
    <w:rsid w:val="00182416"/>
    <w:rsid w:val="001833CB"/>
    <w:rsid w:val="00186E9C"/>
    <w:rsid w:val="00187EB4"/>
    <w:rsid w:val="001A46A4"/>
    <w:rsid w:val="001A46AE"/>
    <w:rsid w:val="001A6665"/>
    <w:rsid w:val="001A6CF8"/>
    <w:rsid w:val="001C6A94"/>
    <w:rsid w:val="001E6740"/>
    <w:rsid w:val="001F0481"/>
    <w:rsid w:val="001F3534"/>
    <w:rsid w:val="00200C92"/>
    <w:rsid w:val="00203C0C"/>
    <w:rsid w:val="0020451E"/>
    <w:rsid w:val="00206B9D"/>
    <w:rsid w:val="002167E6"/>
    <w:rsid w:val="00221F14"/>
    <w:rsid w:val="00225BF6"/>
    <w:rsid w:val="0023259C"/>
    <w:rsid w:val="00232786"/>
    <w:rsid w:val="0023622C"/>
    <w:rsid w:val="00247BE7"/>
    <w:rsid w:val="00247D68"/>
    <w:rsid w:val="00271331"/>
    <w:rsid w:val="00291B49"/>
    <w:rsid w:val="002B0BD7"/>
    <w:rsid w:val="002B573D"/>
    <w:rsid w:val="002C5CB2"/>
    <w:rsid w:val="002D02C9"/>
    <w:rsid w:val="002D70F7"/>
    <w:rsid w:val="002D7283"/>
    <w:rsid w:val="002D7DAF"/>
    <w:rsid w:val="002F6E20"/>
    <w:rsid w:val="002F779F"/>
    <w:rsid w:val="0030704A"/>
    <w:rsid w:val="00310388"/>
    <w:rsid w:val="00324639"/>
    <w:rsid w:val="0032661D"/>
    <w:rsid w:val="003343C7"/>
    <w:rsid w:val="003562AE"/>
    <w:rsid w:val="003637A6"/>
    <w:rsid w:val="003666E0"/>
    <w:rsid w:val="00371885"/>
    <w:rsid w:val="00371E1A"/>
    <w:rsid w:val="00376D76"/>
    <w:rsid w:val="00391878"/>
    <w:rsid w:val="003A571F"/>
    <w:rsid w:val="003A5BF5"/>
    <w:rsid w:val="003A5DCA"/>
    <w:rsid w:val="003B06B0"/>
    <w:rsid w:val="003B56DC"/>
    <w:rsid w:val="003C5D0E"/>
    <w:rsid w:val="003D5D0C"/>
    <w:rsid w:val="003D61B5"/>
    <w:rsid w:val="003D715E"/>
    <w:rsid w:val="003E2B87"/>
    <w:rsid w:val="003E307A"/>
    <w:rsid w:val="003E62F9"/>
    <w:rsid w:val="003E71D2"/>
    <w:rsid w:val="003E7F1E"/>
    <w:rsid w:val="00402786"/>
    <w:rsid w:val="00404230"/>
    <w:rsid w:val="00405895"/>
    <w:rsid w:val="004058DF"/>
    <w:rsid w:val="00406F46"/>
    <w:rsid w:val="004074FF"/>
    <w:rsid w:val="00411F48"/>
    <w:rsid w:val="00412552"/>
    <w:rsid w:val="00414AE3"/>
    <w:rsid w:val="00420FD2"/>
    <w:rsid w:val="00440193"/>
    <w:rsid w:val="004429F4"/>
    <w:rsid w:val="00443E6F"/>
    <w:rsid w:val="00450B54"/>
    <w:rsid w:val="00455369"/>
    <w:rsid w:val="0045717F"/>
    <w:rsid w:val="00482121"/>
    <w:rsid w:val="00486F1A"/>
    <w:rsid w:val="00490CB9"/>
    <w:rsid w:val="00493DD5"/>
    <w:rsid w:val="004A103D"/>
    <w:rsid w:val="004A2CE2"/>
    <w:rsid w:val="004C156C"/>
    <w:rsid w:val="004E3CDA"/>
    <w:rsid w:val="004E69CA"/>
    <w:rsid w:val="004F02B9"/>
    <w:rsid w:val="004F4B4D"/>
    <w:rsid w:val="004F6C77"/>
    <w:rsid w:val="00501107"/>
    <w:rsid w:val="0050216D"/>
    <w:rsid w:val="00503D7E"/>
    <w:rsid w:val="005049E1"/>
    <w:rsid w:val="00506D16"/>
    <w:rsid w:val="0050778F"/>
    <w:rsid w:val="0051501F"/>
    <w:rsid w:val="005160E9"/>
    <w:rsid w:val="00527C11"/>
    <w:rsid w:val="00535F31"/>
    <w:rsid w:val="00537AF7"/>
    <w:rsid w:val="005465A0"/>
    <w:rsid w:val="005471A5"/>
    <w:rsid w:val="005544ED"/>
    <w:rsid w:val="005609F1"/>
    <w:rsid w:val="0056548B"/>
    <w:rsid w:val="00566028"/>
    <w:rsid w:val="00573D1D"/>
    <w:rsid w:val="005748BC"/>
    <w:rsid w:val="00574D64"/>
    <w:rsid w:val="005902CE"/>
    <w:rsid w:val="00591365"/>
    <w:rsid w:val="00594BEA"/>
    <w:rsid w:val="00594BFF"/>
    <w:rsid w:val="00597166"/>
    <w:rsid w:val="005A34E3"/>
    <w:rsid w:val="005A6876"/>
    <w:rsid w:val="005A7112"/>
    <w:rsid w:val="005A71B4"/>
    <w:rsid w:val="005B170C"/>
    <w:rsid w:val="005B31E4"/>
    <w:rsid w:val="005B5FC8"/>
    <w:rsid w:val="005E6F09"/>
    <w:rsid w:val="006034F6"/>
    <w:rsid w:val="00607874"/>
    <w:rsid w:val="00607E77"/>
    <w:rsid w:val="00615479"/>
    <w:rsid w:val="00617BB3"/>
    <w:rsid w:val="0062414E"/>
    <w:rsid w:val="0063298E"/>
    <w:rsid w:val="00633B24"/>
    <w:rsid w:val="00633E7F"/>
    <w:rsid w:val="00636FE5"/>
    <w:rsid w:val="00645CDD"/>
    <w:rsid w:val="006461EF"/>
    <w:rsid w:val="0065739A"/>
    <w:rsid w:val="00660999"/>
    <w:rsid w:val="006658F3"/>
    <w:rsid w:val="006823A7"/>
    <w:rsid w:val="00687EE8"/>
    <w:rsid w:val="006979C3"/>
    <w:rsid w:val="006A3ABA"/>
    <w:rsid w:val="006A6287"/>
    <w:rsid w:val="006B46DA"/>
    <w:rsid w:val="006C4A0E"/>
    <w:rsid w:val="006C65B5"/>
    <w:rsid w:val="006D1FA5"/>
    <w:rsid w:val="006D2706"/>
    <w:rsid w:val="00701BF7"/>
    <w:rsid w:val="0070347F"/>
    <w:rsid w:val="0070678E"/>
    <w:rsid w:val="00713032"/>
    <w:rsid w:val="00740E53"/>
    <w:rsid w:val="00752406"/>
    <w:rsid w:val="00764DDC"/>
    <w:rsid w:val="00771373"/>
    <w:rsid w:val="0077164A"/>
    <w:rsid w:val="00777791"/>
    <w:rsid w:val="00781100"/>
    <w:rsid w:val="00786E15"/>
    <w:rsid w:val="00786FC3"/>
    <w:rsid w:val="00793CF1"/>
    <w:rsid w:val="007966ED"/>
    <w:rsid w:val="007A2C51"/>
    <w:rsid w:val="007A64F2"/>
    <w:rsid w:val="007B3CFC"/>
    <w:rsid w:val="007B6DA2"/>
    <w:rsid w:val="007C12A8"/>
    <w:rsid w:val="007C79CF"/>
    <w:rsid w:val="007D0E60"/>
    <w:rsid w:val="007D25B0"/>
    <w:rsid w:val="007E24CC"/>
    <w:rsid w:val="007E4EF0"/>
    <w:rsid w:val="007E6181"/>
    <w:rsid w:val="007F1A30"/>
    <w:rsid w:val="007F4385"/>
    <w:rsid w:val="007F783F"/>
    <w:rsid w:val="008072A7"/>
    <w:rsid w:val="00831C11"/>
    <w:rsid w:val="0084287B"/>
    <w:rsid w:val="00861FBF"/>
    <w:rsid w:val="00863E09"/>
    <w:rsid w:val="00876B76"/>
    <w:rsid w:val="008934CC"/>
    <w:rsid w:val="008A1159"/>
    <w:rsid w:val="008A344A"/>
    <w:rsid w:val="008A60B4"/>
    <w:rsid w:val="008B0AB7"/>
    <w:rsid w:val="008B2B0D"/>
    <w:rsid w:val="008B39D6"/>
    <w:rsid w:val="008B3C31"/>
    <w:rsid w:val="008B64FE"/>
    <w:rsid w:val="008B7E96"/>
    <w:rsid w:val="008D3C1A"/>
    <w:rsid w:val="008D453E"/>
    <w:rsid w:val="008E5EA4"/>
    <w:rsid w:val="008F0EE6"/>
    <w:rsid w:val="008F4D8C"/>
    <w:rsid w:val="0090228D"/>
    <w:rsid w:val="00910878"/>
    <w:rsid w:val="00911044"/>
    <w:rsid w:val="00915C02"/>
    <w:rsid w:val="00917BDA"/>
    <w:rsid w:val="00920D61"/>
    <w:rsid w:val="0092460C"/>
    <w:rsid w:val="00924BA6"/>
    <w:rsid w:val="00927871"/>
    <w:rsid w:val="00935BF7"/>
    <w:rsid w:val="0095442C"/>
    <w:rsid w:val="00956390"/>
    <w:rsid w:val="00983942"/>
    <w:rsid w:val="00984488"/>
    <w:rsid w:val="00985A2C"/>
    <w:rsid w:val="00986BDB"/>
    <w:rsid w:val="00996026"/>
    <w:rsid w:val="009A20FF"/>
    <w:rsid w:val="009A30D1"/>
    <w:rsid w:val="009A4668"/>
    <w:rsid w:val="009A4A0F"/>
    <w:rsid w:val="009B1BA8"/>
    <w:rsid w:val="009B261F"/>
    <w:rsid w:val="009C37E0"/>
    <w:rsid w:val="009C4035"/>
    <w:rsid w:val="009C7096"/>
    <w:rsid w:val="009C7E55"/>
    <w:rsid w:val="009D0B7A"/>
    <w:rsid w:val="009D693F"/>
    <w:rsid w:val="009E41F4"/>
    <w:rsid w:val="009F53C8"/>
    <w:rsid w:val="00A049F2"/>
    <w:rsid w:val="00A14B66"/>
    <w:rsid w:val="00A1751D"/>
    <w:rsid w:val="00A46399"/>
    <w:rsid w:val="00A65CF7"/>
    <w:rsid w:val="00A814A8"/>
    <w:rsid w:val="00A81AB4"/>
    <w:rsid w:val="00A851DA"/>
    <w:rsid w:val="00A915A2"/>
    <w:rsid w:val="00A95563"/>
    <w:rsid w:val="00AA1589"/>
    <w:rsid w:val="00AB149C"/>
    <w:rsid w:val="00AC7D5B"/>
    <w:rsid w:val="00AD390C"/>
    <w:rsid w:val="00AD5F3C"/>
    <w:rsid w:val="00AD7585"/>
    <w:rsid w:val="00AE101A"/>
    <w:rsid w:val="00AE1050"/>
    <w:rsid w:val="00AE1481"/>
    <w:rsid w:val="00AF0839"/>
    <w:rsid w:val="00AF466F"/>
    <w:rsid w:val="00AF6284"/>
    <w:rsid w:val="00AF78B6"/>
    <w:rsid w:val="00B0415E"/>
    <w:rsid w:val="00B04678"/>
    <w:rsid w:val="00B04F3B"/>
    <w:rsid w:val="00B117A8"/>
    <w:rsid w:val="00B233DF"/>
    <w:rsid w:val="00B32960"/>
    <w:rsid w:val="00B3406D"/>
    <w:rsid w:val="00B41BB7"/>
    <w:rsid w:val="00B4371C"/>
    <w:rsid w:val="00B50E8A"/>
    <w:rsid w:val="00B603EC"/>
    <w:rsid w:val="00B606AC"/>
    <w:rsid w:val="00B84182"/>
    <w:rsid w:val="00B90A51"/>
    <w:rsid w:val="00BB4590"/>
    <w:rsid w:val="00BC0F28"/>
    <w:rsid w:val="00BC46DF"/>
    <w:rsid w:val="00BD3E0E"/>
    <w:rsid w:val="00BD5A5D"/>
    <w:rsid w:val="00BE3B97"/>
    <w:rsid w:val="00BE4EB2"/>
    <w:rsid w:val="00BE6740"/>
    <w:rsid w:val="00C03577"/>
    <w:rsid w:val="00C1256A"/>
    <w:rsid w:val="00C20A90"/>
    <w:rsid w:val="00C252CC"/>
    <w:rsid w:val="00C3025E"/>
    <w:rsid w:val="00C53029"/>
    <w:rsid w:val="00C65FEA"/>
    <w:rsid w:val="00C6649B"/>
    <w:rsid w:val="00C7421C"/>
    <w:rsid w:val="00C86E97"/>
    <w:rsid w:val="00CA0AC2"/>
    <w:rsid w:val="00CA3CF9"/>
    <w:rsid w:val="00CA7505"/>
    <w:rsid w:val="00CB2C85"/>
    <w:rsid w:val="00CB343A"/>
    <w:rsid w:val="00CB4D0A"/>
    <w:rsid w:val="00CB5B50"/>
    <w:rsid w:val="00CC2FB3"/>
    <w:rsid w:val="00CC575A"/>
    <w:rsid w:val="00CD6B67"/>
    <w:rsid w:val="00CF123B"/>
    <w:rsid w:val="00CF18AB"/>
    <w:rsid w:val="00D039AC"/>
    <w:rsid w:val="00D1080A"/>
    <w:rsid w:val="00D110BE"/>
    <w:rsid w:val="00D427DE"/>
    <w:rsid w:val="00D5587D"/>
    <w:rsid w:val="00D6639C"/>
    <w:rsid w:val="00D707CC"/>
    <w:rsid w:val="00D73250"/>
    <w:rsid w:val="00D737EA"/>
    <w:rsid w:val="00D73A8A"/>
    <w:rsid w:val="00D7784B"/>
    <w:rsid w:val="00D821FE"/>
    <w:rsid w:val="00D82398"/>
    <w:rsid w:val="00D83B94"/>
    <w:rsid w:val="00D94F67"/>
    <w:rsid w:val="00D95AB9"/>
    <w:rsid w:val="00DB0793"/>
    <w:rsid w:val="00DB445F"/>
    <w:rsid w:val="00DE0444"/>
    <w:rsid w:val="00DE3C15"/>
    <w:rsid w:val="00DE3F8B"/>
    <w:rsid w:val="00DF5A7E"/>
    <w:rsid w:val="00E00324"/>
    <w:rsid w:val="00E00821"/>
    <w:rsid w:val="00E02198"/>
    <w:rsid w:val="00E04DB4"/>
    <w:rsid w:val="00E167FF"/>
    <w:rsid w:val="00E279C3"/>
    <w:rsid w:val="00E30679"/>
    <w:rsid w:val="00E37379"/>
    <w:rsid w:val="00E4374D"/>
    <w:rsid w:val="00E45715"/>
    <w:rsid w:val="00E4597D"/>
    <w:rsid w:val="00E47469"/>
    <w:rsid w:val="00E5259F"/>
    <w:rsid w:val="00E54832"/>
    <w:rsid w:val="00E56A90"/>
    <w:rsid w:val="00E641CC"/>
    <w:rsid w:val="00E7031B"/>
    <w:rsid w:val="00EA1F90"/>
    <w:rsid w:val="00EA30AB"/>
    <w:rsid w:val="00EA506F"/>
    <w:rsid w:val="00EA5FFB"/>
    <w:rsid w:val="00EB3925"/>
    <w:rsid w:val="00EB51D1"/>
    <w:rsid w:val="00EC5410"/>
    <w:rsid w:val="00ED482A"/>
    <w:rsid w:val="00ED607C"/>
    <w:rsid w:val="00EE0993"/>
    <w:rsid w:val="00EE0F37"/>
    <w:rsid w:val="00EE38CE"/>
    <w:rsid w:val="00EF3E3F"/>
    <w:rsid w:val="00F04801"/>
    <w:rsid w:val="00F1569D"/>
    <w:rsid w:val="00F33C8F"/>
    <w:rsid w:val="00F37405"/>
    <w:rsid w:val="00F46BD7"/>
    <w:rsid w:val="00F5212E"/>
    <w:rsid w:val="00F61A2D"/>
    <w:rsid w:val="00F61C39"/>
    <w:rsid w:val="00F73C24"/>
    <w:rsid w:val="00F90DF3"/>
    <w:rsid w:val="00F96EB3"/>
    <w:rsid w:val="00FA25F0"/>
    <w:rsid w:val="00FA7167"/>
    <w:rsid w:val="00FB23CE"/>
    <w:rsid w:val="00FC0393"/>
    <w:rsid w:val="00FC0CD5"/>
    <w:rsid w:val="00FC499E"/>
    <w:rsid w:val="00FE45E2"/>
    <w:rsid w:val="00FF25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13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3E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2661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863E0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F438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2661D"/>
    <w:rPr>
      <w:rFonts w:ascii="Times New Roman" w:eastAsia="Times New Roman" w:hAnsi="Times New Roman" w:cs="Times New Roman"/>
      <w:b/>
      <w:bCs/>
      <w:sz w:val="36"/>
      <w:szCs w:val="36"/>
    </w:rPr>
  </w:style>
  <w:style w:type="paragraph" w:customStyle="1" w:styleId="font8">
    <w:name w:val="font_8"/>
    <w:basedOn w:val="Normal"/>
    <w:rsid w:val="000E432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042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04230"/>
    <w:rPr>
      <w:color w:val="0000FF"/>
      <w:u w:val="single"/>
    </w:rPr>
  </w:style>
  <w:style w:type="paragraph" w:styleId="BodyTextIndent">
    <w:name w:val="Body Text Indent"/>
    <w:basedOn w:val="Normal"/>
    <w:link w:val="BodyTextIndentChar"/>
    <w:semiHidden/>
    <w:unhideWhenUsed/>
    <w:rsid w:val="00B3406D"/>
    <w:pPr>
      <w:spacing w:after="0" w:line="240" w:lineRule="auto"/>
      <w:ind w:left="360"/>
      <w:jc w:val="both"/>
    </w:pPr>
    <w:rPr>
      <w:rFonts w:ascii="Times New Roman" w:eastAsia="Times New Roman" w:hAnsi="Times New Roman" w:cs="Times New Roman"/>
      <w:sz w:val="24"/>
      <w:szCs w:val="20"/>
      <w:lang w:val="en-US"/>
    </w:rPr>
  </w:style>
  <w:style w:type="character" w:customStyle="1" w:styleId="BodyTextIndentChar">
    <w:name w:val="Body Text Indent Char"/>
    <w:basedOn w:val="DefaultParagraphFont"/>
    <w:link w:val="BodyTextIndent"/>
    <w:semiHidden/>
    <w:rsid w:val="00B3406D"/>
    <w:rPr>
      <w:rFonts w:ascii="Times New Roman" w:eastAsia="Times New Roman" w:hAnsi="Times New Roman" w:cs="Times New Roman"/>
      <w:sz w:val="24"/>
      <w:szCs w:val="20"/>
      <w:lang w:val="en-US"/>
    </w:rPr>
  </w:style>
  <w:style w:type="character" w:styleId="Strong">
    <w:name w:val="Strong"/>
    <w:basedOn w:val="DefaultParagraphFont"/>
    <w:uiPriority w:val="22"/>
    <w:qFormat/>
    <w:rsid w:val="00180F57"/>
    <w:rPr>
      <w:b/>
      <w:bCs/>
    </w:rPr>
  </w:style>
  <w:style w:type="character" w:styleId="FollowedHyperlink">
    <w:name w:val="FollowedHyperlink"/>
    <w:basedOn w:val="DefaultParagraphFont"/>
    <w:uiPriority w:val="99"/>
    <w:semiHidden/>
    <w:unhideWhenUsed/>
    <w:rsid w:val="00EB51D1"/>
    <w:rPr>
      <w:color w:val="800080" w:themeColor="followedHyperlink"/>
      <w:u w:val="single"/>
    </w:rPr>
  </w:style>
  <w:style w:type="character" w:customStyle="1" w:styleId="Heading1Char">
    <w:name w:val="Heading 1 Char"/>
    <w:basedOn w:val="DefaultParagraphFont"/>
    <w:link w:val="Heading1"/>
    <w:uiPriority w:val="9"/>
    <w:rsid w:val="00863E0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863E09"/>
    <w:rPr>
      <w:rFonts w:asciiTheme="majorHAnsi" w:eastAsiaTheme="majorEastAsia" w:hAnsiTheme="majorHAnsi" w:cstheme="majorBidi"/>
      <w:b/>
      <w:bCs/>
      <w:color w:val="4F81BD" w:themeColor="accent1"/>
    </w:rPr>
  </w:style>
  <w:style w:type="character" w:customStyle="1" w:styleId="tocnumber">
    <w:name w:val="tocnumber"/>
    <w:basedOn w:val="DefaultParagraphFont"/>
    <w:rsid w:val="00863E09"/>
  </w:style>
  <w:style w:type="character" w:customStyle="1" w:styleId="toctext">
    <w:name w:val="toctext"/>
    <w:basedOn w:val="DefaultParagraphFont"/>
    <w:rsid w:val="00863E09"/>
  </w:style>
  <w:style w:type="character" w:customStyle="1" w:styleId="mw-headline">
    <w:name w:val="mw-headline"/>
    <w:basedOn w:val="DefaultParagraphFont"/>
    <w:rsid w:val="00863E09"/>
  </w:style>
  <w:style w:type="character" w:styleId="Emphasis">
    <w:name w:val="Emphasis"/>
    <w:basedOn w:val="DefaultParagraphFont"/>
    <w:uiPriority w:val="20"/>
    <w:qFormat/>
    <w:rsid w:val="00F33C8F"/>
    <w:rPr>
      <w:i/>
      <w:iCs/>
    </w:rPr>
  </w:style>
  <w:style w:type="character" w:customStyle="1" w:styleId="ilad">
    <w:name w:val="il_ad"/>
    <w:basedOn w:val="DefaultParagraphFont"/>
    <w:rsid w:val="00BE6740"/>
  </w:style>
  <w:style w:type="character" w:customStyle="1" w:styleId="Heading4Char">
    <w:name w:val="Heading 4 Char"/>
    <w:basedOn w:val="DefaultParagraphFont"/>
    <w:link w:val="Heading4"/>
    <w:uiPriority w:val="9"/>
    <w:semiHidden/>
    <w:rsid w:val="007F4385"/>
    <w:rPr>
      <w:rFonts w:asciiTheme="majorHAnsi" w:eastAsiaTheme="majorEastAsia" w:hAnsiTheme="majorHAnsi" w:cstheme="majorBidi"/>
      <w:b/>
      <w:bCs/>
      <w:i/>
      <w:iCs/>
      <w:color w:val="4F81BD" w:themeColor="accent1"/>
    </w:rPr>
  </w:style>
  <w:style w:type="paragraph" w:customStyle="1" w:styleId="body">
    <w:name w:val="body"/>
    <w:basedOn w:val="Normal"/>
    <w:rsid w:val="007F43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wpcount">
    <w:name w:val="swp_count"/>
    <w:basedOn w:val="DefaultParagraphFont"/>
    <w:rsid w:val="007F4385"/>
  </w:style>
  <w:style w:type="character" w:customStyle="1" w:styleId="style27">
    <w:name w:val="style27"/>
    <w:basedOn w:val="DefaultParagraphFont"/>
    <w:rsid w:val="00440193"/>
  </w:style>
  <w:style w:type="paragraph" w:styleId="HTMLPreformatted">
    <w:name w:val="HTML Preformatted"/>
    <w:basedOn w:val="Normal"/>
    <w:link w:val="HTMLPreformattedChar"/>
    <w:uiPriority w:val="99"/>
    <w:semiHidden/>
    <w:unhideWhenUsed/>
    <w:rsid w:val="00AD5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D5F3C"/>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63E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2661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863E0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F438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2661D"/>
    <w:rPr>
      <w:rFonts w:ascii="Times New Roman" w:eastAsia="Times New Roman" w:hAnsi="Times New Roman" w:cs="Times New Roman"/>
      <w:b/>
      <w:bCs/>
      <w:sz w:val="36"/>
      <w:szCs w:val="36"/>
    </w:rPr>
  </w:style>
  <w:style w:type="paragraph" w:customStyle="1" w:styleId="font8">
    <w:name w:val="font_8"/>
    <w:basedOn w:val="Normal"/>
    <w:rsid w:val="000E432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0423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04230"/>
    <w:rPr>
      <w:color w:val="0000FF"/>
      <w:u w:val="single"/>
    </w:rPr>
  </w:style>
  <w:style w:type="paragraph" w:styleId="BodyTextIndent">
    <w:name w:val="Body Text Indent"/>
    <w:basedOn w:val="Normal"/>
    <w:link w:val="BodyTextIndentChar"/>
    <w:semiHidden/>
    <w:unhideWhenUsed/>
    <w:rsid w:val="00B3406D"/>
    <w:pPr>
      <w:spacing w:after="0" w:line="240" w:lineRule="auto"/>
      <w:ind w:left="360"/>
      <w:jc w:val="both"/>
    </w:pPr>
    <w:rPr>
      <w:rFonts w:ascii="Times New Roman" w:eastAsia="Times New Roman" w:hAnsi="Times New Roman" w:cs="Times New Roman"/>
      <w:sz w:val="24"/>
      <w:szCs w:val="20"/>
      <w:lang w:val="en-US"/>
    </w:rPr>
  </w:style>
  <w:style w:type="character" w:customStyle="1" w:styleId="BodyTextIndentChar">
    <w:name w:val="Body Text Indent Char"/>
    <w:basedOn w:val="DefaultParagraphFont"/>
    <w:link w:val="BodyTextIndent"/>
    <w:semiHidden/>
    <w:rsid w:val="00B3406D"/>
    <w:rPr>
      <w:rFonts w:ascii="Times New Roman" w:eastAsia="Times New Roman" w:hAnsi="Times New Roman" w:cs="Times New Roman"/>
      <w:sz w:val="24"/>
      <w:szCs w:val="20"/>
      <w:lang w:val="en-US"/>
    </w:rPr>
  </w:style>
  <w:style w:type="character" w:styleId="Strong">
    <w:name w:val="Strong"/>
    <w:basedOn w:val="DefaultParagraphFont"/>
    <w:uiPriority w:val="22"/>
    <w:qFormat/>
    <w:rsid w:val="00180F57"/>
    <w:rPr>
      <w:b/>
      <w:bCs/>
    </w:rPr>
  </w:style>
  <w:style w:type="character" w:styleId="FollowedHyperlink">
    <w:name w:val="FollowedHyperlink"/>
    <w:basedOn w:val="DefaultParagraphFont"/>
    <w:uiPriority w:val="99"/>
    <w:semiHidden/>
    <w:unhideWhenUsed/>
    <w:rsid w:val="00EB51D1"/>
    <w:rPr>
      <w:color w:val="800080" w:themeColor="followedHyperlink"/>
      <w:u w:val="single"/>
    </w:rPr>
  </w:style>
  <w:style w:type="character" w:customStyle="1" w:styleId="Heading1Char">
    <w:name w:val="Heading 1 Char"/>
    <w:basedOn w:val="DefaultParagraphFont"/>
    <w:link w:val="Heading1"/>
    <w:uiPriority w:val="9"/>
    <w:rsid w:val="00863E0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863E09"/>
    <w:rPr>
      <w:rFonts w:asciiTheme="majorHAnsi" w:eastAsiaTheme="majorEastAsia" w:hAnsiTheme="majorHAnsi" w:cstheme="majorBidi"/>
      <w:b/>
      <w:bCs/>
      <w:color w:val="4F81BD" w:themeColor="accent1"/>
    </w:rPr>
  </w:style>
  <w:style w:type="character" w:customStyle="1" w:styleId="tocnumber">
    <w:name w:val="tocnumber"/>
    <w:basedOn w:val="DefaultParagraphFont"/>
    <w:rsid w:val="00863E09"/>
  </w:style>
  <w:style w:type="character" w:customStyle="1" w:styleId="toctext">
    <w:name w:val="toctext"/>
    <w:basedOn w:val="DefaultParagraphFont"/>
    <w:rsid w:val="00863E09"/>
  </w:style>
  <w:style w:type="character" w:customStyle="1" w:styleId="mw-headline">
    <w:name w:val="mw-headline"/>
    <w:basedOn w:val="DefaultParagraphFont"/>
    <w:rsid w:val="00863E09"/>
  </w:style>
  <w:style w:type="character" w:styleId="Emphasis">
    <w:name w:val="Emphasis"/>
    <w:basedOn w:val="DefaultParagraphFont"/>
    <w:uiPriority w:val="20"/>
    <w:qFormat/>
    <w:rsid w:val="00F33C8F"/>
    <w:rPr>
      <w:i/>
      <w:iCs/>
    </w:rPr>
  </w:style>
  <w:style w:type="character" w:customStyle="1" w:styleId="ilad">
    <w:name w:val="il_ad"/>
    <w:basedOn w:val="DefaultParagraphFont"/>
    <w:rsid w:val="00BE6740"/>
  </w:style>
  <w:style w:type="character" w:customStyle="1" w:styleId="Heading4Char">
    <w:name w:val="Heading 4 Char"/>
    <w:basedOn w:val="DefaultParagraphFont"/>
    <w:link w:val="Heading4"/>
    <w:uiPriority w:val="9"/>
    <w:semiHidden/>
    <w:rsid w:val="007F4385"/>
    <w:rPr>
      <w:rFonts w:asciiTheme="majorHAnsi" w:eastAsiaTheme="majorEastAsia" w:hAnsiTheme="majorHAnsi" w:cstheme="majorBidi"/>
      <w:b/>
      <w:bCs/>
      <w:i/>
      <w:iCs/>
      <w:color w:val="4F81BD" w:themeColor="accent1"/>
    </w:rPr>
  </w:style>
  <w:style w:type="paragraph" w:customStyle="1" w:styleId="body">
    <w:name w:val="body"/>
    <w:basedOn w:val="Normal"/>
    <w:rsid w:val="007F43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wpcount">
    <w:name w:val="swp_count"/>
    <w:basedOn w:val="DefaultParagraphFont"/>
    <w:rsid w:val="007F4385"/>
  </w:style>
  <w:style w:type="character" w:customStyle="1" w:styleId="style27">
    <w:name w:val="style27"/>
    <w:basedOn w:val="DefaultParagraphFont"/>
    <w:rsid w:val="00440193"/>
  </w:style>
  <w:style w:type="paragraph" w:styleId="HTMLPreformatted">
    <w:name w:val="HTML Preformatted"/>
    <w:basedOn w:val="Normal"/>
    <w:link w:val="HTMLPreformattedChar"/>
    <w:uiPriority w:val="99"/>
    <w:semiHidden/>
    <w:unhideWhenUsed/>
    <w:rsid w:val="00AD5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D5F3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0021">
      <w:bodyDiv w:val="1"/>
      <w:marLeft w:val="0"/>
      <w:marRight w:val="0"/>
      <w:marTop w:val="0"/>
      <w:marBottom w:val="0"/>
      <w:divBdr>
        <w:top w:val="none" w:sz="0" w:space="0" w:color="auto"/>
        <w:left w:val="none" w:sz="0" w:space="0" w:color="auto"/>
        <w:bottom w:val="none" w:sz="0" w:space="0" w:color="auto"/>
        <w:right w:val="none" w:sz="0" w:space="0" w:color="auto"/>
      </w:divBdr>
    </w:div>
    <w:div w:id="471943147">
      <w:bodyDiv w:val="1"/>
      <w:marLeft w:val="0"/>
      <w:marRight w:val="0"/>
      <w:marTop w:val="0"/>
      <w:marBottom w:val="0"/>
      <w:divBdr>
        <w:top w:val="none" w:sz="0" w:space="0" w:color="auto"/>
        <w:left w:val="none" w:sz="0" w:space="0" w:color="auto"/>
        <w:bottom w:val="none" w:sz="0" w:space="0" w:color="auto"/>
        <w:right w:val="none" w:sz="0" w:space="0" w:color="auto"/>
      </w:divBdr>
      <w:divsChild>
        <w:div w:id="1500199340">
          <w:marLeft w:val="0"/>
          <w:marRight w:val="0"/>
          <w:marTop w:val="0"/>
          <w:marBottom w:val="0"/>
          <w:divBdr>
            <w:top w:val="none" w:sz="0" w:space="0" w:color="auto"/>
            <w:left w:val="none" w:sz="0" w:space="0" w:color="auto"/>
            <w:bottom w:val="none" w:sz="0" w:space="0" w:color="auto"/>
            <w:right w:val="none" w:sz="0" w:space="0" w:color="auto"/>
          </w:divBdr>
          <w:divsChild>
            <w:div w:id="1207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3710">
      <w:bodyDiv w:val="1"/>
      <w:marLeft w:val="0"/>
      <w:marRight w:val="0"/>
      <w:marTop w:val="0"/>
      <w:marBottom w:val="0"/>
      <w:divBdr>
        <w:top w:val="none" w:sz="0" w:space="0" w:color="auto"/>
        <w:left w:val="none" w:sz="0" w:space="0" w:color="auto"/>
        <w:bottom w:val="none" w:sz="0" w:space="0" w:color="auto"/>
        <w:right w:val="none" w:sz="0" w:space="0" w:color="auto"/>
      </w:divBdr>
      <w:divsChild>
        <w:div w:id="429158849">
          <w:marLeft w:val="0"/>
          <w:marRight w:val="0"/>
          <w:marTop w:val="0"/>
          <w:marBottom w:val="0"/>
          <w:divBdr>
            <w:top w:val="none" w:sz="0" w:space="0" w:color="auto"/>
            <w:left w:val="none" w:sz="0" w:space="0" w:color="auto"/>
            <w:bottom w:val="none" w:sz="0" w:space="0" w:color="auto"/>
            <w:right w:val="none" w:sz="0" w:space="0" w:color="auto"/>
          </w:divBdr>
          <w:divsChild>
            <w:div w:id="1181355113">
              <w:marLeft w:val="0"/>
              <w:marRight w:val="225"/>
              <w:marTop w:val="0"/>
              <w:marBottom w:val="45"/>
              <w:divBdr>
                <w:top w:val="none" w:sz="0" w:space="0" w:color="auto"/>
                <w:left w:val="none" w:sz="0" w:space="0" w:color="auto"/>
                <w:bottom w:val="none" w:sz="0" w:space="0" w:color="auto"/>
                <w:right w:val="none" w:sz="0" w:space="0" w:color="auto"/>
              </w:divBdr>
            </w:div>
          </w:divsChild>
        </w:div>
      </w:divsChild>
    </w:div>
    <w:div w:id="569735833">
      <w:bodyDiv w:val="1"/>
      <w:marLeft w:val="0"/>
      <w:marRight w:val="0"/>
      <w:marTop w:val="0"/>
      <w:marBottom w:val="0"/>
      <w:divBdr>
        <w:top w:val="none" w:sz="0" w:space="0" w:color="auto"/>
        <w:left w:val="none" w:sz="0" w:space="0" w:color="auto"/>
        <w:bottom w:val="none" w:sz="0" w:space="0" w:color="auto"/>
        <w:right w:val="none" w:sz="0" w:space="0" w:color="auto"/>
      </w:divBdr>
    </w:div>
    <w:div w:id="573660592">
      <w:bodyDiv w:val="1"/>
      <w:marLeft w:val="0"/>
      <w:marRight w:val="0"/>
      <w:marTop w:val="0"/>
      <w:marBottom w:val="0"/>
      <w:divBdr>
        <w:top w:val="none" w:sz="0" w:space="0" w:color="auto"/>
        <w:left w:val="none" w:sz="0" w:space="0" w:color="auto"/>
        <w:bottom w:val="none" w:sz="0" w:space="0" w:color="auto"/>
        <w:right w:val="none" w:sz="0" w:space="0" w:color="auto"/>
      </w:divBdr>
    </w:div>
    <w:div w:id="579296809">
      <w:bodyDiv w:val="1"/>
      <w:marLeft w:val="0"/>
      <w:marRight w:val="0"/>
      <w:marTop w:val="0"/>
      <w:marBottom w:val="0"/>
      <w:divBdr>
        <w:top w:val="none" w:sz="0" w:space="0" w:color="auto"/>
        <w:left w:val="none" w:sz="0" w:space="0" w:color="auto"/>
        <w:bottom w:val="none" w:sz="0" w:space="0" w:color="auto"/>
        <w:right w:val="none" w:sz="0" w:space="0" w:color="auto"/>
      </w:divBdr>
      <w:divsChild>
        <w:div w:id="1478447862">
          <w:marLeft w:val="336"/>
          <w:marRight w:val="0"/>
          <w:marTop w:val="120"/>
          <w:marBottom w:val="312"/>
          <w:divBdr>
            <w:top w:val="none" w:sz="0" w:space="0" w:color="auto"/>
            <w:left w:val="none" w:sz="0" w:space="0" w:color="auto"/>
            <w:bottom w:val="none" w:sz="0" w:space="0" w:color="auto"/>
            <w:right w:val="none" w:sz="0" w:space="0" w:color="auto"/>
          </w:divBdr>
          <w:divsChild>
            <w:div w:id="111308900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584652753">
      <w:bodyDiv w:val="1"/>
      <w:marLeft w:val="0"/>
      <w:marRight w:val="0"/>
      <w:marTop w:val="0"/>
      <w:marBottom w:val="0"/>
      <w:divBdr>
        <w:top w:val="none" w:sz="0" w:space="0" w:color="auto"/>
        <w:left w:val="none" w:sz="0" w:space="0" w:color="auto"/>
        <w:bottom w:val="none" w:sz="0" w:space="0" w:color="auto"/>
        <w:right w:val="none" w:sz="0" w:space="0" w:color="auto"/>
      </w:divBdr>
      <w:divsChild>
        <w:div w:id="274555986">
          <w:marLeft w:val="0"/>
          <w:marRight w:val="0"/>
          <w:marTop w:val="0"/>
          <w:marBottom w:val="0"/>
          <w:divBdr>
            <w:top w:val="none" w:sz="0" w:space="0" w:color="auto"/>
            <w:left w:val="none" w:sz="0" w:space="0" w:color="auto"/>
            <w:bottom w:val="none" w:sz="0" w:space="0" w:color="auto"/>
            <w:right w:val="none" w:sz="0" w:space="0" w:color="auto"/>
          </w:divBdr>
        </w:div>
        <w:div w:id="1052271641">
          <w:marLeft w:val="0"/>
          <w:marRight w:val="0"/>
          <w:marTop w:val="0"/>
          <w:marBottom w:val="0"/>
          <w:divBdr>
            <w:top w:val="none" w:sz="0" w:space="0" w:color="auto"/>
            <w:left w:val="none" w:sz="0" w:space="0" w:color="auto"/>
            <w:bottom w:val="none" w:sz="0" w:space="0" w:color="auto"/>
            <w:right w:val="none" w:sz="0" w:space="0" w:color="auto"/>
          </w:divBdr>
        </w:div>
        <w:div w:id="1141538171">
          <w:marLeft w:val="0"/>
          <w:marRight w:val="0"/>
          <w:marTop w:val="0"/>
          <w:marBottom w:val="0"/>
          <w:divBdr>
            <w:top w:val="none" w:sz="0" w:space="0" w:color="auto"/>
            <w:left w:val="none" w:sz="0" w:space="0" w:color="auto"/>
            <w:bottom w:val="none" w:sz="0" w:space="0" w:color="auto"/>
            <w:right w:val="none" w:sz="0" w:space="0" w:color="auto"/>
          </w:divBdr>
        </w:div>
        <w:div w:id="180122197">
          <w:marLeft w:val="0"/>
          <w:marRight w:val="0"/>
          <w:marTop w:val="0"/>
          <w:marBottom w:val="0"/>
          <w:divBdr>
            <w:top w:val="none" w:sz="0" w:space="0" w:color="auto"/>
            <w:left w:val="none" w:sz="0" w:space="0" w:color="auto"/>
            <w:bottom w:val="none" w:sz="0" w:space="0" w:color="auto"/>
            <w:right w:val="none" w:sz="0" w:space="0" w:color="auto"/>
          </w:divBdr>
        </w:div>
        <w:div w:id="1069882714">
          <w:marLeft w:val="0"/>
          <w:marRight w:val="0"/>
          <w:marTop w:val="0"/>
          <w:marBottom w:val="0"/>
          <w:divBdr>
            <w:top w:val="none" w:sz="0" w:space="0" w:color="auto"/>
            <w:left w:val="none" w:sz="0" w:space="0" w:color="auto"/>
            <w:bottom w:val="none" w:sz="0" w:space="0" w:color="auto"/>
            <w:right w:val="none" w:sz="0" w:space="0" w:color="auto"/>
          </w:divBdr>
        </w:div>
      </w:divsChild>
    </w:div>
    <w:div w:id="785465345">
      <w:bodyDiv w:val="1"/>
      <w:marLeft w:val="0"/>
      <w:marRight w:val="0"/>
      <w:marTop w:val="0"/>
      <w:marBottom w:val="0"/>
      <w:divBdr>
        <w:top w:val="none" w:sz="0" w:space="0" w:color="auto"/>
        <w:left w:val="none" w:sz="0" w:space="0" w:color="auto"/>
        <w:bottom w:val="none" w:sz="0" w:space="0" w:color="auto"/>
        <w:right w:val="none" w:sz="0" w:space="0" w:color="auto"/>
      </w:divBdr>
    </w:div>
    <w:div w:id="804855138">
      <w:bodyDiv w:val="1"/>
      <w:marLeft w:val="0"/>
      <w:marRight w:val="0"/>
      <w:marTop w:val="0"/>
      <w:marBottom w:val="0"/>
      <w:divBdr>
        <w:top w:val="none" w:sz="0" w:space="0" w:color="auto"/>
        <w:left w:val="none" w:sz="0" w:space="0" w:color="auto"/>
        <w:bottom w:val="none" w:sz="0" w:space="0" w:color="auto"/>
        <w:right w:val="none" w:sz="0" w:space="0" w:color="auto"/>
      </w:divBdr>
    </w:div>
    <w:div w:id="992755294">
      <w:bodyDiv w:val="1"/>
      <w:marLeft w:val="0"/>
      <w:marRight w:val="0"/>
      <w:marTop w:val="0"/>
      <w:marBottom w:val="0"/>
      <w:divBdr>
        <w:top w:val="none" w:sz="0" w:space="0" w:color="auto"/>
        <w:left w:val="none" w:sz="0" w:space="0" w:color="auto"/>
        <w:bottom w:val="none" w:sz="0" w:space="0" w:color="auto"/>
        <w:right w:val="none" w:sz="0" w:space="0" w:color="auto"/>
      </w:divBdr>
    </w:div>
    <w:div w:id="993070286">
      <w:bodyDiv w:val="1"/>
      <w:marLeft w:val="0"/>
      <w:marRight w:val="0"/>
      <w:marTop w:val="0"/>
      <w:marBottom w:val="0"/>
      <w:divBdr>
        <w:top w:val="none" w:sz="0" w:space="0" w:color="auto"/>
        <w:left w:val="none" w:sz="0" w:space="0" w:color="auto"/>
        <w:bottom w:val="none" w:sz="0" w:space="0" w:color="auto"/>
        <w:right w:val="none" w:sz="0" w:space="0" w:color="auto"/>
      </w:divBdr>
    </w:div>
    <w:div w:id="1033918981">
      <w:bodyDiv w:val="1"/>
      <w:marLeft w:val="0"/>
      <w:marRight w:val="0"/>
      <w:marTop w:val="0"/>
      <w:marBottom w:val="0"/>
      <w:divBdr>
        <w:top w:val="none" w:sz="0" w:space="0" w:color="auto"/>
        <w:left w:val="none" w:sz="0" w:space="0" w:color="auto"/>
        <w:bottom w:val="none" w:sz="0" w:space="0" w:color="auto"/>
        <w:right w:val="none" w:sz="0" w:space="0" w:color="auto"/>
      </w:divBdr>
    </w:div>
    <w:div w:id="1042748464">
      <w:bodyDiv w:val="1"/>
      <w:marLeft w:val="0"/>
      <w:marRight w:val="0"/>
      <w:marTop w:val="0"/>
      <w:marBottom w:val="0"/>
      <w:divBdr>
        <w:top w:val="none" w:sz="0" w:space="0" w:color="auto"/>
        <w:left w:val="none" w:sz="0" w:space="0" w:color="auto"/>
        <w:bottom w:val="none" w:sz="0" w:space="0" w:color="auto"/>
        <w:right w:val="none" w:sz="0" w:space="0" w:color="auto"/>
      </w:divBdr>
      <w:divsChild>
        <w:div w:id="960309173">
          <w:blockQuote w:val="1"/>
          <w:marLeft w:val="0"/>
          <w:marRight w:val="0"/>
          <w:marTop w:val="0"/>
          <w:marBottom w:val="180"/>
          <w:divBdr>
            <w:top w:val="none" w:sz="0" w:space="0" w:color="auto"/>
            <w:left w:val="single" w:sz="36" w:space="9" w:color="337AB7"/>
            <w:bottom w:val="none" w:sz="0" w:space="0" w:color="auto"/>
            <w:right w:val="none" w:sz="0" w:space="0" w:color="auto"/>
          </w:divBdr>
        </w:div>
      </w:divsChild>
    </w:div>
    <w:div w:id="1058550508">
      <w:bodyDiv w:val="1"/>
      <w:marLeft w:val="0"/>
      <w:marRight w:val="0"/>
      <w:marTop w:val="0"/>
      <w:marBottom w:val="0"/>
      <w:divBdr>
        <w:top w:val="none" w:sz="0" w:space="0" w:color="auto"/>
        <w:left w:val="none" w:sz="0" w:space="0" w:color="auto"/>
        <w:bottom w:val="none" w:sz="0" w:space="0" w:color="auto"/>
        <w:right w:val="none" w:sz="0" w:space="0" w:color="auto"/>
      </w:divBdr>
      <w:divsChild>
        <w:div w:id="697437783">
          <w:marLeft w:val="0"/>
          <w:marRight w:val="0"/>
          <w:marTop w:val="0"/>
          <w:marBottom w:val="0"/>
          <w:divBdr>
            <w:top w:val="none" w:sz="0" w:space="0" w:color="auto"/>
            <w:left w:val="none" w:sz="0" w:space="0" w:color="auto"/>
            <w:bottom w:val="none" w:sz="0" w:space="0" w:color="auto"/>
            <w:right w:val="none" w:sz="0" w:space="0" w:color="auto"/>
          </w:divBdr>
        </w:div>
      </w:divsChild>
    </w:div>
    <w:div w:id="1132097521">
      <w:bodyDiv w:val="1"/>
      <w:marLeft w:val="0"/>
      <w:marRight w:val="0"/>
      <w:marTop w:val="0"/>
      <w:marBottom w:val="0"/>
      <w:divBdr>
        <w:top w:val="none" w:sz="0" w:space="0" w:color="auto"/>
        <w:left w:val="none" w:sz="0" w:space="0" w:color="auto"/>
        <w:bottom w:val="none" w:sz="0" w:space="0" w:color="auto"/>
        <w:right w:val="none" w:sz="0" w:space="0" w:color="auto"/>
      </w:divBdr>
    </w:div>
    <w:div w:id="1165168243">
      <w:bodyDiv w:val="1"/>
      <w:marLeft w:val="0"/>
      <w:marRight w:val="0"/>
      <w:marTop w:val="0"/>
      <w:marBottom w:val="0"/>
      <w:divBdr>
        <w:top w:val="none" w:sz="0" w:space="0" w:color="auto"/>
        <w:left w:val="none" w:sz="0" w:space="0" w:color="auto"/>
        <w:bottom w:val="none" w:sz="0" w:space="0" w:color="auto"/>
        <w:right w:val="none" w:sz="0" w:space="0" w:color="auto"/>
      </w:divBdr>
    </w:div>
    <w:div w:id="1196384359">
      <w:bodyDiv w:val="1"/>
      <w:marLeft w:val="0"/>
      <w:marRight w:val="0"/>
      <w:marTop w:val="0"/>
      <w:marBottom w:val="0"/>
      <w:divBdr>
        <w:top w:val="none" w:sz="0" w:space="0" w:color="auto"/>
        <w:left w:val="none" w:sz="0" w:space="0" w:color="auto"/>
        <w:bottom w:val="none" w:sz="0" w:space="0" w:color="auto"/>
        <w:right w:val="none" w:sz="0" w:space="0" w:color="auto"/>
      </w:divBdr>
    </w:div>
    <w:div w:id="1246106568">
      <w:bodyDiv w:val="1"/>
      <w:marLeft w:val="0"/>
      <w:marRight w:val="0"/>
      <w:marTop w:val="0"/>
      <w:marBottom w:val="0"/>
      <w:divBdr>
        <w:top w:val="none" w:sz="0" w:space="0" w:color="auto"/>
        <w:left w:val="none" w:sz="0" w:space="0" w:color="auto"/>
        <w:bottom w:val="none" w:sz="0" w:space="0" w:color="auto"/>
        <w:right w:val="none" w:sz="0" w:space="0" w:color="auto"/>
      </w:divBdr>
    </w:div>
    <w:div w:id="1268656154">
      <w:bodyDiv w:val="1"/>
      <w:marLeft w:val="0"/>
      <w:marRight w:val="0"/>
      <w:marTop w:val="0"/>
      <w:marBottom w:val="0"/>
      <w:divBdr>
        <w:top w:val="none" w:sz="0" w:space="0" w:color="auto"/>
        <w:left w:val="none" w:sz="0" w:space="0" w:color="auto"/>
        <w:bottom w:val="none" w:sz="0" w:space="0" w:color="auto"/>
        <w:right w:val="none" w:sz="0" w:space="0" w:color="auto"/>
      </w:divBdr>
    </w:div>
    <w:div w:id="1287616105">
      <w:bodyDiv w:val="1"/>
      <w:marLeft w:val="0"/>
      <w:marRight w:val="0"/>
      <w:marTop w:val="0"/>
      <w:marBottom w:val="0"/>
      <w:divBdr>
        <w:top w:val="none" w:sz="0" w:space="0" w:color="auto"/>
        <w:left w:val="none" w:sz="0" w:space="0" w:color="auto"/>
        <w:bottom w:val="none" w:sz="0" w:space="0" w:color="auto"/>
        <w:right w:val="none" w:sz="0" w:space="0" w:color="auto"/>
      </w:divBdr>
    </w:div>
    <w:div w:id="1291206077">
      <w:bodyDiv w:val="1"/>
      <w:marLeft w:val="0"/>
      <w:marRight w:val="0"/>
      <w:marTop w:val="0"/>
      <w:marBottom w:val="0"/>
      <w:divBdr>
        <w:top w:val="none" w:sz="0" w:space="0" w:color="auto"/>
        <w:left w:val="none" w:sz="0" w:space="0" w:color="auto"/>
        <w:bottom w:val="none" w:sz="0" w:space="0" w:color="auto"/>
        <w:right w:val="none" w:sz="0" w:space="0" w:color="auto"/>
      </w:divBdr>
    </w:div>
    <w:div w:id="1315521898">
      <w:bodyDiv w:val="1"/>
      <w:marLeft w:val="0"/>
      <w:marRight w:val="0"/>
      <w:marTop w:val="0"/>
      <w:marBottom w:val="0"/>
      <w:divBdr>
        <w:top w:val="none" w:sz="0" w:space="0" w:color="auto"/>
        <w:left w:val="none" w:sz="0" w:space="0" w:color="auto"/>
        <w:bottom w:val="none" w:sz="0" w:space="0" w:color="auto"/>
        <w:right w:val="none" w:sz="0" w:space="0" w:color="auto"/>
      </w:divBdr>
    </w:div>
    <w:div w:id="1495563926">
      <w:bodyDiv w:val="1"/>
      <w:marLeft w:val="0"/>
      <w:marRight w:val="0"/>
      <w:marTop w:val="0"/>
      <w:marBottom w:val="0"/>
      <w:divBdr>
        <w:top w:val="none" w:sz="0" w:space="0" w:color="auto"/>
        <w:left w:val="none" w:sz="0" w:space="0" w:color="auto"/>
        <w:bottom w:val="none" w:sz="0" w:space="0" w:color="auto"/>
        <w:right w:val="none" w:sz="0" w:space="0" w:color="auto"/>
      </w:divBdr>
    </w:div>
    <w:div w:id="1617979097">
      <w:bodyDiv w:val="1"/>
      <w:marLeft w:val="0"/>
      <w:marRight w:val="0"/>
      <w:marTop w:val="0"/>
      <w:marBottom w:val="0"/>
      <w:divBdr>
        <w:top w:val="none" w:sz="0" w:space="0" w:color="auto"/>
        <w:left w:val="none" w:sz="0" w:space="0" w:color="auto"/>
        <w:bottom w:val="none" w:sz="0" w:space="0" w:color="auto"/>
        <w:right w:val="none" w:sz="0" w:space="0" w:color="auto"/>
      </w:divBdr>
    </w:div>
    <w:div w:id="1629431690">
      <w:bodyDiv w:val="1"/>
      <w:marLeft w:val="0"/>
      <w:marRight w:val="0"/>
      <w:marTop w:val="0"/>
      <w:marBottom w:val="0"/>
      <w:divBdr>
        <w:top w:val="none" w:sz="0" w:space="0" w:color="auto"/>
        <w:left w:val="none" w:sz="0" w:space="0" w:color="auto"/>
        <w:bottom w:val="none" w:sz="0" w:space="0" w:color="auto"/>
        <w:right w:val="none" w:sz="0" w:space="0" w:color="auto"/>
      </w:divBdr>
    </w:div>
    <w:div w:id="1644045746">
      <w:bodyDiv w:val="1"/>
      <w:marLeft w:val="0"/>
      <w:marRight w:val="0"/>
      <w:marTop w:val="0"/>
      <w:marBottom w:val="0"/>
      <w:divBdr>
        <w:top w:val="none" w:sz="0" w:space="0" w:color="auto"/>
        <w:left w:val="none" w:sz="0" w:space="0" w:color="auto"/>
        <w:bottom w:val="none" w:sz="0" w:space="0" w:color="auto"/>
        <w:right w:val="none" w:sz="0" w:space="0" w:color="auto"/>
      </w:divBdr>
    </w:div>
    <w:div w:id="1668940843">
      <w:bodyDiv w:val="1"/>
      <w:marLeft w:val="0"/>
      <w:marRight w:val="0"/>
      <w:marTop w:val="0"/>
      <w:marBottom w:val="0"/>
      <w:divBdr>
        <w:top w:val="none" w:sz="0" w:space="0" w:color="auto"/>
        <w:left w:val="none" w:sz="0" w:space="0" w:color="auto"/>
        <w:bottom w:val="none" w:sz="0" w:space="0" w:color="auto"/>
        <w:right w:val="none" w:sz="0" w:space="0" w:color="auto"/>
      </w:divBdr>
    </w:div>
    <w:div w:id="1679191988">
      <w:bodyDiv w:val="1"/>
      <w:marLeft w:val="0"/>
      <w:marRight w:val="0"/>
      <w:marTop w:val="0"/>
      <w:marBottom w:val="0"/>
      <w:divBdr>
        <w:top w:val="none" w:sz="0" w:space="0" w:color="auto"/>
        <w:left w:val="none" w:sz="0" w:space="0" w:color="auto"/>
        <w:bottom w:val="none" w:sz="0" w:space="0" w:color="auto"/>
        <w:right w:val="none" w:sz="0" w:space="0" w:color="auto"/>
      </w:divBdr>
    </w:div>
    <w:div w:id="1756783765">
      <w:bodyDiv w:val="1"/>
      <w:marLeft w:val="0"/>
      <w:marRight w:val="0"/>
      <w:marTop w:val="0"/>
      <w:marBottom w:val="0"/>
      <w:divBdr>
        <w:top w:val="none" w:sz="0" w:space="0" w:color="auto"/>
        <w:left w:val="none" w:sz="0" w:space="0" w:color="auto"/>
        <w:bottom w:val="none" w:sz="0" w:space="0" w:color="auto"/>
        <w:right w:val="none" w:sz="0" w:space="0" w:color="auto"/>
      </w:divBdr>
    </w:div>
    <w:div w:id="1853645654">
      <w:bodyDiv w:val="1"/>
      <w:marLeft w:val="0"/>
      <w:marRight w:val="0"/>
      <w:marTop w:val="0"/>
      <w:marBottom w:val="0"/>
      <w:divBdr>
        <w:top w:val="none" w:sz="0" w:space="0" w:color="auto"/>
        <w:left w:val="none" w:sz="0" w:space="0" w:color="auto"/>
        <w:bottom w:val="none" w:sz="0" w:space="0" w:color="auto"/>
        <w:right w:val="none" w:sz="0" w:space="0" w:color="auto"/>
      </w:divBdr>
    </w:div>
    <w:div w:id="1856454209">
      <w:bodyDiv w:val="1"/>
      <w:marLeft w:val="0"/>
      <w:marRight w:val="0"/>
      <w:marTop w:val="0"/>
      <w:marBottom w:val="0"/>
      <w:divBdr>
        <w:top w:val="none" w:sz="0" w:space="0" w:color="auto"/>
        <w:left w:val="none" w:sz="0" w:space="0" w:color="auto"/>
        <w:bottom w:val="none" w:sz="0" w:space="0" w:color="auto"/>
        <w:right w:val="none" w:sz="0" w:space="0" w:color="auto"/>
      </w:divBdr>
    </w:div>
    <w:div w:id="1862357326">
      <w:bodyDiv w:val="1"/>
      <w:marLeft w:val="0"/>
      <w:marRight w:val="0"/>
      <w:marTop w:val="0"/>
      <w:marBottom w:val="0"/>
      <w:divBdr>
        <w:top w:val="none" w:sz="0" w:space="0" w:color="auto"/>
        <w:left w:val="none" w:sz="0" w:space="0" w:color="auto"/>
        <w:bottom w:val="none" w:sz="0" w:space="0" w:color="auto"/>
        <w:right w:val="none" w:sz="0" w:space="0" w:color="auto"/>
      </w:divBdr>
      <w:divsChild>
        <w:div w:id="1036735761">
          <w:marLeft w:val="0"/>
          <w:marRight w:val="0"/>
          <w:marTop w:val="0"/>
          <w:marBottom w:val="0"/>
          <w:divBdr>
            <w:top w:val="none" w:sz="0" w:space="0" w:color="auto"/>
            <w:left w:val="none" w:sz="0" w:space="0" w:color="auto"/>
            <w:bottom w:val="none" w:sz="0" w:space="0" w:color="auto"/>
            <w:right w:val="none" w:sz="0" w:space="0" w:color="auto"/>
          </w:divBdr>
          <w:divsChild>
            <w:div w:id="60249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883262">
      <w:bodyDiv w:val="1"/>
      <w:marLeft w:val="0"/>
      <w:marRight w:val="0"/>
      <w:marTop w:val="0"/>
      <w:marBottom w:val="0"/>
      <w:divBdr>
        <w:top w:val="none" w:sz="0" w:space="0" w:color="auto"/>
        <w:left w:val="none" w:sz="0" w:space="0" w:color="auto"/>
        <w:bottom w:val="none" w:sz="0" w:space="0" w:color="auto"/>
        <w:right w:val="none" w:sz="0" w:space="0" w:color="auto"/>
      </w:divBdr>
    </w:div>
    <w:div w:id="1907258787">
      <w:bodyDiv w:val="1"/>
      <w:marLeft w:val="0"/>
      <w:marRight w:val="0"/>
      <w:marTop w:val="0"/>
      <w:marBottom w:val="0"/>
      <w:divBdr>
        <w:top w:val="none" w:sz="0" w:space="0" w:color="auto"/>
        <w:left w:val="none" w:sz="0" w:space="0" w:color="auto"/>
        <w:bottom w:val="none" w:sz="0" w:space="0" w:color="auto"/>
        <w:right w:val="none" w:sz="0" w:space="0" w:color="auto"/>
      </w:divBdr>
    </w:div>
    <w:div w:id="1929148909">
      <w:bodyDiv w:val="1"/>
      <w:marLeft w:val="0"/>
      <w:marRight w:val="0"/>
      <w:marTop w:val="0"/>
      <w:marBottom w:val="0"/>
      <w:divBdr>
        <w:top w:val="none" w:sz="0" w:space="0" w:color="auto"/>
        <w:left w:val="none" w:sz="0" w:space="0" w:color="auto"/>
        <w:bottom w:val="none" w:sz="0" w:space="0" w:color="auto"/>
        <w:right w:val="none" w:sz="0" w:space="0" w:color="auto"/>
      </w:divBdr>
    </w:div>
    <w:div w:id="1937010362">
      <w:bodyDiv w:val="1"/>
      <w:marLeft w:val="0"/>
      <w:marRight w:val="0"/>
      <w:marTop w:val="0"/>
      <w:marBottom w:val="0"/>
      <w:divBdr>
        <w:top w:val="none" w:sz="0" w:space="0" w:color="auto"/>
        <w:left w:val="none" w:sz="0" w:space="0" w:color="auto"/>
        <w:bottom w:val="none" w:sz="0" w:space="0" w:color="auto"/>
        <w:right w:val="none" w:sz="0" w:space="0" w:color="auto"/>
      </w:divBdr>
    </w:div>
    <w:div w:id="20469095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2741737">
      <w:bodyDiv w:val="1"/>
      <w:marLeft w:val="0"/>
      <w:marRight w:val="0"/>
      <w:marTop w:val="0"/>
      <w:marBottom w:val="0"/>
      <w:divBdr>
        <w:top w:val="none" w:sz="0" w:space="0" w:color="auto"/>
        <w:left w:val="none" w:sz="0" w:space="0" w:color="auto"/>
        <w:bottom w:val="none" w:sz="0" w:space="0" w:color="auto"/>
        <w:right w:val="none" w:sz="0" w:space="0" w:color="auto"/>
      </w:divBdr>
    </w:div>
    <w:div w:id="2134515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diagramLayout" Target="diagrams/layout3.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diagramData" Target="diagrams/data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microsoft.com/office/2007/relationships/diagramDrawing" Target="diagrams/drawing3.xml"/><Relationship Id="rId5" Type="http://schemas.openxmlformats.org/officeDocument/2006/relationships/settings" Target="settings.xml"/><Relationship Id="rId15" Type="http://schemas.openxmlformats.org/officeDocument/2006/relationships/diagramData" Target="diagrams/data2.xml"/><Relationship Id="rId23" Type="http://schemas.openxmlformats.org/officeDocument/2006/relationships/diagramColors" Target="diagrams/colors3.xml"/><Relationship Id="rId10" Type="http://schemas.openxmlformats.org/officeDocument/2006/relationships/diagramData" Target="diagrams/data1.xml"/><Relationship Id="rId19" Type="http://schemas.microsoft.com/office/2007/relationships/diagramDrawing" Target="diagrams/drawing2.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 Id="rId22" Type="http://schemas.openxmlformats.org/officeDocument/2006/relationships/diagramQuickStyle" Target="diagrams/quickStyle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F750F9-DE2C-4990-A6E3-92E69937AC42}" type="doc">
      <dgm:prSet loTypeId="urn:microsoft.com/office/officeart/2005/8/layout/process1" loCatId="process" qsTypeId="urn:microsoft.com/office/officeart/2005/8/quickstyle/simple1" qsCatId="simple" csTypeId="urn:microsoft.com/office/officeart/2005/8/colors/accent1_2" csCatId="accent1" phldr="1"/>
      <dgm:spPr/>
    </dgm:pt>
    <dgm:pt modelId="{20F0DC17-02A4-4B3D-AB98-7B7FC1235377}">
      <dgm:prSet phldrT="[Text]">
        <dgm:style>
          <a:lnRef idx="2">
            <a:schemeClr val="dk1"/>
          </a:lnRef>
          <a:fillRef idx="1">
            <a:schemeClr val="lt1"/>
          </a:fillRef>
          <a:effectRef idx="0">
            <a:schemeClr val="dk1"/>
          </a:effectRef>
          <a:fontRef idx="minor">
            <a:schemeClr val="dk1"/>
          </a:fontRef>
        </dgm:style>
      </dgm:prSet>
      <dgm:spPr/>
      <dgm:t>
        <a:bodyPr/>
        <a:lstStyle/>
        <a:p>
          <a:pPr algn="ctr"/>
          <a:r>
            <a:rPr lang="en-GB"/>
            <a:t>Manufacturer</a:t>
          </a:r>
        </a:p>
      </dgm:t>
    </dgm:pt>
    <dgm:pt modelId="{13309D2E-FF01-4011-BA5E-06B4D29A1F36}" type="parTrans" cxnId="{3F59641A-771B-496A-A838-8E07088C3949}">
      <dgm:prSet/>
      <dgm:spPr/>
      <dgm:t>
        <a:bodyPr/>
        <a:lstStyle/>
        <a:p>
          <a:pPr algn="ctr"/>
          <a:endParaRPr lang="en-GB"/>
        </a:p>
      </dgm:t>
    </dgm:pt>
    <dgm:pt modelId="{AC65CB66-36D7-4687-91CB-230941107A12}" type="sibTrans" cxnId="{3F59641A-771B-496A-A838-8E07088C3949}">
      <dgm:prSet>
        <dgm:style>
          <a:lnRef idx="2">
            <a:schemeClr val="dk1">
              <a:shade val="50000"/>
            </a:schemeClr>
          </a:lnRef>
          <a:fillRef idx="1">
            <a:schemeClr val="dk1"/>
          </a:fillRef>
          <a:effectRef idx="0">
            <a:schemeClr val="dk1"/>
          </a:effectRef>
          <a:fontRef idx="minor">
            <a:schemeClr val="lt1"/>
          </a:fontRef>
        </dgm:style>
      </dgm:prSet>
      <dgm:spPr/>
      <dgm:t>
        <a:bodyPr/>
        <a:lstStyle/>
        <a:p>
          <a:pPr algn="ctr"/>
          <a:endParaRPr lang="en-GB"/>
        </a:p>
      </dgm:t>
    </dgm:pt>
    <dgm:pt modelId="{09BA6F04-A48A-42F2-8534-59591CF6C1B4}">
      <dgm:prSet phldrT="[Text]">
        <dgm:style>
          <a:lnRef idx="2">
            <a:schemeClr val="dk1"/>
          </a:lnRef>
          <a:fillRef idx="1">
            <a:schemeClr val="lt1"/>
          </a:fillRef>
          <a:effectRef idx="0">
            <a:schemeClr val="dk1"/>
          </a:effectRef>
          <a:fontRef idx="minor">
            <a:schemeClr val="dk1"/>
          </a:fontRef>
        </dgm:style>
      </dgm:prSet>
      <dgm:spPr/>
      <dgm:t>
        <a:bodyPr/>
        <a:lstStyle/>
        <a:p>
          <a:pPr algn="ctr"/>
          <a:r>
            <a:rPr lang="en-GB"/>
            <a:t>Customer</a:t>
          </a:r>
        </a:p>
      </dgm:t>
    </dgm:pt>
    <dgm:pt modelId="{53EF3564-8AF1-4670-8FF4-C6DF7B193A73}" type="sibTrans" cxnId="{C080F005-ACB7-4CEB-B615-E534A5083690}">
      <dgm:prSet/>
      <dgm:spPr/>
      <dgm:t>
        <a:bodyPr/>
        <a:lstStyle/>
        <a:p>
          <a:pPr algn="ctr"/>
          <a:endParaRPr lang="en-GB"/>
        </a:p>
      </dgm:t>
    </dgm:pt>
    <dgm:pt modelId="{7BB3E839-B555-475D-98F3-91085A503CC2}" type="parTrans" cxnId="{C080F005-ACB7-4CEB-B615-E534A5083690}">
      <dgm:prSet/>
      <dgm:spPr/>
      <dgm:t>
        <a:bodyPr/>
        <a:lstStyle/>
        <a:p>
          <a:pPr algn="ctr"/>
          <a:endParaRPr lang="en-GB"/>
        </a:p>
      </dgm:t>
    </dgm:pt>
    <dgm:pt modelId="{A068A11D-5253-4F94-96CA-E2FE33760C61}" type="pres">
      <dgm:prSet presAssocID="{FCF750F9-DE2C-4990-A6E3-92E69937AC42}" presName="Name0" presStyleCnt="0">
        <dgm:presLayoutVars>
          <dgm:dir/>
          <dgm:resizeHandles val="exact"/>
        </dgm:presLayoutVars>
      </dgm:prSet>
      <dgm:spPr/>
    </dgm:pt>
    <dgm:pt modelId="{00031D67-42AF-43A6-A5E9-5DECFEA25D79}" type="pres">
      <dgm:prSet presAssocID="{20F0DC17-02A4-4B3D-AB98-7B7FC1235377}" presName="node" presStyleLbl="node1" presStyleIdx="0" presStyleCnt="2" custScaleX="21664" custScaleY="12415">
        <dgm:presLayoutVars>
          <dgm:bulletEnabled val="1"/>
        </dgm:presLayoutVars>
      </dgm:prSet>
      <dgm:spPr/>
      <dgm:t>
        <a:bodyPr/>
        <a:lstStyle/>
        <a:p>
          <a:endParaRPr lang="en-GB"/>
        </a:p>
      </dgm:t>
    </dgm:pt>
    <dgm:pt modelId="{F9B2E06E-90E5-47A0-B13A-44AA4574DB84}" type="pres">
      <dgm:prSet presAssocID="{AC65CB66-36D7-4687-91CB-230941107A12}" presName="sibTrans" presStyleLbl="sibTrans2D1" presStyleIdx="0" presStyleCnt="1" custScaleX="102188" custScaleY="100000"/>
      <dgm:spPr/>
      <dgm:t>
        <a:bodyPr/>
        <a:lstStyle/>
        <a:p>
          <a:endParaRPr lang="en-GB"/>
        </a:p>
      </dgm:t>
    </dgm:pt>
    <dgm:pt modelId="{3951BF78-4DED-485A-B754-3EF2EFA1C7D1}" type="pres">
      <dgm:prSet presAssocID="{AC65CB66-36D7-4687-91CB-230941107A12}" presName="connectorText" presStyleLbl="sibTrans2D1" presStyleIdx="0" presStyleCnt="1"/>
      <dgm:spPr/>
      <dgm:t>
        <a:bodyPr/>
        <a:lstStyle/>
        <a:p>
          <a:endParaRPr lang="en-GB"/>
        </a:p>
      </dgm:t>
    </dgm:pt>
    <dgm:pt modelId="{30B1D6AD-188D-4ED9-AABF-83022EAD39FE}" type="pres">
      <dgm:prSet presAssocID="{09BA6F04-A48A-42F2-8534-59591CF6C1B4}" presName="node" presStyleLbl="node1" presStyleIdx="1" presStyleCnt="2" custScaleX="21664" custScaleY="12415">
        <dgm:presLayoutVars>
          <dgm:bulletEnabled val="1"/>
        </dgm:presLayoutVars>
      </dgm:prSet>
      <dgm:spPr/>
      <dgm:t>
        <a:bodyPr/>
        <a:lstStyle/>
        <a:p>
          <a:endParaRPr lang="en-GB"/>
        </a:p>
      </dgm:t>
    </dgm:pt>
  </dgm:ptLst>
  <dgm:cxnLst>
    <dgm:cxn modelId="{7AA1315F-4085-4808-9D94-6D985CF9CB6E}" type="presOf" srcId="{AC65CB66-36D7-4687-91CB-230941107A12}" destId="{3951BF78-4DED-485A-B754-3EF2EFA1C7D1}" srcOrd="1" destOrd="0" presId="urn:microsoft.com/office/officeart/2005/8/layout/process1"/>
    <dgm:cxn modelId="{3F59641A-771B-496A-A838-8E07088C3949}" srcId="{FCF750F9-DE2C-4990-A6E3-92E69937AC42}" destId="{20F0DC17-02A4-4B3D-AB98-7B7FC1235377}" srcOrd="0" destOrd="0" parTransId="{13309D2E-FF01-4011-BA5E-06B4D29A1F36}" sibTransId="{AC65CB66-36D7-4687-91CB-230941107A12}"/>
    <dgm:cxn modelId="{BD33C70F-E985-4DCD-A780-4969B934B281}" type="presOf" srcId="{FCF750F9-DE2C-4990-A6E3-92E69937AC42}" destId="{A068A11D-5253-4F94-96CA-E2FE33760C61}" srcOrd="0" destOrd="0" presId="urn:microsoft.com/office/officeart/2005/8/layout/process1"/>
    <dgm:cxn modelId="{C0618CB9-BA22-4717-8928-1BE3A07FEBD2}" type="presOf" srcId="{AC65CB66-36D7-4687-91CB-230941107A12}" destId="{F9B2E06E-90E5-47A0-B13A-44AA4574DB84}" srcOrd="0" destOrd="0" presId="urn:microsoft.com/office/officeart/2005/8/layout/process1"/>
    <dgm:cxn modelId="{A2B46828-A5CA-49D4-839C-EFDE35046A74}" type="presOf" srcId="{09BA6F04-A48A-42F2-8534-59591CF6C1B4}" destId="{30B1D6AD-188D-4ED9-AABF-83022EAD39FE}" srcOrd="0" destOrd="0" presId="urn:microsoft.com/office/officeart/2005/8/layout/process1"/>
    <dgm:cxn modelId="{4F1DAA7F-22F4-4B2F-A655-286212CD0951}" type="presOf" srcId="{20F0DC17-02A4-4B3D-AB98-7B7FC1235377}" destId="{00031D67-42AF-43A6-A5E9-5DECFEA25D79}" srcOrd="0" destOrd="0" presId="urn:microsoft.com/office/officeart/2005/8/layout/process1"/>
    <dgm:cxn modelId="{C080F005-ACB7-4CEB-B615-E534A5083690}" srcId="{FCF750F9-DE2C-4990-A6E3-92E69937AC42}" destId="{09BA6F04-A48A-42F2-8534-59591CF6C1B4}" srcOrd="1" destOrd="0" parTransId="{7BB3E839-B555-475D-98F3-91085A503CC2}" sibTransId="{53EF3564-8AF1-4670-8FF4-C6DF7B193A73}"/>
    <dgm:cxn modelId="{274657CE-1901-4A15-889D-2DA8435B34F2}" type="presParOf" srcId="{A068A11D-5253-4F94-96CA-E2FE33760C61}" destId="{00031D67-42AF-43A6-A5E9-5DECFEA25D79}" srcOrd="0" destOrd="0" presId="urn:microsoft.com/office/officeart/2005/8/layout/process1"/>
    <dgm:cxn modelId="{929A4E08-07A7-4F7A-9794-3B7910A29286}" type="presParOf" srcId="{A068A11D-5253-4F94-96CA-E2FE33760C61}" destId="{F9B2E06E-90E5-47A0-B13A-44AA4574DB84}" srcOrd="1" destOrd="0" presId="urn:microsoft.com/office/officeart/2005/8/layout/process1"/>
    <dgm:cxn modelId="{C55B9B39-E2A9-4279-A1FC-195E25382D53}" type="presParOf" srcId="{F9B2E06E-90E5-47A0-B13A-44AA4574DB84}" destId="{3951BF78-4DED-485A-B754-3EF2EFA1C7D1}" srcOrd="0" destOrd="0" presId="urn:microsoft.com/office/officeart/2005/8/layout/process1"/>
    <dgm:cxn modelId="{B7EE032D-C5C4-4F55-98EB-BDCC114B2179}" type="presParOf" srcId="{A068A11D-5253-4F94-96CA-E2FE33760C61}" destId="{30B1D6AD-188D-4ED9-AABF-83022EAD39FE}" srcOrd="2" destOrd="0" presId="urn:microsoft.com/office/officeart/2005/8/layout/process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CF750F9-DE2C-4990-A6E3-92E69937AC42}" type="doc">
      <dgm:prSet loTypeId="urn:microsoft.com/office/officeart/2005/8/layout/process1" loCatId="process" qsTypeId="urn:microsoft.com/office/officeart/2005/8/quickstyle/simple1" qsCatId="simple" csTypeId="urn:microsoft.com/office/officeart/2005/8/colors/accent1_2" csCatId="accent1" phldr="1"/>
      <dgm:spPr/>
    </dgm:pt>
    <dgm:pt modelId="{20F0DC17-02A4-4B3D-AB98-7B7FC1235377}">
      <dgm:prSet phldrT="[Text]">
        <dgm:style>
          <a:lnRef idx="2">
            <a:schemeClr val="dk1"/>
          </a:lnRef>
          <a:fillRef idx="1">
            <a:schemeClr val="lt1"/>
          </a:fillRef>
          <a:effectRef idx="0">
            <a:schemeClr val="dk1"/>
          </a:effectRef>
          <a:fontRef idx="minor">
            <a:schemeClr val="dk1"/>
          </a:fontRef>
        </dgm:style>
      </dgm:prSet>
      <dgm:spPr/>
      <dgm:t>
        <a:bodyPr/>
        <a:lstStyle/>
        <a:p>
          <a:r>
            <a:rPr lang="en-GB"/>
            <a:t>Manufacturer</a:t>
          </a:r>
        </a:p>
      </dgm:t>
    </dgm:pt>
    <dgm:pt modelId="{13309D2E-FF01-4011-BA5E-06B4D29A1F36}" type="parTrans" cxnId="{3F59641A-771B-496A-A838-8E07088C3949}">
      <dgm:prSet/>
      <dgm:spPr/>
      <dgm:t>
        <a:bodyPr/>
        <a:lstStyle/>
        <a:p>
          <a:endParaRPr lang="en-GB"/>
        </a:p>
      </dgm:t>
    </dgm:pt>
    <dgm:pt modelId="{AC65CB66-36D7-4687-91CB-230941107A12}" type="sibTrans" cxnId="{3F59641A-771B-496A-A838-8E07088C3949}">
      <dgm:prSet>
        <dgm:style>
          <a:lnRef idx="2">
            <a:schemeClr val="dk1">
              <a:shade val="50000"/>
            </a:schemeClr>
          </a:lnRef>
          <a:fillRef idx="1">
            <a:schemeClr val="dk1"/>
          </a:fillRef>
          <a:effectRef idx="0">
            <a:schemeClr val="dk1"/>
          </a:effectRef>
          <a:fontRef idx="minor">
            <a:schemeClr val="lt1"/>
          </a:fontRef>
        </dgm:style>
      </dgm:prSet>
      <dgm:spPr/>
      <dgm:t>
        <a:bodyPr/>
        <a:lstStyle/>
        <a:p>
          <a:endParaRPr lang="en-GB"/>
        </a:p>
      </dgm:t>
    </dgm:pt>
    <dgm:pt modelId="{09BA6F04-A48A-42F2-8534-59591CF6C1B4}">
      <dgm:prSet phldrT="[Text]">
        <dgm:style>
          <a:lnRef idx="2">
            <a:schemeClr val="dk1"/>
          </a:lnRef>
          <a:fillRef idx="1">
            <a:schemeClr val="lt1"/>
          </a:fillRef>
          <a:effectRef idx="0">
            <a:schemeClr val="dk1"/>
          </a:effectRef>
          <a:fontRef idx="minor">
            <a:schemeClr val="dk1"/>
          </a:fontRef>
        </dgm:style>
      </dgm:prSet>
      <dgm:spPr/>
      <dgm:t>
        <a:bodyPr/>
        <a:lstStyle/>
        <a:p>
          <a:r>
            <a:rPr lang="en-GB"/>
            <a:t>Customer</a:t>
          </a:r>
        </a:p>
      </dgm:t>
    </dgm:pt>
    <dgm:pt modelId="{53EF3564-8AF1-4670-8FF4-C6DF7B193A73}" type="sibTrans" cxnId="{C080F005-ACB7-4CEB-B615-E534A5083690}">
      <dgm:prSet/>
      <dgm:spPr/>
      <dgm:t>
        <a:bodyPr/>
        <a:lstStyle/>
        <a:p>
          <a:endParaRPr lang="en-GB"/>
        </a:p>
      </dgm:t>
    </dgm:pt>
    <dgm:pt modelId="{7BB3E839-B555-475D-98F3-91085A503CC2}" type="parTrans" cxnId="{C080F005-ACB7-4CEB-B615-E534A5083690}">
      <dgm:prSet/>
      <dgm:spPr/>
      <dgm:t>
        <a:bodyPr/>
        <a:lstStyle/>
        <a:p>
          <a:endParaRPr lang="en-GB"/>
        </a:p>
      </dgm:t>
    </dgm:pt>
    <dgm:pt modelId="{B2948168-1757-47E9-9D62-E1FD2F674A83}">
      <dgm:prSet phldrT="[Text]">
        <dgm:style>
          <a:lnRef idx="2">
            <a:schemeClr val="dk1"/>
          </a:lnRef>
          <a:fillRef idx="1">
            <a:schemeClr val="lt1"/>
          </a:fillRef>
          <a:effectRef idx="0">
            <a:schemeClr val="dk1"/>
          </a:effectRef>
          <a:fontRef idx="minor">
            <a:schemeClr val="dk1"/>
          </a:fontRef>
        </dgm:style>
      </dgm:prSet>
      <dgm:spPr/>
      <dgm:t>
        <a:bodyPr/>
        <a:lstStyle/>
        <a:p>
          <a:r>
            <a:rPr lang="en-GB"/>
            <a:t>Retailer</a:t>
          </a:r>
        </a:p>
      </dgm:t>
    </dgm:pt>
    <dgm:pt modelId="{E16225DB-77DF-45F8-AEA3-7F4F9FFBF8D9}" type="sibTrans" cxnId="{B49E1067-BEF3-4332-AE40-DC1AEDCC6F2F}">
      <dgm:prSet>
        <dgm:style>
          <a:lnRef idx="2">
            <a:schemeClr val="dk1">
              <a:shade val="50000"/>
            </a:schemeClr>
          </a:lnRef>
          <a:fillRef idx="1">
            <a:schemeClr val="dk1"/>
          </a:fillRef>
          <a:effectRef idx="0">
            <a:schemeClr val="dk1"/>
          </a:effectRef>
          <a:fontRef idx="minor">
            <a:schemeClr val="lt1"/>
          </a:fontRef>
        </dgm:style>
      </dgm:prSet>
      <dgm:spPr/>
      <dgm:t>
        <a:bodyPr/>
        <a:lstStyle/>
        <a:p>
          <a:endParaRPr lang="en-GB"/>
        </a:p>
      </dgm:t>
    </dgm:pt>
    <dgm:pt modelId="{9A119E2B-6754-4623-9FAE-B82554F947BF}" type="parTrans" cxnId="{B49E1067-BEF3-4332-AE40-DC1AEDCC6F2F}">
      <dgm:prSet/>
      <dgm:spPr/>
      <dgm:t>
        <a:bodyPr/>
        <a:lstStyle/>
        <a:p>
          <a:endParaRPr lang="en-GB"/>
        </a:p>
      </dgm:t>
    </dgm:pt>
    <dgm:pt modelId="{A068A11D-5253-4F94-96CA-E2FE33760C61}" type="pres">
      <dgm:prSet presAssocID="{FCF750F9-DE2C-4990-A6E3-92E69937AC42}" presName="Name0" presStyleCnt="0">
        <dgm:presLayoutVars>
          <dgm:dir/>
          <dgm:resizeHandles val="exact"/>
        </dgm:presLayoutVars>
      </dgm:prSet>
      <dgm:spPr/>
    </dgm:pt>
    <dgm:pt modelId="{00031D67-42AF-43A6-A5E9-5DECFEA25D79}" type="pres">
      <dgm:prSet presAssocID="{20F0DC17-02A4-4B3D-AB98-7B7FC1235377}" presName="node" presStyleLbl="node1" presStyleIdx="0" presStyleCnt="3" custScaleX="49304" custScaleY="34405">
        <dgm:presLayoutVars>
          <dgm:bulletEnabled val="1"/>
        </dgm:presLayoutVars>
      </dgm:prSet>
      <dgm:spPr/>
      <dgm:t>
        <a:bodyPr/>
        <a:lstStyle/>
        <a:p>
          <a:endParaRPr lang="en-GB"/>
        </a:p>
      </dgm:t>
    </dgm:pt>
    <dgm:pt modelId="{F9B2E06E-90E5-47A0-B13A-44AA4574DB84}" type="pres">
      <dgm:prSet presAssocID="{AC65CB66-36D7-4687-91CB-230941107A12}" presName="sibTrans" presStyleLbl="sibTrans2D1" presStyleIdx="0" presStyleCnt="2" custScaleX="101584" custScaleY="86838"/>
      <dgm:spPr/>
      <dgm:t>
        <a:bodyPr/>
        <a:lstStyle/>
        <a:p>
          <a:endParaRPr lang="en-GB"/>
        </a:p>
      </dgm:t>
    </dgm:pt>
    <dgm:pt modelId="{3951BF78-4DED-485A-B754-3EF2EFA1C7D1}" type="pres">
      <dgm:prSet presAssocID="{AC65CB66-36D7-4687-91CB-230941107A12}" presName="connectorText" presStyleLbl="sibTrans2D1" presStyleIdx="0" presStyleCnt="2"/>
      <dgm:spPr/>
      <dgm:t>
        <a:bodyPr/>
        <a:lstStyle/>
        <a:p>
          <a:endParaRPr lang="en-GB"/>
        </a:p>
      </dgm:t>
    </dgm:pt>
    <dgm:pt modelId="{A5B97BF2-D163-4D88-AA0B-98BE653BFC1E}" type="pres">
      <dgm:prSet presAssocID="{B2948168-1757-47E9-9D62-E1FD2F674A83}" presName="node" presStyleLbl="node1" presStyleIdx="1" presStyleCnt="3" custScaleX="49304" custScaleY="34405">
        <dgm:presLayoutVars>
          <dgm:bulletEnabled val="1"/>
        </dgm:presLayoutVars>
      </dgm:prSet>
      <dgm:spPr/>
      <dgm:t>
        <a:bodyPr/>
        <a:lstStyle/>
        <a:p>
          <a:endParaRPr lang="en-GB"/>
        </a:p>
      </dgm:t>
    </dgm:pt>
    <dgm:pt modelId="{75343946-633E-40B4-ABA7-4E61ACBB6F29}" type="pres">
      <dgm:prSet presAssocID="{E16225DB-77DF-45F8-AEA3-7F4F9FFBF8D9}" presName="sibTrans" presStyleLbl="sibTrans2D1" presStyleIdx="1" presStyleCnt="2" custScaleX="101584" custScaleY="86838"/>
      <dgm:spPr/>
      <dgm:t>
        <a:bodyPr/>
        <a:lstStyle/>
        <a:p>
          <a:endParaRPr lang="en-GB"/>
        </a:p>
      </dgm:t>
    </dgm:pt>
    <dgm:pt modelId="{F2C46881-84DF-4879-B624-BC4D5A67DE18}" type="pres">
      <dgm:prSet presAssocID="{E16225DB-77DF-45F8-AEA3-7F4F9FFBF8D9}" presName="connectorText" presStyleLbl="sibTrans2D1" presStyleIdx="1" presStyleCnt="2"/>
      <dgm:spPr/>
      <dgm:t>
        <a:bodyPr/>
        <a:lstStyle/>
        <a:p>
          <a:endParaRPr lang="en-GB"/>
        </a:p>
      </dgm:t>
    </dgm:pt>
    <dgm:pt modelId="{30B1D6AD-188D-4ED9-AABF-83022EAD39FE}" type="pres">
      <dgm:prSet presAssocID="{09BA6F04-A48A-42F2-8534-59591CF6C1B4}" presName="node" presStyleLbl="node1" presStyleIdx="2" presStyleCnt="3" custScaleX="49304" custScaleY="34405">
        <dgm:presLayoutVars>
          <dgm:bulletEnabled val="1"/>
        </dgm:presLayoutVars>
      </dgm:prSet>
      <dgm:spPr/>
      <dgm:t>
        <a:bodyPr/>
        <a:lstStyle/>
        <a:p>
          <a:endParaRPr lang="en-GB"/>
        </a:p>
      </dgm:t>
    </dgm:pt>
  </dgm:ptLst>
  <dgm:cxnLst>
    <dgm:cxn modelId="{68E9345A-C877-4F02-A8CF-B6E6D161ADFC}" type="presOf" srcId="{FCF750F9-DE2C-4990-A6E3-92E69937AC42}" destId="{A068A11D-5253-4F94-96CA-E2FE33760C61}" srcOrd="0" destOrd="0" presId="urn:microsoft.com/office/officeart/2005/8/layout/process1"/>
    <dgm:cxn modelId="{C7C2E6C9-9463-4712-9D16-5ADDE6576254}" type="presOf" srcId="{AC65CB66-36D7-4687-91CB-230941107A12}" destId="{3951BF78-4DED-485A-B754-3EF2EFA1C7D1}" srcOrd="1" destOrd="0" presId="urn:microsoft.com/office/officeart/2005/8/layout/process1"/>
    <dgm:cxn modelId="{52B70E27-AA2C-4078-826E-F5AA3D605E07}" type="presOf" srcId="{AC65CB66-36D7-4687-91CB-230941107A12}" destId="{F9B2E06E-90E5-47A0-B13A-44AA4574DB84}" srcOrd="0" destOrd="0" presId="urn:microsoft.com/office/officeart/2005/8/layout/process1"/>
    <dgm:cxn modelId="{B4B98417-088E-412A-937A-AC218272F9C8}" type="presOf" srcId="{E16225DB-77DF-45F8-AEA3-7F4F9FFBF8D9}" destId="{F2C46881-84DF-4879-B624-BC4D5A67DE18}" srcOrd="1" destOrd="0" presId="urn:microsoft.com/office/officeart/2005/8/layout/process1"/>
    <dgm:cxn modelId="{C080F005-ACB7-4CEB-B615-E534A5083690}" srcId="{FCF750F9-DE2C-4990-A6E3-92E69937AC42}" destId="{09BA6F04-A48A-42F2-8534-59591CF6C1B4}" srcOrd="2" destOrd="0" parTransId="{7BB3E839-B555-475D-98F3-91085A503CC2}" sibTransId="{53EF3564-8AF1-4670-8FF4-C6DF7B193A73}"/>
    <dgm:cxn modelId="{11BD26F4-F1D6-4783-ADAD-290D2FE9BE20}" type="presOf" srcId="{B2948168-1757-47E9-9D62-E1FD2F674A83}" destId="{A5B97BF2-D163-4D88-AA0B-98BE653BFC1E}" srcOrd="0" destOrd="0" presId="urn:microsoft.com/office/officeart/2005/8/layout/process1"/>
    <dgm:cxn modelId="{3F59641A-771B-496A-A838-8E07088C3949}" srcId="{FCF750F9-DE2C-4990-A6E3-92E69937AC42}" destId="{20F0DC17-02A4-4B3D-AB98-7B7FC1235377}" srcOrd="0" destOrd="0" parTransId="{13309D2E-FF01-4011-BA5E-06B4D29A1F36}" sibTransId="{AC65CB66-36D7-4687-91CB-230941107A12}"/>
    <dgm:cxn modelId="{B49E1067-BEF3-4332-AE40-DC1AEDCC6F2F}" srcId="{FCF750F9-DE2C-4990-A6E3-92E69937AC42}" destId="{B2948168-1757-47E9-9D62-E1FD2F674A83}" srcOrd="1" destOrd="0" parTransId="{9A119E2B-6754-4623-9FAE-B82554F947BF}" sibTransId="{E16225DB-77DF-45F8-AEA3-7F4F9FFBF8D9}"/>
    <dgm:cxn modelId="{517BAEF0-23E8-4F2C-8895-50CE265F9C3D}" type="presOf" srcId="{09BA6F04-A48A-42F2-8534-59591CF6C1B4}" destId="{30B1D6AD-188D-4ED9-AABF-83022EAD39FE}" srcOrd="0" destOrd="0" presId="urn:microsoft.com/office/officeart/2005/8/layout/process1"/>
    <dgm:cxn modelId="{015F3015-304B-447E-A078-E10317D6E0E4}" type="presOf" srcId="{E16225DB-77DF-45F8-AEA3-7F4F9FFBF8D9}" destId="{75343946-633E-40B4-ABA7-4E61ACBB6F29}" srcOrd="0" destOrd="0" presId="urn:microsoft.com/office/officeart/2005/8/layout/process1"/>
    <dgm:cxn modelId="{B79ED102-D250-4E06-AE77-14198E848247}" type="presOf" srcId="{20F0DC17-02A4-4B3D-AB98-7B7FC1235377}" destId="{00031D67-42AF-43A6-A5E9-5DECFEA25D79}" srcOrd="0" destOrd="0" presId="urn:microsoft.com/office/officeart/2005/8/layout/process1"/>
    <dgm:cxn modelId="{383C148E-7657-4977-B1B1-B4ED90FE15D0}" type="presParOf" srcId="{A068A11D-5253-4F94-96CA-E2FE33760C61}" destId="{00031D67-42AF-43A6-A5E9-5DECFEA25D79}" srcOrd="0" destOrd="0" presId="urn:microsoft.com/office/officeart/2005/8/layout/process1"/>
    <dgm:cxn modelId="{8993320E-3DC7-43DE-88E6-AC2DCCA97642}" type="presParOf" srcId="{A068A11D-5253-4F94-96CA-E2FE33760C61}" destId="{F9B2E06E-90E5-47A0-B13A-44AA4574DB84}" srcOrd="1" destOrd="0" presId="urn:microsoft.com/office/officeart/2005/8/layout/process1"/>
    <dgm:cxn modelId="{C5C84FFF-F7F3-4DE3-AA70-9E1883770321}" type="presParOf" srcId="{F9B2E06E-90E5-47A0-B13A-44AA4574DB84}" destId="{3951BF78-4DED-485A-B754-3EF2EFA1C7D1}" srcOrd="0" destOrd="0" presId="urn:microsoft.com/office/officeart/2005/8/layout/process1"/>
    <dgm:cxn modelId="{0EF5ABB2-42DC-4B2D-ADF3-B325AE15C802}" type="presParOf" srcId="{A068A11D-5253-4F94-96CA-E2FE33760C61}" destId="{A5B97BF2-D163-4D88-AA0B-98BE653BFC1E}" srcOrd="2" destOrd="0" presId="urn:microsoft.com/office/officeart/2005/8/layout/process1"/>
    <dgm:cxn modelId="{C7F8D8E7-B798-4FB3-B35F-8F1D563DE17A}" type="presParOf" srcId="{A068A11D-5253-4F94-96CA-E2FE33760C61}" destId="{75343946-633E-40B4-ABA7-4E61ACBB6F29}" srcOrd="3" destOrd="0" presId="urn:microsoft.com/office/officeart/2005/8/layout/process1"/>
    <dgm:cxn modelId="{28433FBE-7987-4184-805E-98EC6B075268}" type="presParOf" srcId="{75343946-633E-40B4-ABA7-4E61ACBB6F29}" destId="{F2C46881-84DF-4879-B624-BC4D5A67DE18}" srcOrd="0" destOrd="0" presId="urn:microsoft.com/office/officeart/2005/8/layout/process1"/>
    <dgm:cxn modelId="{F82A1F83-E0BF-4D40-BD26-FC3977F20A76}" type="presParOf" srcId="{A068A11D-5253-4F94-96CA-E2FE33760C61}" destId="{30B1D6AD-188D-4ED9-AABF-83022EAD39FE}" srcOrd="4" destOrd="0" presId="urn:microsoft.com/office/officeart/2005/8/layout/process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CF750F9-DE2C-4990-A6E3-92E69937AC42}" type="doc">
      <dgm:prSet loTypeId="urn:microsoft.com/office/officeart/2005/8/layout/process1" loCatId="process" qsTypeId="urn:microsoft.com/office/officeart/2005/8/quickstyle/simple1" qsCatId="simple" csTypeId="urn:microsoft.com/office/officeart/2005/8/colors/accent1_2" csCatId="accent1" phldr="1"/>
      <dgm:spPr/>
    </dgm:pt>
    <dgm:pt modelId="{20F0DC17-02A4-4B3D-AB98-7B7FC1235377}">
      <dgm:prSet phldrT="[Text]">
        <dgm:style>
          <a:lnRef idx="2">
            <a:schemeClr val="dk1"/>
          </a:lnRef>
          <a:fillRef idx="1">
            <a:schemeClr val="lt1"/>
          </a:fillRef>
          <a:effectRef idx="0">
            <a:schemeClr val="dk1"/>
          </a:effectRef>
          <a:fontRef idx="minor">
            <a:schemeClr val="dk1"/>
          </a:fontRef>
        </dgm:style>
      </dgm:prSet>
      <dgm:spPr/>
      <dgm:t>
        <a:bodyPr/>
        <a:lstStyle/>
        <a:p>
          <a:r>
            <a:rPr lang="en-GB"/>
            <a:t>Manufacturer</a:t>
          </a:r>
        </a:p>
      </dgm:t>
    </dgm:pt>
    <dgm:pt modelId="{13309D2E-FF01-4011-BA5E-06B4D29A1F36}" type="parTrans" cxnId="{3F59641A-771B-496A-A838-8E07088C3949}">
      <dgm:prSet/>
      <dgm:spPr/>
      <dgm:t>
        <a:bodyPr/>
        <a:lstStyle/>
        <a:p>
          <a:endParaRPr lang="en-GB"/>
        </a:p>
      </dgm:t>
    </dgm:pt>
    <dgm:pt modelId="{AC65CB66-36D7-4687-91CB-230941107A12}" type="sibTrans" cxnId="{3F59641A-771B-496A-A838-8E07088C3949}">
      <dgm:prSet>
        <dgm:style>
          <a:lnRef idx="2">
            <a:schemeClr val="dk1">
              <a:shade val="50000"/>
            </a:schemeClr>
          </a:lnRef>
          <a:fillRef idx="1">
            <a:schemeClr val="dk1"/>
          </a:fillRef>
          <a:effectRef idx="0">
            <a:schemeClr val="dk1"/>
          </a:effectRef>
          <a:fontRef idx="minor">
            <a:schemeClr val="lt1"/>
          </a:fontRef>
        </dgm:style>
      </dgm:prSet>
      <dgm:spPr/>
      <dgm:t>
        <a:bodyPr/>
        <a:lstStyle/>
        <a:p>
          <a:endParaRPr lang="en-GB"/>
        </a:p>
      </dgm:t>
    </dgm:pt>
    <dgm:pt modelId="{09BA6F04-A48A-42F2-8534-59591CF6C1B4}">
      <dgm:prSet phldrT="[Text]">
        <dgm:style>
          <a:lnRef idx="2">
            <a:schemeClr val="dk1"/>
          </a:lnRef>
          <a:fillRef idx="1">
            <a:schemeClr val="lt1"/>
          </a:fillRef>
          <a:effectRef idx="0">
            <a:schemeClr val="dk1"/>
          </a:effectRef>
          <a:fontRef idx="minor">
            <a:schemeClr val="dk1"/>
          </a:fontRef>
        </dgm:style>
      </dgm:prSet>
      <dgm:spPr/>
      <dgm:t>
        <a:bodyPr/>
        <a:lstStyle/>
        <a:p>
          <a:r>
            <a:rPr lang="en-GB"/>
            <a:t>Customer</a:t>
          </a:r>
        </a:p>
      </dgm:t>
    </dgm:pt>
    <dgm:pt modelId="{53EF3564-8AF1-4670-8FF4-C6DF7B193A73}" type="sibTrans" cxnId="{C080F005-ACB7-4CEB-B615-E534A5083690}">
      <dgm:prSet/>
      <dgm:spPr/>
      <dgm:t>
        <a:bodyPr/>
        <a:lstStyle/>
        <a:p>
          <a:endParaRPr lang="en-GB"/>
        </a:p>
      </dgm:t>
    </dgm:pt>
    <dgm:pt modelId="{7BB3E839-B555-475D-98F3-91085A503CC2}" type="parTrans" cxnId="{C080F005-ACB7-4CEB-B615-E534A5083690}">
      <dgm:prSet/>
      <dgm:spPr/>
      <dgm:t>
        <a:bodyPr/>
        <a:lstStyle/>
        <a:p>
          <a:endParaRPr lang="en-GB"/>
        </a:p>
      </dgm:t>
    </dgm:pt>
    <dgm:pt modelId="{B2948168-1757-47E9-9D62-E1FD2F674A83}">
      <dgm:prSet phldrT="[Text]">
        <dgm:style>
          <a:lnRef idx="2">
            <a:schemeClr val="dk1"/>
          </a:lnRef>
          <a:fillRef idx="1">
            <a:schemeClr val="lt1"/>
          </a:fillRef>
          <a:effectRef idx="0">
            <a:schemeClr val="dk1"/>
          </a:effectRef>
          <a:fontRef idx="minor">
            <a:schemeClr val="dk1"/>
          </a:fontRef>
        </dgm:style>
      </dgm:prSet>
      <dgm:spPr/>
      <dgm:t>
        <a:bodyPr/>
        <a:lstStyle/>
        <a:p>
          <a:r>
            <a:rPr lang="en-GB"/>
            <a:t>Retailer</a:t>
          </a:r>
        </a:p>
      </dgm:t>
    </dgm:pt>
    <dgm:pt modelId="{E16225DB-77DF-45F8-AEA3-7F4F9FFBF8D9}" type="sibTrans" cxnId="{B49E1067-BEF3-4332-AE40-DC1AEDCC6F2F}">
      <dgm:prSet>
        <dgm:style>
          <a:lnRef idx="2">
            <a:schemeClr val="dk1">
              <a:shade val="50000"/>
            </a:schemeClr>
          </a:lnRef>
          <a:fillRef idx="1">
            <a:schemeClr val="dk1"/>
          </a:fillRef>
          <a:effectRef idx="0">
            <a:schemeClr val="dk1"/>
          </a:effectRef>
          <a:fontRef idx="minor">
            <a:schemeClr val="lt1"/>
          </a:fontRef>
        </dgm:style>
      </dgm:prSet>
      <dgm:spPr/>
      <dgm:t>
        <a:bodyPr/>
        <a:lstStyle/>
        <a:p>
          <a:endParaRPr lang="en-GB"/>
        </a:p>
      </dgm:t>
    </dgm:pt>
    <dgm:pt modelId="{9A119E2B-6754-4623-9FAE-B82554F947BF}" type="parTrans" cxnId="{B49E1067-BEF3-4332-AE40-DC1AEDCC6F2F}">
      <dgm:prSet/>
      <dgm:spPr/>
      <dgm:t>
        <a:bodyPr/>
        <a:lstStyle/>
        <a:p>
          <a:endParaRPr lang="en-GB"/>
        </a:p>
      </dgm:t>
    </dgm:pt>
    <dgm:pt modelId="{DB08B028-7C1C-4C3E-907F-B5AC2C37706B}">
      <dgm:prSet phldrT="[Text]">
        <dgm:style>
          <a:lnRef idx="2">
            <a:schemeClr val="dk1"/>
          </a:lnRef>
          <a:fillRef idx="1">
            <a:schemeClr val="lt1"/>
          </a:fillRef>
          <a:effectRef idx="0">
            <a:schemeClr val="dk1"/>
          </a:effectRef>
          <a:fontRef idx="minor">
            <a:schemeClr val="dk1"/>
          </a:fontRef>
        </dgm:style>
      </dgm:prSet>
      <dgm:spPr/>
      <dgm:t>
        <a:bodyPr/>
        <a:lstStyle/>
        <a:p>
          <a:r>
            <a:rPr lang="en-GB"/>
            <a:t>Wholesaler</a:t>
          </a:r>
        </a:p>
      </dgm:t>
    </dgm:pt>
    <dgm:pt modelId="{9A56745F-D520-4F86-A7D2-1588F6039214}" type="parTrans" cxnId="{F427E2A4-3470-4C19-90C2-75BB6CFAF081}">
      <dgm:prSet/>
      <dgm:spPr/>
      <dgm:t>
        <a:bodyPr/>
        <a:lstStyle/>
        <a:p>
          <a:endParaRPr lang="en-GB"/>
        </a:p>
      </dgm:t>
    </dgm:pt>
    <dgm:pt modelId="{33621D68-3A9E-4B6F-9BD4-48F95AFDA36E}" type="sibTrans" cxnId="{F427E2A4-3470-4C19-90C2-75BB6CFAF081}">
      <dgm:prSet>
        <dgm:style>
          <a:lnRef idx="2">
            <a:schemeClr val="dk1">
              <a:shade val="50000"/>
            </a:schemeClr>
          </a:lnRef>
          <a:fillRef idx="1">
            <a:schemeClr val="dk1"/>
          </a:fillRef>
          <a:effectRef idx="0">
            <a:schemeClr val="dk1"/>
          </a:effectRef>
          <a:fontRef idx="minor">
            <a:schemeClr val="lt1"/>
          </a:fontRef>
        </dgm:style>
      </dgm:prSet>
      <dgm:spPr/>
      <dgm:t>
        <a:bodyPr/>
        <a:lstStyle/>
        <a:p>
          <a:endParaRPr lang="en-GB"/>
        </a:p>
      </dgm:t>
    </dgm:pt>
    <dgm:pt modelId="{A068A11D-5253-4F94-96CA-E2FE33760C61}" type="pres">
      <dgm:prSet presAssocID="{FCF750F9-DE2C-4990-A6E3-92E69937AC42}" presName="Name0" presStyleCnt="0">
        <dgm:presLayoutVars>
          <dgm:dir/>
          <dgm:resizeHandles val="exact"/>
        </dgm:presLayoutVars>
      </dgm:prSet>
      <dgm:spPr/>
    </dgm:pt>
    <dgm:pt modelId="{00031D67-42AF-43A6-A5E9-5DECFEA25D79}" type="pres">
      <dgm:prSet presAssocID="{20F0DC17-02A4-4B3D-AB98-7B7FC1235377}" presName="node" presStyleLbl="node1" presStyleIdx="0" presStyleCnt="4" custScaleX="205119" custScaleY="38763">
        <dgm:presLayoutVars>
          <dgm:bulletEnabled val="1"/>
        </dgm:presLayoutVars>
      </dgm:prSet>
      <dgm:spPr/>
      <dgm:t>
        <a:bodyPr/>
        <a:lstStyle/>
        <a:p>
          <a:endParaRPr lang="en-GB"/>
        </a:p>
      </dgm:t>
    </dgm:pt>
    <dgm:pt modelId="{F9B2E06E-90E5-47A0-B13A-44AA4574DB84}" type="pres">
      <dgm:prSet presAssocID="{AC65CB66-36D7-4687-91CB-230941107A12}" presName="sibTrans" presStyleLbl="sibTrans2D1" presStyleIdx="0" presStyleCnt="3" custScaleX="215827" custScaleY="204997"/>
      <dgm:spPr/>
      <dgm:t>
        <a:bodyPr/>
        <a:lstStyle/>
        <a:p>
          <a:endParaRPr lang="en-GB"/>
        </a:p>
      </dgm:t>
    </dgm:pt>
    <dgm:pt modelId="{3951BF78-4DED-485A-B754-3EF2EFA1C7D1}" type="pres">
      <dgm:prSet presAssocID="{AC65CB66-36D7-4687-91CB-230941107A12}" presName="connectorText" presStyleLbl="sibTrans2D1" presStyleIdx="0" presStyleCnt="3"/>
      <dgm:spPr/>
      <dgm:t>
        <a:bodyPr/>
        <a:lstStyle/>
        <a:p>
          <a:endParaRPr lang="en-GB"/>
        </a:p>
      </dgm:t>
    </dgm:pt>
    <dgm:pt modelId="{07A946EC-4EC3-4717-B32D-381671125418}" type="pres">
      <dgm:prSet presAssocID="{DB08B028-7C1C-4C3E-907F-B5AC2C37706B}" presName="node" presStyleLbl="node1" presStyleIdx="1" presStyleCnt="4" custScaleX="205119" custScaleY="38763">
        <dgm:presLayoutVars>
          <dgm:bulletEnabled val="1"/>
        </dgm:presLayoutVars>
      </dgm:prSet>
      <dgm:spPr/>
      <dgm:t>
        <a:bodyPr/>
        <a:lstStyle/>
        <a:p>
          <a:endParaRPr lang="en-GB"/>
        </a:p>
      </dgm:t>
    </dgm:pt>
    <dgm:pt modelId="{99945EED-D625-4C5F-B6FD-E18169B11185}" type="pres">
      <dgm:prSet presAssocID="{33621D68-3A9E-4B6F-9BD4-48F95AFDA36E}" presName="sibTrans" presStyleLbl="sibTrans2D1" presStyleIdx="1" presStyleCnt="3" custScaleX="215827" custScaleY="204997"/>
      <dgm:spPr/>
      <dgm:t>
        <a:bodyPr/>
        <a:lstStyle/>
        <a:p>
          <a:endParaRPr lang="en-GB"/>
        </a:p>
      </dgm:t>
    </dgm:pt>
    <dgm:pt modelId="{93F2885B-E917-48C0-A7F1-A45DEAF95C5E}" type="pres">
      <dgm:prSet presAssocID="{33621D68-3A9E-4B6F-9BD4-48F95AFDA36E}" presName="connectorText" presStyleLbl="sibTrans2D1" presStyleIdx="1" presStyleCnt="3"/>
      <dgm:spPr/>
      <dgm:t>
        <a:bodyPr/>
        <a:lstStyle/>
        <a:p>
          <a:endParaRPr lang="en-GB"/>
        </a:p>
      </dgm:t>
    </dgm:pt>
    <dgm:pt modelId="{A5B97BF2-D163-4D88-AA0B-98BE653BFC1E}" type="pres">
      <dgm:prSet presAssocID="{B2948168-1757-47E9-9D62-E1FD2F674A83}" presName="node" presStyleLbl="node1" presStyleIdx="2" presStyleCnt="4" custScaleX="205119" custScaleY="38763">
        <dgm:presLayoutVars>
          <dgm:bulletEnabled val="1"/>
        </dgm:presLayoutVars>
      </dgm:prSet>
      <dgm:spPr/>
      <dgm:t>
        <a:bodyPr/>
        <a:lstStyle/>
        <a:p>
          <a:endParaRPr lang="en-GB"/>
        </a:p>
      </dgm:t>
    </dgm:pt>
    <dgm:pt modelId="{75343946-633E-40B4-ABA7-4E61ACBB6F29}" type="pres">
      <dgm:prSet presAssocID="{E16225DB-77DF-45F8-AEA3-7F4F9FFBF8D9}" presName="sibTrans" presStyleLbl="sibTrans2D1" presStyleIdx="2" presStyleCnt="3" custScaleX="215827" custScaleY="204997"/>
      <dgm:spPr/>
      <dgm:t>
        <a:bodyPr/>
        <a:lstStyle/>
        <a:p>
          <a:endParaRPr lang="en-GB"/>
        </a:p>
      </dgm:t>
    </dgm:pt>
    <dgm:pt modelId="{F2C46881-84DF-4879-B624-BC4D5A67DE18}" type="pres">
      <dgm:prSet presAssocID="{E16225DB-77DF-45F8-AEA3-7F4F9FFBF8D9}" presName="connectorText" presStyleLbl="sibTrans2D1" presStyleIdx="2" presStyleCnt="3"/>
      <dgm:spPr/>
      <dgm:t>
        <a:bodyPr/>
        <a:lstStyle/>
        <a:p>
          <a:endParaRPr lang="en-GB"/>
        </a:p>
      </dgm:t>
    </dgm:pt>
    <dgm:pt modelId="{30B1D6AD-188D-4ED9-AABF-83022EAD39FE}" type="pres">
      <dgm:prSet presAssocID="{09BA6F04-A48A-42F2-8534-59591CF6C1B4}" presName="node" presStyleLbl="node1" presStyleIdx="3" presStyleCnt="4" custScaleX="205119" custScaleY="38763">
        <dgm:presLayoutVars>
          <dgm:bulletEnabled val="1"/>
        </dgm:presLayoutVars>
      </dgm:prSet>
      <dgm:spPr/>
      <dgm:t>
        <a:bodyPr/>
        <a:lstStyle/>
        <a:p>
          <a:endParaRPr lang="en-GB"/>
        </a:p>
      </dgm:t>
    </dgm:pt>
  </dgm:ptLst>
  <dgm:cxnLst>
    <dgm:cxn modelId="{CF7499FF-94EA-4D77-89C1-06B89A3E0F00}" type="presOf" srcId="{09BA6F04-A48A-42F2-8534-59591CF6C1B4}" destId="{30B1D6AD-188D-4ED9-AABF-83022EAD39FE}" srcOrd="0" destOrd="0" presId="urn:microsoft.com/office/officeart/2005/8/layout/process1"/>
    <dgm:cxn modelId="{A1452A1B-DFEE-4864-B403-59DE862017A8}" type="presOf" srcId="{33621D68-3A9E-4B6F-9BD4-48F95AFDA36E}" destId="{93F2885B-E917-48C0-A7F1-A45DEAF95C5E}" srcOrd="1" destOrd="0" presId="urn:microsoft.com/office/officeart/2005/8/layout/process1"/>
    <dgm:cxn modelId="{C080F005-ACB7-4CEB-B615-E534A5083690}" srcId="{FCF750F9-DE2C-4990-A6E3-92E69937AC42}" destId="{09BA6F04-A48A-42F2-8534-59591CF6C1B4}" srcOrd="3" destOrd="0" parTransId="{7BB3E839-B555-475D-98F3-91085A503CC2}" sibTransId="{53EF3564-8AF1-4670-8FF4-C6DF7B193A73}"/>
    <dgm:cxn modelId="{7E1E74DF-074C-4BCD-A39F-894DC3E93F4F}" type="presOf" srcId="{20F0DC17-02A4-4B3D-AB98-7B7FC1235377}" destId="{00031D67-42AF-43A6-A5E9-5DECFEA25D79}" srcOrd="0" destOrd="0" presId="urn:microsoft.com/office/officeart/2005/8/layout/process1"/>
    <dgm:cxn modelId="{1990441C-F4B3-460E-AA41-67DF19B68AC3}" type="presOf" srcId="{AC65CB66-36D7-4687-91CB-230941107A12}" destId="{3951BF78-4DED-485A-B754-3EF2EFA1C7D1}" srcOrd="1" destOrd="0" presId="urn:microsoft.com/office/officeart/2005/8/layout/process1"/>
    <dgm:cxn modelId="{279DD2A0-5CE0-4328-AD60-E635EE00B792}" type="presOf" srcId="{AC65CB66-36D7-4687-91CB-230941107A12}" destId="{F9B2E06E-90E5-47A0-B13A-44AA4574DB84}" srcOrd="0" destOrd="0" presId="urn:microsoft.com/office/officeart/2005/8/layout/process1"/>
    <dgm:cxn modelId="{60900406-2CCE-4EFE-8451-C6D0C00A2C5C}" type="presOf" srcId="{E16225DB-77DF-45F8-AEA3-7F4F9FFBF8D9}" destId="{75343946-633E-40B4-ABA7-4E61ACBB6F29}" srcOrd="0" destOrd="0" presId="urn:microsoft.com/office/officeart/2005/8/layout/process1"/>
    <dgm:cxn modelId="{3F59641A-771B-496A-A838-8E07088C3949}" srcId="{FCF750F9-DE2C-4990-A6E3-92E69937AC42}" destId="{20F0DC17-02A4-4B3D-AB98-7B7FC1235377}" srcOrd="0" destOrd="0" parTransId="{13309D2E-FF01-4011-BA5E-06B4D29A1F36}" sibTransId="{AC65CB66-36D7-4687-91CB-230941107A12}"/>
    <dgm:cxn modelId="{F427E2A4-3470-4C19-90C2-75BB6CFAF081}" srcId="{FCF750F9-DE2C-4990-A6E3-92E69937AC42}" destId="{DB08B028-7C1C-4C3E-907F-B5AC2C37706B}" srcOrd="1" destOrd="0" parTransId="{9A56745F-D520-4F86-A7D2-1588F6039214}" sibTransId="{33621D68-3A9E-4B6F-9BD4-48F95AFDA36E}"/>
    <dgm:cxn modelId="{145F5C50-7675-4AA0-B1A3-872B2156F713}" type="presOf" srcId="{DB08B028-7C1C-4C3E-907F-B5AC2C37706B}" destId="{07A946EC-4EC3-4717-B32D-381671125418}" srcOrd="0" destOrd="0" presId="urn:microsoft.com/office/officeart/2005/8/layout/process1"/>
    <dgm:cxn modelId="{316A5803-0DFE-43E5-B52F-DA2DCD5042A3}" type="presOf" srcId="{B2948168-1757-47E9-9D62-E1FD2F674A83}" destId="{A5B97BF2-D163-4D88-AA0B-98BE653BFC1E}" srcOrd="0" destOrd="0" presId="urn:microsoft.com/office/officeart/2005/8/layout/process1"/>
    <dgm:cxn modelId="{B49E1067-BEF3-4332-AE40-DC1AEDCC6F2F}" srcId="{FCF750F9-DE2C-4990-A6E3-92E69937AC42}" destId="{B2948168-1757-47E9-9D62-E1FD2F674A83}" srcOrd="2" destOrd="0" parTransId="{9A119E2B-6754-4623-9FAE-B82554F947BF}" sibTransId="{E16225DB-77DF-45F8-AEA3-7F4F9FFBF8D9}"/>
    <dgm:cxn modelId="{FD4DFDC5-8118-4541-AC70-8EFB543BE181}" type="presOf" srcId="{33621D68-3A9E-4B6F-9BD4-48F95AFDA36E}" destId="{99945EED-D625-4C5F-B6FD-E18169B11185}" srcOrd="0" destOrd="0" presId="urn:microsoft.com/office/officeart/2005/8/layout/process1"/>
    <dgm:cxn modelId="{8EEDD3DB-F596-455B-94F1-D92CE7874B6A}" type="presOf" srcId="{FCF750F9-DE2C-4990-A6E3-92E69937AC42}" destId="{A068A11D-5253-4F94-96CA-E2FE33760C61}" srcOrd="0" destOrd="0" presId="urn:microsoft.com/office/officeart/2005/8/layout/process1"/>
    <dgm:cxn modelId="{F093DC88-D3D6-4348-B181-11A9592AB100}" type="presOf" srcId="{E16225DB-77DF-45F8-AEA3-7F4F9FFBF8D9}" destId="{F2C46881-84DF-4879-B624-BC4D5A67DE18}" srcOrd="1" destOrd="0" presId="urn:microsoft.com/office/officeart/2005/8/layout/process1"/>
    <dgm:cxn modelId="{BA702889-BFE0-4340-9CF5-7B350780F04D}" type="presParOf" srcId="{A068A11D-5253-4F94-96CA-E2FE33760C61}" destId="{00031D67-42AF-43A6-A5E9-5DECFEA25D79}" srcOrd="0" destOrd="0" presId="urn:microsoft.com/office/officeart/2005/8/layout/process1"/>
    <dgm:cxn modelId="{75A580BC-A0C4-4D31-B2DA-B64030CB486E}" type="presParOf" srcId="{A068A11D-5253-4F94-96CA-E2FE33760C61}" destId="{F9B2E06E-90E5-47A0-B13A-44AA4574DB84}" srcOrd="1" destOrd="0" presId="urn:microsoft.com/office/officeart/2005/8/layout/process1"/>
    <dgm:cxn modelId="{F05C1160-E617-41EC-936E-6B8BFB706BA7}" type="presParOf" srcId="{F9B2E06E-90E5-47A0-B13A-44AA4574DB84}" destId="{3951BF78-4DED-485A-B754-3EF2EFA1C7D1}" srcOrd="0" destOrd="0" presId="urn:microsoft.com/office/officeart/2005/8/layout/process1"/>
    <dgm:cxn modelId="{0A54D3F1-2C79-4538-AA1B-34F50D0C3B93}" type="presParOf" srcId="{A068A11D-5253-4F94-96CA-E2FE33760C61}" destId="{07A946EC-4EC3-4717-B32D-381671125418}" srcOrd="2" destOrd="0" presId="urn:microsoft.com/office/officeart/2005/8/layout/process1"/>
    <dgm:cxn modelId="{1B4DB682-66E8-4CAB-99BC-AF4503C74B1E}" type="presParOf" srcId="{A068A11D-5253-4F94-96CA-E2FE33760C61}" destId="{99945EED-D625-4C5F-B6FD-E18169B11185}" srcOrd="3" destOrd="0" presId="urn:microsoft.com/office/officeart/2005/8/layout/process1"/>
    <dgm:cxn modelId="{48FE66E1-A8E3-4F57-AF07-33EB0D0AA15B}" type="presParOf" srcId="{99945EED-D625-4C5F-B6FD-E18169B11185}" destId="{93F2885B-E917-48C0-A7F1-A45DEAF95C5E}" srcOrd="0" destOrd="0" presId="urn:microsoft.com/office/officeart/2005/8/layout/process1"/>
    <dgm:cxn modelId="{2E22036F-95F5-42A0-B4DC-E339C62E2A73}" type="presParOf" srcId="{A068A11D-5253-4F94-96CA-E2FE33760C61}" destId="{A5B97BF2-D163-4D88-AA0B-98BE653BFC1E}" srcOrd="4" destOrd="0" presId="urn:microsoft.com/office/officeart/2005/8/layout/process1"/>
    <dgm:cxn modelId="{C868621D-2DDD-444F-A33A-A55320BFD374}" type="presParOf" srcId="{A068A11D-5253-4F94-96CA-E2FE33760C61}" destId="{75343946-633E-40B4-ABA7-4E61ACBB6F29}" srcOrd="5" destOrd="0" presId="urn:microsoft.com/office/officeart/2005/8/layout/process1"/>
    <dgm:cxn modelId="{E55EE80C-9476-403B-B574-B5CB4A7D324C}" type="presParOf" srcId="{75343946-633E-40B4-ABA7-4E61ACBB6F29}" destId="{F2C46881-84DF-4879-B624-BC4D5A67DE18}" srcOrd="0" destOrd="0" presId="urn:microsoft.com/office/officeart/2005/8/layout/process1"/>
    <dgm:cxn modelId="{7A6DB0E3-9DF2-42E2-83AE-5DD1D17659BA}" type="presParOf" srcId="{A068A11D-5253-4F94-96CA-E2FE33760C61}" destId="{30B1D6AD-188D-4ED9-AABF-83022EAD39FE}" srcOrd="6" destOrd="0" presId="urn:microsoft.com/office/officeart/2005/8/layout/process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0031D67-42AF-43A6-A5E9-5DECFEA25D79}">
      <dsp:nvSpPr>
        <dsp:cNvPr id="0" name=""/>
        <dsp:cNvSpPr/>
      </dsp:nvSpPr>
      <dsp:spPr>
        <a:xfrm>
          <a:off x="560594" y="0"/>
          <a:ext cx="1440005" cy="360000"/>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t>Manufacturer</a:t>
          </a:r>
        </a:p>
      </dsp:txBody>
      <dsp:txXfrm>
        <a:off x="571138" y="10544"/>
        <a:ext cx="1418917" cy="338912"/>
      </dsp:txXfrm>
    </dsp:sp>
    <dsp:sp modelId="{F9B2E06E-90E5-47A0-B13A-44AA4574DB84}">
      <dsp:nvSpPr>
        <dsp:cNvPr id="0" name=""/>
        <dsp:cNvSpPr/>
      </dsp:nvSpPr>
      <dsp:spPr>
        <a:xfrm>
          <a:off x="2649883" y="0"/>
          <a:ext cx="1439996" cy="360000"/>
        </a:xfrm>
        <a:prstGeom prst="rightArrow">
          <a:avLst>
            <a:gd name="adj1" fmla="val 60000"/>
            <a:gd name="adj2" fmla="val 50000"/>
          </a:avLst>
        </a:prstGeom>
        <a:solidFill>
          <a:schemeClr val="dk1"/>
        </a:solidFill>
        <a:ln w="25400" cap="flat" cmpd="sng" algn="ctr">
          <a:solidFill>
            <a:schemeClr val="dk1">
              <a:shade val="50000"/>
            </a:schemeClr>
          </a:solidFill>
          <a:prstDash val="solid"/>
        </a:ln>
        <a:effectLst/>
      </dsp:spPr>
      <dsp:style>
        <a:lnRef idx="2">
          <a:schemeClr val="dk1">
            <a:shade val="50000"/>
          </a:schemeClr>
        </a:lnRef>
        <a:fillRef idx="1">
          <a:schemeClr val="dk1"/>
        </a:fillRef>
        <a:effectRef idx="0">
          <a:schemeClr val="dk1"/>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GB" sz="1200" kern="1200"/>
        </a:p>
      </dsp:txBody>
      <dsp:txXfrm>
        <a:off x="2649883" y="72000"/>
        <a:ext cx="1331996" cy="216000"/>
      </dsp:txXfrm>
    </dsp:sp>
    <dsp:sp modelId="{30B1D6AD-188D-4ED9-AABF-83022EAD39FE}">
      <dsp:nvSpPr>
        <dsp:cNvPr id="0" name=""/>
        <dsp:cNvSpPr/>
      </dsp:nvSpPr>
      <dsp:spPr>
        <a:xfrm>
          <a:off x="4659399" y="0"/>
          <a:ext cx="1440005" cy="360000"/>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t>Customer</a:t>
          </a:r>
        </a:p>
      </dsp:txBody>
      <dsp:txXfrm>
        <a:off x="4669943" y="10544"/>
        <a:ext cx="1418917" cy="3389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0031D67-42AF-43A6-A5E9-5DECFEA25D79}">
      <dsp:nvSpPr>
        <dsp:cNvPr id="0" name=""/>
        <dsp:cNvSpPr/>
      </dsp:nvSpPr>
      <dsp:spPr>
        <a:xfrm>
          <a:off x="5445" y="0"/>
          <a:ext cx="1438395" cy="360000"/>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t>Manufacturer</a:t>
          </a:r>
        </a:p>
      </dsp:txBody>
      <dsp:txXfrm>
        <a:off x="15989" y="10544"/>
        <a:ext cx="1417307" cy="338912"/>
      </dsp:txXfrm>
    </dsp:sp>
    <dsp:sp modelId="{F9B2E06E-90E5-47A0-B13A-44AA4574DB84}">
      <dsp:nvSpPr>
        <dsp:cNvPr id="0" name=""/>
        <dsp:cNvSpPr/>
      </dsp:nvSpPr>
      <dsp:spPr>
        <a:xfrm>
          <a:off x="1730682" y="23691"/>
          <a:ext cx="628286" cy="312616"/>
        </a:xfrm>
        <a:prstGeom prst="rightArrow">
          <a:avLst>
            <a:gd name="adj1" fmla="val 60000"/>
            <a:gd name="adj2" fmla="val 50000"/>
          </a:avLst>
        </a:prstGeom>
        <a:solidFill>
          <a:schemeClr val="dk1"/>
        </a:solidFill>
        <a:ln w="25400" cap="flat" cmpd="sng" algn="ctr">
          <a:solidFill>
            <a:schemeClr val="dk1">
              <a:shade val="50000"/>
            </a:schemeClr>
          </a:solidFill>
          <a:prstDash val="solid"/>
        </a:ln>
        <a:effectLst/>
      </dsp:spPr>
      <dsp:style>
        <a:lnRef idx="2">
          <a:schemeClr val="dk1">
            <a:shade val="50000"/>
          </a:schemeClr>
        </a:lnRef>
        <a:fillRef idx="1">
          <a:schemeClr val="dk1"/>
        </a:fillRef>
        <a:effectRef idx="0">
          <a:schemeClr val="dk1"/>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GB" sz="1200" kern="1200"/>
        </a:p>
      </dsp:txBody>
      <dsp:txXfrm>
        <a:off x="1730682" y="86214"/>
        <a:ext cx="534501" cy="187570"/>
      </dsp:txXfrm>
    </dsp:sp>
    <dsp:sp modelId="{A5B97BF2-D163-4D88-AA0B-98BE653BFC1E}">
      <dsp:nvSpPr>
        <dsp:cNvPr id="0" name=""/>
        <dsp:cNvSpPr/>
      </dsp:nvSpPr>
      <dsp:spPr>
        <a:xfrm>
          <a:off x="2610802" y="0"/>
          <a:ext cx="1438395" cy="360000"/>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t>Retailer</a:t>
          </a:r>
        </a:p>
      </dsp:txBody>
      <dsp:txXfrm>
        <a:off x="2621346" y="10544"/>
        <a:ext cx="1417307" cy="338912"/>
      </dsp:txXfrm>
    </dsp:sp>
    <dsp:sp modelId="{75343946-633E-40B4-ABA7-4E61ACBB6F29}">
      <dsp:nvSpPr>
        <dsp:cNvPr id="0" name=""/>
        <dsp:cNvSpPr/>
      </dsp:nvSpPr>
      <dsp:spPr>
        <a:xfrm>
          <a:off x="4336039" y="23691"/>
          <a:ext cx="628286" cy="312616"/>
        </a:xfrm>
        <a:prstGeom prst="rightArrow">
          <a:avLst>
            <a:gd name="adj1" fmla="val 60000"/>
            <a:gd name="adj2" fmla="val 50000"/>
          </a:avLst>
        </a:prstGeom>
        <a:solidFill>
          <a:schemeClr val="dk1"/>
        </a:solidFill>
        <a:ln w="25400" cap="flat" cmpd="sng" algn="ctr">
          <a:solidFill>
            <a:schemeClr val="dk1">
              <a:shade val="50000"/>
            </a:schemeClr>
          </a:solidFill>
          <a:prstDash val="solid"/>
        </a:ln>
        <a:effectLst/>
      </dsp:spPr>
      <dsp:style>
        <a:lnRef idx="2">
          <a:schemeClr val="dk1">
            <a:shade val="50000"/>
          </a:schemeClr>
        </a:lnRef>
        <a:fillRef idx="1">
          <a:schemeClr val="dk1"/>
        </a:fillRef>
        <a:effectRef idx="0">
          <a:schemeClr val="dk1"/>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GB" sz="1200" kern="1200"/>
        </a:p>
      </dsp:txBody>
      <dsp:txXfrm>
        <a:off x="4336039" y="86214"/>
        <a:ext cx="534501" cy="187570"/>
      </dsp:txXfrm>
    </dsp:sp>
    <dsp:sp modelId="{30B1D6AD-188D-4ED9-AABF-83022EAD39FE}">
      <dsp:nvSpPr>
        <dsp:cNvPr id="0" name=""/>
        <dsp:cNvSpPr/>
      </dsp:nvSpPr>
      <dsp:spPr>
        <a:xfrm>
          <a:off x="5216158" y="0"/>
          <a:ext cx="1438395" cy="360000"/>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n-GB" sz="1500" kern="1200"/>
            <a:t>Customer</a:t>
          </a:r>
        </a:p>
      </dsp:txBody>
      <dsp:txXfrm>
        <a:off x="5226702" y="10544"/>
        <a:ext cx="1417307" cy="33891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0031D67-42AF-43A6-A5E9-5DECFEA25D79}">
      <dsp:nvSpPr>
        <dsp:cNvPr id="0" name=""/>
        <dsp:cNvSpPr/>
      </dsp:nvSpPr>
      <dsp:spPr>
        <a:xfrm>
          <a:off x="184" y="24315"/>
          <a:ext cx="1452473" cy="311369"/>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Manufacturer</a:t>
          </a:r>
        </a:p>
      </dsp:txBody>
      <dsp:txXfrm>
        <a:off x="9304" y="33435"/>
        <a:ext cx="1434233" cy="293129"/>
      </dsp:txXfrm>
    </dsp:sp>
    <dsp:sp modelId="{F9B2E06E-90E5-47A0-B13A-44AA4574DB84}">
      <dsp:nvSpPr>
        <dsp:cNvPr id="0" name=""/>
        <dsp:cNvSpPr/>
      </dsp:nvSpPr>
      <dsp:spPr>
        <a:xfrm>
          <a:off x="1436530" y="0"/>
          <a:ext cx="323999" cy="359999"/>
        </a:xfrm>
        <a:prstGeom prst="rightArrow">
          <a:avLst>
            <a:gd name="adj1" fmla="val 60000"/>
            <a:gd name="adj2" fmla="val 50000"/>
          </a:avLst>
        </a:prstGeom>
        <a:solidFill>
          <a:schemeClr val="dk1"/>
        </a:solidFill>
        <a:ln w="25400" cap="flat" cmpd="sng" algn="ctr">
          <a:solidFill>
            <a:schemeClr val="dk1">
              <a:shade val="50000"/>
            </a:schemeClr>
          </a:solidFill>
          <a:prstDash val="solid"/>
        </a:ln>
        <a:effectLst/>
      </dsp:spPr>
      <dsp:style>
        <a:lnRef idx="2">
          <a:schemeClr val="dk1">
            <a:shade val="50000"/>
          </a:schemeClr>
        </a:lnRef>
        <a:fillRef idx="1">
          <a:schemeClr val="dk1"/>
        </a:fillRef>
        <a:effectRef idx="0">
          <a:schemeClr val="dk1"/>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GB" sz="1000" kern="1200"/>
        </a:p>
      </dsp:txBody>
      <dsp:txXfrm>
        <a:off x="1436530" y="72000"/>
        <a:ext cx="226799" cy="215999"/>
      </dsp:txXfrm>
    </dsp:sp>
    <dsp:sp modelId="{07A946EC-4EC3-4717-B32D-381671125418}">
      <dsp:nvSpPr>
        <dsp:cNvPr id="0" name=""/>
        <dsp:cNvSpPr/>
      </dsp:nvSpPr>
      <dsp:spPr>
        <a:xfrm>
          <a:off x="1735903" y="24315"/>
          <a:ext cx="1452473" cy="311369"/>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Wholesaler</a:t>
          </a:r>
        </a:p>
      </dsp:txBody>
      <dsp:txXfrm>
        <a:off x="1745023" y="33435"/>
        <a:ext cx="1434233" cy="293129"/>
      </dsp:txXfrm>
    </dsp:sp>
    <dsp:sp modelId="{99945EED-D625-4C5F-B6FD-E18169B11185}">
      <dsp:nvSpPr>
        <dsp:cNvPr id="0" name=""/>
        <dsp:cNvSpPr/>
      </dsp:nvSpPr>
      <dsp:spPr>
        <a:xfrm>
          <a:off x="3172249" y="0"/>
          <a:ext cx="323999" cy="359999"/>
        </a:xfrm>
        <a:prstGeom prst="rightArrow">
          <a:avLst>
            <a:gd name="adj1" fmla="val 60000"/>
            <a:gd name="adj2" fmla="val 50000"/>
          </a:avLst>
        </a:prstGeom>
        <a:solidFill>
          <a:schemeClr val="dk1"/>
        </a:solidFill>
        <a:ln w="25400" cap="flat" cmpd="sng" algn="ctr">
          <a:solidFill>
            <a:schemeClr val="dk1">
              <a:shade val="50000"/>
            </a:schemeClr>
          </a:solidFill>
          <a:prstDash val="solid"/>
        </a:ln>
        <a:effectLst/>
      </dsp:spPr>
      <dsp:style>
        <a:lnRef idx="2">
          <a:schemeClr val="dk1">
            <a:shade val="50000"/>
          </a:schemeClr>
        </a:lnRef>
        <a:fillRef idx="1">
          <a:schemeClr val="dk1"/>
        </a:fillRef>
        <a:effectRef idx="0">
          <a:schemeClr val="dk1"/>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GB" sz="1000" kern="1200"/>
        </a:p>
      </dsp:txBody>
      <dsp:txXfrm>
        <a:off x="3172249" y="72000"/>
        <a:ext cx="226799" cy="215999"/>
      </dsp:txXfrm>
    </dsp:sp>
    <dsp:sp modelId="{A5B97BF2-D163-4D88-AA0B-98BE653BFC1E}">
      <dsp:nvSpPr>
        <dsp:cNvPr id="0" name=""/>
        <dsp:cNvSpPr/>
      </dsp:nvSpPr>
      <dsp:spPr>
        <a:xfrm>
          <a:off x="3471622" y="24315"/>
          <a:ext cx="1452473" cy="311369"/>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Retailer</a:t>
          </a:r>
        </a:p>
      </dsp:txBody>
      <dsp:txXfrm>
        <a:off x="3480742" y="33435"/>
        <a:ext cx="1434233" cy="293129"/>
      </dsp:txXfrm>
    </dsp:sp>
    <dsp:sp modelId="{75343946-633E-40B4-ABA7-4E61ACBB6F29}">
      <dsp:nvSpPr>
        <dsp:cNvPr id="0" name=""/>
        <dsp:cNvSpPr/>
      </dsp:nvSpPr>
      <dsp:spPr>
        <a:xfrm>
          <a:off x="4907968" y="0"/>
          <a:ext cx="323999" cy="359999"/>
        </a:xfrm>
        <a:prstGeom prst="rightArrow">
          <a:avLst>
            <a:gd name="adj1" fmla="val 60000"/>
            <a:gd name="adj2" fmla="val 50000"/>
          </a:avLst>
        </a:prstGeom>
        <a:solidFill>
          <a:schemeClr val="dk1"/>
        </a:solidFill>
        <a:ln w="25400" cap="flat" cmpd="sng" algn="ctr">
          <a:solidFill>
            <a:schemeClr val="dk1">
              <a:shade val="50000"/>
            </a:schemeClr>
          </a:solidFill>
          <a:prstDash val="solid"/>
        </a:ln>
        <a:effectLst/>
      </dsp:spPr>
      <dsp:style>
        <a:lnRef idx="2">
          <a:schemeClr val="dk1">
            <a:shade val="50000"/>
          </a:schemeClr>
        </a:lnRef>
        <a:fillRef idx="1">
          <a:schemeClr val="dk1"/>
        </a:fillRef>
        <a:effectRef idx="0">
          <a:schemeClr val="dk1"/>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en-GB" sz="1000" kern="1200"/>
        </a:p>
      </dsp:txBody>
      <dsp:txXfrm>
        <a:off x="4907968" y="72000"/>
        <a:ext cx="226799" cy="215999"/>
      </dsp:txXfrm>
    </dsp:sp>
    <dsp:sp modelId="{30B1D6AD-188D-4ED9-AABF-83022EAD39FE}">
      <dsp:nvSpPr>
        <dsp:cNvPr id="0" name=""/>
        <dsp:cNvSpPr/>
      </dsp:nvSpPr>
      <dsp:spPr>
        <a:xfrm>
          <a:off x="5207341" y="24315"/>
          <a:ext cx="1452473" cy="311369"/>
        </a:xfrm>
        <a:prstGeom prst="roundRect">
          <a:avLst>
            <a:gd name="adj" fmla="val 10000"/>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GB" sz="1300" kern="1200"/>
            <a:t>Customer</a:t>
          </a:r>
        </a:p>
      </dsp:txBody>
      <dsp:txXfrm>
        <a:off x="5216461" y="33435"/>
        <a:ext cx="1434233" cy="29312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B8F69-842D-4087-B393-EEAA5FD21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1085</TotalTime>
  <Pages>7</Pages>
  <Words>1967</Words>
  <Characters>11217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Countrywide Farmers Plc</Company>
  <LinksUpToDate>false</LinksUpToDate>
  <CharactersWithSpaces>13158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Mark Halling</cp:lastModifiedBy>
  <cp:revision>13</cp:revision>
  <cp:lastPrinted>2017-10-05T16:55:00Z</cp:lastPrinted>
  <dcterms:created xsi:type="dcterms:W3CDTF">2017-11-27T13:55:00Z</dcterms:created>
  <dcterms:modified xsi:type="dcterms:W3CDTF">2017-12-06T17:11:00Z</dcterms:modified>
</cp:coreProperties>
</file>